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B0AB1" w14:textId="0114003F" w:rsidR="00410CD3" w:rsidRDefault="00410CD3" w:rsidP="00B15DAF">
      <w:pPr>
        <w:spacing w:after="160"/>
        <w:rPr>
          <w:rFonts w:ascii="Trebuchet MS" w:hAnsi="Trebuchet MS" w:cs="SegoeUI"/>
          <w:lang w:eastAsia="en-GB"/>
        </w:rPr>
      </w:pPr>
      <w:r>
        <w:rPr>
          <w:rFonts w:ascii="Trebuchet MS" w:hAnsi="Trebuchet MS" w:cs="SegoeUI"/>
          <w:lang w:eastAsia="en-GB"/>
        </w:rPr>
        <w:t>09/06/26</w:t>
      </w:r>
    </w:p>
    <w:p w14:paraId="5D483889" w14:textId="777A03A7" w:rsidR="00013CF7" w:rsidRPr="003E705D" w:rsidRDefault="00013CF7" w:rsidP="00B15DAF">
      <w:pPr>
        <w:spacing w:after="160"/>
        <w:rPr>
          <w:rFonts w:ascii="Trebuchet MS" w:hAnsi="Trebuchet MS" w:cs="SegoeUI"/>
          <w:lang w:eastAsia="en-GB"/>
        </w:rPr>
      </w:pPr>
      <w:r w:rsidRPr="003E705D">
        <w:rPr>
          <w:rFonts w:ascii="Trebuchet MS" w:hAnsi="Trebuchet MS" w:cs="SegoeUI"/>
          <w:lang w:eastAsia="en-GB"/>
        </w:rPr>
        <w:t xml:space="preserve">Planning Application Ref: </w:t>
      </w:r>
      <w:r w:rsidRPr="003E705D">
        <w:rPr>
          <w:rFonts w:ascii="Trebuchet MS" w:hAnsi="Trebuchet MS" w:cs="SegoeUI"/>
          <w:lang w:eastAsia="en-GB"/>
        </w:rPr>
        <w:tab/>
      </w:r>
      <w:r w:rsidRPr="003E705D">
        <w:rPr>
          <w:rFonts w:ascii="Trebuchet MS" w:hAnsi="Trebuchet MS" w:cs="SegoeUI"/>
          <w:lang w:eastAsia="en-GB"/>
        </w:rPr>
        <w:tab/>
        <w:t>PL/26/0666</w:t>
      </w:r>
    </w:p>
    <w:p w14:paraId="36ADC23A" w14:textId="0402F221" w:rsidR="00013CF7" w:rsidRPr="003E705D" w:rsidRDefault="00013CF7" w:rsidP="00B15DAF">
      <w:pPr>
        <w:spacing w:after="160"/>
        <w:rPr>
          <w:rFonts w:ascii="Trebuchet MS" w:hAnsi="Trebuchet MS" w:cs="SegoeUI"/>
          <w:lang w:eastAsia="en-GB"/>
        </w:rPr>
      </w:pPr>
      <w:r w:rsidRPr="003E705D">
        <w:rPr>
          <w:rFonts w:ascii="Trebuchet MS" w:hAnsi="Trebuchet MS" w:cs="SegoeUI"/>
          <w:lang w:eastAsia="en-GB"/>
        </w:rPr>
        <w:t xml:space="preserve">Officer: </w:t>
      </w:r>
      <w:r w:rsidRPr="003E705D">
        <w:rPr>
          <w:rFonts w:ascii="Trebuchet MS" w:hAnsi="Trebuchet MS" w:cs="SegoeUI"/>
          <w:lang w:eastAsia="en-GB"/>
        </w:rPr>
        <w:tab/>
      </w:r>
      <w:r w:rsidRPr="003E705D">
        <w:rPr>
          <w:rFonts w:ascii="Trebuchet MS" w:hAnsi="Trebuchet MS" w:cs="SegoeUI"/>
          <w:lang w:eastAsia="en-GB"/>
        </w:rPr>
        <w:tab/>
      </w:r>
      <w:r w:rsidRPr="003E705D">
        <w:rPr>
          <w:rFonts w:ascii="Trebuchet MS" w:hAnsi="Trebuchet MS" w:cs="SegoeUI"/>
          <w:lang w:eastAsia="en-GB"/>
        </w:rPr>
        <w:tab/>
      </w:r>
      <w:r w:rsidRPr="003E705D">
        <w:rPr>
          <w:rFonts w:ascii="Trebuchet MS" w:hAnsi="Trebuchet MS" w:cs="SegoeUI"/>
          <w:lang w:eastAsia="en-GB"/>
        </w:rPr>
        <w:tab/>
        <w:t>Anthony Scholes</w:t>
      </w:r>
    </w:p>
    <w:p w14:paraId="4300F879" w14:textId="70F60340" w:rsidR="00013CF7" w:rsidRPr="003E705D" w:rsidRDefault="00013CF7" w:rsidP="00B15DAF">
      <w:pPr>
        <w:spacing w:after="160"/>
        <w:rPr>
          <w:rFonts w:ascii="Trebuchet MS" w:hAnsi="Trebuchet MS" w:cs="SegoeUI"/>
          <w:lang w:eastAsia="en-GB"/>
        </w:rPr>
      </w:pPr>
      <w:r w:rsidRPr="003E705D">
        <w:rPr>
          <w:rFonts w:ascii="Trebuchet MS" w:hAnsi="Trebuchet MS" w:cs="SegoeUI"/>
          <w:lang w:eastAsia="en-GB"/>
        </w:rPr>
        <w:t>Application Type:</w:t>
      </w:r>
      <w:r w:rsidRPr="003E705D">
        <w:rPr>
          <w:rFonts w:ascii="Trebuchet MS" w:hAnsi="Trebuchet MS" w:cs="SegoeUI"/>
          <w:lang w:eastAsia="en-GB"/>
        </w:rPr>
        <w:tab/>
      </w:r>
      <w:r w:rsidRPr="003E705D">
        <w:rPr>
          <w:rFonts w:ascii="Trebuchet MS" w:hAnsi="Trebuchet MS" w:cs="SegoeUI"/>
          <w:lang w:eastAsia="en-GB"/>
        </w:rPr>
        <w:tab/>
      </w:r>
      <w:r w:rsidRPr="003E705D">
        <w:rPr>
          <w:rFonts w:ascii="Trebuchet MS" w:hAnsi="Trebuchet MS" w:cs="SegoeUI"/>
          <w:lang w:eastAsia="en-GB"/>
        </w:rPr>
        <w:tab/>
        <w:t xml:space="preserve"> Full planning permission</w:t>
      </w:r>
    </w:p>
    <w:p w14:paraId="174905CA" w14:textId="1A1F1AF1" w:rsidR="00013CF7" w:rsidRPr="003E705D" w:rsidRDefault="00013CF7" w:rsidP="00B15DAF">
      <w:pPr>
        <w:spacing w:after="160"/>
        <w:rPr>
          <w:rFonts w:ascii="Trebuchet MS" w:hAnsi="Trebuchet MS" w:cs="SegoeUI"/>
          <w:lang w:eastAsia="en-GB"/>
        </w:rPr>
      </w:pPr>
      <w:r w:rsidRPr="003E705D">
        <w:rPr>
          <w:rFonts w:ascii="Trebuchet MS" w:hAnsi="Trebuchet MS" w:cs="SegoeUI"/>
          <w:lang w:eastAsia="en-GB"/>
        </w:rPr>
        <w:t xml:space="preserve">Address: </w:t>
      </w:r>
      <w:r w:rsidRPr="003E705D">
        <w:rPr>
          <w:rFonts w:ascii="Trebuchet MS" w:hAnsi="Trebuchet MS" w:cs="SegoeUI"/>
          <w:lang w:eastAsia="en-GB"/>
        </w:rPr>
        <w:tab/>
      </w:r>
      <w:r w:rsidRPr="003E705D">
        <w:rPr>
          <w:rFonts w:ascii="Trebuchet MS" w:hAnsi="Trebuchet MS" w:cs="SegoeUI"/>
          <w:lang w:eastAsia="en-GB"/>
        </w:rPr>
        <w:tab/>
      </w:r>
      <w:r w:rsidRPr="003E705D">
        <w:rPr>
          <w:rFonts w:ascii="Trebuchet MS" w:hAnsi="Trebuchet MS" w:cs="SegoeUI"/>
          <w:lang w:eastAsia="en-GB"/>
        </w:rPr>
        <w:tab/>
      </w:r>
      <w:r w:rsidRPr="003E705D">
        <w:rPr>
          <w:rFonts w:ascii="Trebuchet MS" w:hAnsi="Trebuchet MS" w:cs="SegoeUI"/>
          <w:lang w:eastAsia="en-GB"/>
        </w:rPr>
        <w:tab/>
        <w:t>70 WHITLEY STREET, RG2 0EQ</w:t>
      </w:r>
    </w:p>
    <w:p w14:paraId="676FC2F7" w14:textId="687F640E" w:rsidR="00013CF7" w:rsidRPr="003E705D" w:rsidRDefault="00013CF7" w:rsidP="00B15DAF">
      <w:pPr>
        <w:ind w:left="3600" w:hanging="3600"/>
        <w:rPr>
          <w:rFonts w:ascii="Trebuchet MS" w:hAnsi="Trebuchet MS" w:cs="SegoeUI"/>
          <w:lang w:eastAsia="en-GB"/>
        </w:rPr>
      </w:pPr>
      <w:r w:rsidRPr="003E705D">
        <w:rPr>
          <w:rFonts w:ascii="Trebuchet MS" w:hAnsi="Trebuchet MS" w:cs="SegoeUI"/>
          <w:lang w:eastAsia="en-GB"/>
        </w:rPr>
        <w:t>Proposal:</w:t>
      </w:r>
      <w:r w:rsidRPr="003E705D">
        <w:rPr>
          <w:rFonts w:ascii="Trebuchet MS" w:hAnsi="Trebuchet MS" w:cs="SegoeUI"/>
          <w:lang w:eastAsia="en-GB"/>
        </w:rPr>
        <w:tab/>
        <w:t>Erection of 2no. single-storey one-bedroom dwellings</w:t>
      </w:r>
    </w:p>
    <w:p w14:paraId="34FBE05E" w14:textId="77777777" w:rsidR="00B15DAF" w:rsidRDefault="00B15DAF" w:rsidP="00013CF7">
      <w:pPr>
        <w:ind w:left="3600" w:hanging="3600"/>
      </w:pPr>
    </w:p>
    <w:p w14:paraId="03EBC611" w14:textId="02878768" w:rsidR="00F36450" w:rsidRDefault="003E705D" w:rsidP="003E705D">
      <w:pPr>
        <w:spacing w:after="160" w:line="278" w:lineRule="auto"/>
        <w:jc w:val="both"/>
        <w:rPr>
          <w:rFonts w:ascii="Trebuchet MS" w:hAnsi="Trebuchet MS" w:cs="SegoeUI"/>
          <w:lang w:eastAsia="en-GB"/>
        </w:rPr>
      </w:pPr>
      <w:r w:rsidRPr="003E705D">
        <w:rPr>
          <w:rFonts w:ascii="Trebuchet MS" w:hAnsi="Trebuchet MS" w:cs="SegoeUI"/>
          <w:lang w:eastAsia="en-GB"/>
        </w:rPr>
        <w:t>This application is for the erection of 2</w:t>
      </w:r>
      <w:r w:rsidR="00AE7A32">
        <w:rPr>
          <w:rFonts w:ascii="Trebuchet MS" w:hAnsi="Trebuchet MS" w:cs="SegoeUI"/>
          <w:lang w:eastAsia="en-GB"/>
        </w:rPr>
        <w:t xml:space="preserve"> x</w:t>
      </w:r>
      <w:r w:rsidRPr="003E705D">
        <w:rPr>
          <w:rFonts w:ascii="Trebuchet MS" w:hAnsi="Trebuchet MS" w:cs="SegoeUI"/>
          <w:lang w:eastAsia="en-GB"/>
        </w:rPr>
        <w:t xml:space="preserve"> one-bedroom </w:t>
      </w:r>
      <w:r w:rsidR="002E71CD">
        <w:rPr>
          <w:rFonts w:ascii="Trebuchet MS" w:hAnsi="Trebuchet MS" w:cs="SegoeUI"/>
          <w:lang w:eastAsia="en-GB"/>
        </w:rPr>
        <w:t>bungalows</w:t>
      </w:r>
      <w:r w:rsidRPr="003E705D">
        <w:rPr>
          <w:rFonts w:ascii="Trebuchet MS" w:hAnsi="Trebuchet MS" w:cs="SegoeUI"/>
          <w:lang w:eastAsia="en-GB"/>
        </w:rPr>
        <w:t xml:space="preserve"> on land to the rear of 70–72 Whitley Street</w:t>
      </w:r>
      <w:r w:rsidR="00AA160D">
        <w:rPr>
          <w:rFonts w:ascii="Trebuchet MS" w:hAnsi="Trebuchet MS" w:cs="SegoeUI"/>
          <w:lang w:eastAsia="en-GB"/>
        </w:rPr>
        <w:t xml:space="preserve"> (A327)</w:t>
      </w:r>
      <w:r w:rsidRPr="003E705D">
        <w:rPr>
          <w:rFonts w:ascii="Trebuchet MS" w:hAnsi="Trebuchet MS" w:cs="SegoeUI"/>
          <w:lang w:eastAsia="en-GB"/>
        </w:rPr>
        <w:t xml:space="preserve">. </w:t>
      </w:r>
      <w:r w:rsidR="00324CAB">
        <w:rPr>
          <w:rFonts w:ascii="Trebuchet MS" w:hAnsi="Trebuchet MS" w:cs="SegoeUI"/>
          <w:lang w:eastAsia="en-GB"/>
        </w:rPr>
        <w:t xml:space="preserve">  W</w:t>
      </w:r>
      <w:r w:rsidR="00324CAB" w:rsidRPr="00324CAB">
        <w:rPr>
          <w:rFonts w:ascii="Trebuchet MS" w:hAnsi="Trebuchet MS" w:cs="SegoeUI"/>
          <w:lang w:eastAsia="en-GB"/>
        </w:rPr>
        <w:t>hitley Street</w:t>
      </w:r>
      <w:r w:rsidR="00324CAB">
        <w:rPr>
          <w:rFonts w:ascii="Trebuchet MS" w:hAnsi="Trebuchet MS" w:cs="SegoeUI"/>
          <w:lang w:eastAsia="en-GB"/>
        </w:rPr>
        <w:t xml:space="preserve"> </w:t>
      </w:r>
      <w:r w:rsidR="00324CAB" w:rsidRPr="00324CAB">
        <w:rPr>
          <w:rFonts w:ascii="Trebuchet MS" w:hAnsi="Trebuchet MS" w:cs="SegoeUI"/>
          <w:lang w:eastAsia="en-GB"/>
        </w:rPr>
        <w:t>is a principal bus route where parking and loading is prohibited except in signed bays which are</w:t>
      </w:r>
      <w:r w:rsidR="00324CAB">
        <w:rPr>
          <w:rFonts w:ascii="Trebuchet MS" w:hAnsi="Trebuchet MS" w:cs="SegoeUI"/>
          <w:lang w:eastAsia="en-GB"/>
        </w:rPr>
        <w:t xml:space="preserve"> time </w:t>
      </w:r>
      <w:r w:rsidR="00324CAB" w:rsidRPr="00324CAB">
        <w:rPr>
          <w:rFonts w:ascii="Trebuchet MS" w:hAnsi="Trebuchet MS" w:cs="SegoeUI"/>
          <w:lang w:eastAsia="en-GB"/>
        </w:rPr>
        <w:t xml:space="preserve"> restricted to 30 minutes parking</w:t>
      </w:r>
      <w:r w:rsidR="00E265EC">
        <w:rPr>
          <w:rFonts w:ascii="Trebuchet MS" w:hAnsi="Trebuchet MS" w:cs="SegoeUI"/>
          <w:lang w:eastAsia="en-GB"/>
        </w:rPr>
        <w:t>.</w:t>
      </w:r>
    </w:p>
    <w:p w14:paraId="12437D61" w14:textId="565099C9" w:rsidR="003E705D" w:rsidRDefault="00F36450" w:rsidP="003E705D">
      <w:pPr>
        <w:spacing w:after="160" w:line="278" w:lineRule="auto"/>
        <w:jc w:val="both"/>
        <w:rPr>
          <w:rFonts w:ascii="Trebuchet MS" w:hAnsi="Trebuchet MS" w:cs="SegoeUI"/>
          <w:lang w:eastAsia="en-GB"/>
        </w:rPr>
      </w:pPr>
      <w:r>
        <w:rPr>
          <w:rFonts w:ascii="Trebuchet MS" w:hAnsi="Trebuchet MS" w:cs="SegoeUI"/>
          <w:lang w:eastAsia="en-GB"/>
        </w:rPr>
        <w:t xml:space="preserve">The site is </w:t>
      </w:r>
      <w:r w:rsidR="003E705D" w:rsidRPr="00B93B25">
        <w:rPr>
          <w:rFonts w:ascii="Trebuchet MS" w:hAnsi="Trebuchet MS" w:cs="SegoeUI"/>
          <w:lang w:eastAsia="en-GB"/>
        </w:rPr>
        <w:t xml:space="preserve">located in Zone 2, Primary Core Area, of the Revised Parking Standards and Design SPD.  This zone directly surrounds the Central Core and extends to walking distances of 2 kilometres from the centre of Reading. This zone is well served by public transport, with buses continuing either into or out of the Central Core Area via this zone.  </w:t>
      </w:r>
    </w:p>
    <w:p w14:paraId="4B53EA45" w14:textId="13245500" w:rsidR="00517A30" w:rsidRPr="00254263" w:rsidRDefault="00517A30" w:rsidP="00517A30">
      <w:pPr>
        <w:adjustRightInd w:val="0"/>
        <w:jc w:val="both"/>
        <w:rPr>
          <w:rFonts w:ascii="Trebuchet MS" w:hAnsi="Trebuchet MS" w:cs="SegoeUI"/>
          <w:lang w:eastAsia="en-GB"/>
        </w:rPr>
      </w:pPr>
      <w:r w:rsidRPr="00254263">
        <w:rPr>
          <w:rFonts w:ascii="Trebuchet MS" w:hAnsi="Trebuchet MS" w:cs="SegoeUI"/>
          <w:lang w:eastAsia="en-GB"/>
        </w:rPr>
        <w:t xml:space="preserve">In accordance with the adopted Parking SPD, the development would be required to provide 1 on-site parking space per 1 bedroom dwelling.  Off street parking provision is referred to in Paragraph 112 of the NPPF, which says that: </w:t>
      </w:r>
    </w:p>
    <w:p w14:paraId="6D4F2C3C" w14:textId="77777777" w:rsidR="00517A30" w:rsidRPr="00254263" w:rsidRDefault="00517A30" w:rsidP="00517A30">
      <w:pPr>
        <w:numPr>
          <w:ilvl w:val="0"/>
          <w:numId w:val="1"/>
        </w:numPr>
        <w:adjustRightInd w:val="0"/>
        <w:jc w:val="both"/>
        <w:rPr>
          <w:rFonts w:ascii="Trebuchet MS" w:hAnsi="Trebuchet MS" w:cs="SegoeUI"/>
          <w:lang w:eastAsia="en-GB"/>
        </w:rPr>
      </w:pPr>
    </w:p>
    <w:p w14:paraId="4E35FCD6" w14:textId="4303B05D" w:rsidR="00517A30" w:rsidRPr="00254263" w:rsidRDefault="00517A30" w:rsidP="00517A30">
      <w:pPr>
        <w:adjustRightInd w:val="0"/>
        <w:jc w:val="both"/>
        <w:rPr>
          <w:rFonts w:ascii="Trebuchet MS" w:hAnsi="Trebuchet MS" w:cs="SegoeUI"/>
          <w:lang w:eastAsia="en-GB"/>
        </w:rPr>
      </w:pPr>
      <w:r w:rsidRPr="00254263">
        <w:rPr>
          <w:rFonts w:ascii="Trebuchet MS" w:hAnsi="Trebuchet MS" w:cs="SegoeUI"/>
          <w:lang w:eastAsia="en-GB"/>
        </w:rPr>
        <w:t xml:space="preserve">“If setting local parking standards for residential and non-residential development, policies should take into account: </w:t>
      </w:r>
    </w:p>
    <w:p w14:paraId="083177F6" w14:textId="77777777" w:rsidR="00517A30" w:rsidRPr="00254263" w:rsidRDefault="00517A30" w:rsidP="00517A30">
      <w:pPr>
        <w:adjustRightInd w:val="0"/>
        <w:jc w:val="both"/>
        <w:rPr>
          <w:rFonts w:ascii="Trebuchet MS" w:hAnsi="Trebuchet MS" w:cs="SegoeUI"/>
          <w:lang w:eastAsia="en-GB"/>
        </w:rPr>
      </w:pPr>
    </w:p>
    <w:p w14:paraId="6CD3C027" w14:textId="77777777" w:rsidR="00517A30" w:rsidRPr="00254263" w:rsidRDefault="00517A30" w:rsidP="00517A30">
      <w:pPr>
        <w:adjustRightInd w:val="0"/>
        <w:jc w:val="both"/>
        <w:rPr>
          <w:rFonts w:ascii="Trebuchet MS" w:hAnsi="Trebuchet MS" w:cs="SegoeUI"/>
          <w:lang w:eastAsia="en-GB"/>
        </w:rPr>
      </w:pPr>
      <w:r w:rsidRPr="00254263">
        <w:rPr>
          <w:rFonts w:ascii="Trebuchet MS" w:hAnsi="Trebuchet MS" w:cs="SegoeUI"/>
          <w:lang w:eastAsia="en-GB"/>
        </w:rPr>
        <w:t xml:space="preserve">a) the accessibility of the development; </w:t>
      </w:r>
    </w:p>
    <w:p w14:paraId="127F8352" w14:textId="77777777" w:rsidR="00517A30" w:rsidRPr="00254263" w:rsidRDefault="00517A30" w:rsidP="00517A30">
      <w:pPr>
        <w:adjustRightInd w:val="0"/>
        <w:jc w:val="both"/>
        <w:rPr>
          <w:rFonts w:ascii="Trebuchet MS" w:hAnsi="Trebuchet MS" w:cs="SegoeUI"/>
          <w:lang w:eastAsia="en-GB"/>
        </w:rPr>
      </w:pPr>
      <w:r w:rsidRPr="00254263">
        <w:rPr>
          <w:rFonts w:ascii="Trebuchet MS" w:hAnsi="Trebuchet MS" w:cs="SegoeUI"/>
          <w:lang w:eastAsia="en-GB"/>
        </w:rPr>
        <w:t xml:space="preserve">b) the type, mix and use of development; </w:t>
      </w:r>
    </w:p>
    <w:p w14:paraId="40DD8AAD" w14:textId="77777777" w:rsidR="00517A30" w:rsidRPr="00254263" w:rsidRDefault="00517A30" w:rsidP="00517A30">
      <w:pPr>
        <w:adjustRightInd w:val="0"/>
        <w:jc w:val="both"/>
        <w:rPr>
          <w:rFonts w:ascii="Trebuchet MS" w:hAnsi="Trebuchet MS" w:cs="SegoeUI"/>
          <w:lang w:eastAsia="en-GB"/>
        </w:rPr>
      </w:pPr>
      <w:r w:rsidRPr="00254263">
        <w:rPr>
          <w:rFonts w:ascii="Trebuchet MS" w:hAnsi="Trebuchet MS" w:cs="SegoeUI"/>
          <w:lang w:eastAsia="en-GB"/>
        </w:rPr>
        <w:t xml:space="preserve">c) the availability of and opportunities for public transport; </w:t>
      </w:r>
    </w:p>
    <w:p w14:paraId="0E1DD6EF" w14:textId="77777777" w:rsidR="00517A30" w:rsidRPr="00254263" w:rsidRDefault="00517A30" w:rsidP="00517A30">
      <w:pPr>
        <w:adjustRightInd w:val="0"/>
        <w:jc w:val="both"/>
        <w:rPr>
          <w:rFonts w:ascii="Trebuchet MS" w:hAnsi="Trebuchet MS" w:cs="SegoeUI"/>
          <w:lang w:eastAsia="en-GB"/>
        </w:rPr>
      </w:pPr>
      <w:r w:rsidRPr="00254263">
        <w:rPr>
          <w:rFonts w:ascii="Trebuchet MS" w:hAnsi="Trebuchet MS" w:cs="SegoeUI"/>
          <w:lang w:eastAsia="en-GB"/>
        </w:rPr>
        <w:t xml:space="preserve">d) local car ownership levels; and </w:t>
      </w:r>
    </w:p>
    <w:p w14:paraId="7E3C7F49" w14:textId="29CB3843" w:rsidR="00517A30" w:rsidRPr="00254263" w:rsidRDefault="00517A30" w:rsidP="00517A30">
      <w:pPr>
        <w:adjustRightInd w:val="0"/>
        <w:jc w:val="both"/>
        <w:rPr>
          <w:rFonts w:ascii="Trebuchet MS" w:hAnsi="Trebuchet MS" w:cs="SegoeUI"/>
          <w:lang w:eastAsia="en-GB"/>
        </w:rPr>
      </w:pPr>
      <w:r w:rsidRPr="00254263">
        <w:rPr>
          <w:rFonts w:ascii="Trebuchet MS" w:hAnsi="Trebuchet MS" w:cs="SegoeUI"/>
          <w:lang w:eastAsia="en-GB"/>
        </w:rPr>
        <w:t>e) the need to ensure an adequate provision of spaces for charging plug-in and other ultra-low emission vehicles.”</w:t>
      </w:r>
    </w:p>
    <w:p w14:paraId="06DDB8AB" w14:textId="77777777" w:rsidR="00517A30" w:rsidRPr="00254263" w:rsidRDefault="00517A30" w:rsidP="00517A30">
      <w:pPr>
        <w:adjustRightInd w:val="0"/>
        <w:jc w:val="both"/>
        <w:rPr>
          <w:rFonts w:ascii="Trebuchet MS" w:hAnsi="Trebuchet MS" w:cs="SegoeUI"/>
          <w:lang w:eastAsia="en-GB"/>
        </w:rPr>
      </w:pPr>
    </w:p>
    <w:p w14:paraId="7AFA53FB" w14:textId="60981493" w:rsidR="00DF59EC" w:rsidRPr="00254263" w:rsidRDefault="00517A30" w:rsidP="00290E55">
      <w:pPr>
        <w:adjustRightInd w:val="0"/>
        <w:jc w:val="both"/>
        <w:rPr>
          <w:rFonts w:ascii="Trebuchet MS" w:hAnsi="Trebuchet MS" w:cs="SegoeUI"/>
          <w:lang w:eastAsia="en-GB"/>
        </w:rPr>
      </w:pPr>
      <w:r w:rsidRPr="00254263">
        <w:rPr>
          <w:rFonts w:ascii="Trebuchet MS" w:hAnsi="Trebuchet MS" w:cs="SegoeUI"/>
          <w:lang w:eastAsia="en-GB"/>
        </w:rPr>
        <w:t>The applicant is proposing a car free development</w:t>
      </w:r>
      <w:r w:rsidR="00AD11D9" w:rsidRPr="00254263">
        <w:rPr>
          <w:rFonts w:ascii="Trebuchet MS" w:hAnsi="Trebuchet MS" w:cs="SegoeUI"/>
          <w:lang w:eastAsia="en-GB"/>
        </w:rPr>
        <w:t xml:space="preserve">.  </w:t>
      </w:r>
      <w:r w:rsidR="006D149C" w:rsidRPr="00254263">
        <w:rPr>
          <w:rFonts w:ascii="Trebuchet MS" w:hAnsi="Trebuchet MS" w:cs="SegoeUI"/>
          <w:lang w:eastAsia="en-GB"/>
        </w:rPr>
        <w:t>However,</w:t>
      </w:r>
      <w:r w:rsidR="00652D4D" w:rsidRPr="00254263">
        <w:rPr>
          <w:rFonts w:ascii="Trebuchet MS" w:hAnsi="Trebuchet MS" w:cs="SegoeUI"/>
          <w:lang w:eastAsia="en-GB"/>
        </w:rPr>
        <w:t xml:space="preserve"> </w:t>
      </w:r>
      <w:r w:rsidR="001C76FC" w:rsidRPr="00254263">
        <w:rPr>
          <w:rFonts w:ascii="Trebuchet MS" w:hAnsi="Trebuchet MS" w:cs="SegoeUI"/>
          <w:lang w:eastAsia="en-GB"/>
        </w:rPr>
        <w:t>section 4.11 of the</w:t>
      </w:r>
      <w:r w:rsidR="00652D4D" w:rsidRPr="00254263">
        <w:rPr>
          <w:rFonts w:ascii="Trebuchet MS" w:hAnsi="Trebuchet MS" w:cs="SegoeUI"/>
          <w:lang w:eastAsia="en-GB"/>
        </w:rPr>
        <w:t xml:space="preserve"> planning statement states</w:t>
      </w:r>
      <w:r w:rsidR="00DE3915" w:rsidRPr="00254263">
        <w:rPr>
          <w:rFonts w:ascii="Trebuchet MS" w:hAnsi="Trebuchet MS" w:cs="SegoeUI"/>
          <w:lang w:eastAsia="en-GB"/>
        </w:rPr>
        <w:t>:</w:t>
      </w:r>
    </w:p>
    <w:p w14:paraId="1230FE8D" w14:textId="77777777" w:rsidR="00B47D3A" w:rsidRPr="00254263" w:rsidRDefault="00B47D3A" w:rsidP="00290E55">
      <w:pPr>
        <w:adjustRightInd w:val="0"/>
        <w:jc w:val="both"/>
        <w:rPr>
          <w:rFonts w:ascii="Trebuchet MS" w:hAnsi="Trebuchet MS" w:cs="SegoeUI"/>
          <w:lang w:eastAsia="en-GB"/>
        </w:rPr>
      </w:pPr>
    </w:p>
    <w:p w14:paraId="58F32252" w14:textId="173A0FD5" w:rsidR="00B47D3A" w:rsidRPr="00254263" w:rsidRDefault="00B47D3A" w:rsidP="00B47D3A">
      <w:pPr>
        <w:numPr>
          <w:ilvl w:val="0"/>
          <w:numId w:val="4"/>
        </w:numPr>
        <w:adjustRightInd w:val="0"/>
        <w:jc w:val="both"/>
        <w:rPr>
          <w:rFonts w:ascii="Trebuchet MS" w:hAnsi="Trebuchet MS" w:cs="SegoeUI"/>
          <w:i/>
          <w:iCs/>
          <w:lang w:eastAsia="en-GB"/>
        </w:rPr>
      </w:pPr>
      <w:r w:rsidRPr="00254263">
        <w:rPr>
          <w:rFonts w:ascii="Trebuchet MS" w:hAnsi="Trebuchet MS" w:cs="SegoeUI"/>
          <w:i/>
          <w:iCs/>
          <w:lang w:eastAsia="en-GB"/>
        </w:rPr>
        <w:t>“the adjacent private car park to the site, is under the same landownership and therefore residents can utilise this parking area. The parking area consists of 7 spaces and is utilised by the Turkish Halal store which has a floor area of 152 m² (Planning Consent 181351/FUL, Change of use of the ground floor (152 sq.m) from use class A4 (public house) to A1 (retail)). In accordance with the Reading Borough Council Parking SPD, food retail stores within Parking Zone 2 require 1 space per 40m², thus the retail unit requires 4 parking spaces. This results in a surplus of three spaces which the residential units will have the use of, if required</w:t>
      </w:r>
      <w:r w:rsidR="00A52345" w:rsidRPr="00254263">
        <w:rPr>
          <w:rFonts w:ascii="Trebuchet MS" w:hAnsi="Trebuchet MS" w:cs="SegoeUI"/>
          <w:i/>
          <w:iCs/>
          <w:lang w:eastAsia="en-GB"/>
        </w:rPr>
        <w:t>”.</w:t>
      </w:r>
    </w:p>
    <w:p w14:paraId="72F26AAB" w14:textId="77777777" w:rsidR="00B47D3A" w:rsidRPr="00254263" w:rsidRDefault="00B47D3A" w:rsidP="00290E55">
      <w:pPr>
        <w:adjustRightInd w:val="0"/>
        <w:jc w:val="both"/>
        <w:rPr>
          <w:rFonts w:ascii="Trebuchet MS" w:hAnsi="Trebuchet MS" w:cs="SegoeUI"/>
          <w:i/>
          <w:iCs/>
          <w:lang w:eastAsia="en-GB"/>
        </w:rPr>
      </w:pPr>
    </w:p>
    <w:p w14:paraId="04889C67" w14:textId="77777777" w:rsidR="003E79B4" w:rsidRPr="00254263" w:rsidRDefault="003E79B4" w:rsidP="003E79B4">
      <w:pPr>
        <w:adjustRightInd w:val="0"/>
        <w:jc w:val="both"/>
        <w:rPr>
          <w:rFonts w:ascii="Trebuchet MS" w:hAnsi="Trebuchet MS" w:cs="SegoeUI"/>
          <w:lang w:eastAsia="en-GB"/>
        </w:rPr>
      </w:pPr>
      <w:r w:rsidRPr="00254263">
        <w:rPr>
          <w:rFonts w:ascii="Trebuchet MS" w:hAnsi="Trebuchet MS" w:cs="SegoeUI"/>
          <w:lang w:eastAsia="en-GB"/>
        </w:rPr>
        <w:lastRenderedPageBreak/>
        <w:t>Although the site is located within a sustainable location, there are areas within the immediate vicinity where parking restrictions do not apply. This may lead to overspill on-street parking.</w:t>
      </w:r>
    </w:p>
    <w:p w14:paraId="1867890B" w14:textId="77777777" w:rsidR="00E26B85" w:rsidRPr="00254263" w:rsidRDefault="00E26B85" w:rsidP="003E79B4">
      <w:pPr>
        <w:adjustRightInd w:val="0"/>
        <w:jc w:val="both"/>
        <w:rPr>
          <w:rFonts w:ascii="Trebuchet MS" w:hAnsi="Trebuchet MS" w:cs="SegoeUI"/>
          <w:lang w:eastAsia="en-GB"/>
        </w:rPr>
      </w:pPr>
    </w:p>
    <w:p w14:paraId="07E4CB27" w14:textId="65BB2B34" w:rsidR="003E79B4" w:rsidRPr="00254263" w:rsidRDefault="003E79B4" w:rsidP="003E79B4">
      <w:pPr>
        <w:adjustRightInd w:val="0"/>
        <w:jc w:val="both"/>
        <w:rPr>
          <w:rFonts w:ascii="Trebuchet MS" w:hAnsi="Trebuchet MS" w:cs="SegoeUI"/>
          <w:lang w:eastAsia="en-GB"/>
        </w:rPr>
      </w:pPr>
      <w:r w:rsidRPr="00254263">
        <w:rPr>
          <w:rFonts w:ascii="Trebuchet MS" w:hAnsi="Trebuchet MS" w:cs="SegoeUI"/>
          <w:lang w:eastAsia="en-GB"/>
        </w:rPr>
        <w:t xml:space="preserve">Furthermore, there is an inconsistency within the applicant’s Planning Statement. While the development is described as a “car-free” scheme, it is also stated that parking could be accommodated within the </w:t>
      </w:r>
      <w:r w:rsidR="00292090" w:rsidRPr="00254263">
        <w:rPr>
          <w:rFonts w:ascii="Trebuchet MS" w:hAnsi="Trebuchet MS" w:cs="SegoeUI"/>
          <w:lang w:eastAsia="en-GB"/>
        </w:rPr>
        <w:t>adjacent private</w:t>
      </w:r>
      <w:r w:rsidRPr="00254263">
        <w:rPr>
          <w:rFonts w:ascii="Trebuchet MS" w:hAnsi="Trebuchet MS" w:cs="SegoeUI"/>
          <w:lang w:eastAsia="en-GB"/>
        </w:rPr>
        <w:t xml:space="preserve"> car park for residents of the proposed dwellings. This contradiction requires clarification.</w:t>
      </w:r>
    </w:p>
    <w:p w14:paraId="3EBBB8F7" w14:textId="77777777" w:rsidR="00535B77" w:rsidRPr="00254263" w:rsidRDefault="00535B77" w:rsidP="003E79B4">
      <w:pPr>
        <w:adjustRightInd w:val="0"/>
        <w:jc w:val="both"/>
        <w:rPr>
          <w:rFonts w:ascii="Trebuchet MS" w:hAnsi="Trebuchet MS" w:cs="SegoeUI"/>
          <w:lang w:eastAsia="en-GB"/>
        </w:rPr>
      </w:pPr>
    </w:p>
    <w:p w14:paraId="6F523F54" w14:textId="77777777" w:rsidR="003E79B4" w:rsidRPr="00254263" w:rsidRDefault="003E79B4" w:rsidP="003E79B4">
      <w:pPr>
        <w:adjustRightInd w:val="0"/>
        <w:jc w:val="both"/>
        <w:rPr>
          <w:rFonts w:ascii="Trebuchet MS" w:hAnsi="Trebuchet MS" w:cs="SegoeUI"/>
          <w:lang w:eastAsia="en-GB"/>
        </w:rPr>
      </w:pPr>
      <w:r w:rsidRPr="00254263">
        <w:rPr>
          <w:rFonts w:ascii="Trebuchet MS" w:hAnsi="Trebuchet MS" w:cs="SegoeUI"/>
          <w:lang w:eastAsia="en-GB"/>
        </w:rPr>
        <w:t>Accordingly, it is considered necessary to secure a dedicated provision of two car parking spaces within the adjacent car park for use by residents of the proposed development.</w:t>
      </w:r>
    </w:p>
    <w:p w14:paraId="0AE3A1AB" w14:textId="77777777" w:rsidR="00921E79" w:rsidRPr="00254263" w:rsidRDefault="00921E79" w:rsidP="003E79B4">
      <w:pPr>
        <w:adjustRightInd w:val="0"/>
        <w:jc w:val="both"/>
        <w:rPr>
          <w:rFonts w:ascii="Trebuchet MS" w:hAnsi="Trebuchet MS" w:cs="SegoeUI"/>
          <w:lang w:eastAsia="en-GB"/>
        </w:rPr>
      </w:pPr>
    </w:p>
    <w:p w14:paraId="41546124" w14:textId="77777777" w:rsidR="003E79B4" w:rsidRPr="00254263" w:rsidRDefault="003E79B4" w:rsidP="003E79B4">
      <w:pPr>
        <w:adjustRightInd w:val="0"/>
        <w:jc w:val="both"/>
        <w:rPr>
          <w:rFonts w:ascii="Trebuchet MS" w:hAnsi="Trebuchet MS" w:cs="SegoeUI"/>
          <w:lang w:eastAsia="en-GB"/>
        </w:rPr>
      </w:pPr>
      <w:r w:rsidRPr="00254263">
        <w:rPr>
          <w:rFonts w:ascii="Trebuchet MS" w:hAnsi="Trebuchet MS" w:cs="SegoeUI"/>
          <w:lang w:eastAsia="en-GB"/>
        </w:rPr>
        <w:t>Given that the car park would serve both the residential units and the retail unit, a Car Park Management Plan should be submitted and approved. This plan should set out how parking spaces will be allocated, managed, and controlled to prevent conflicts between users.</w:t>
      </w:r>
    </w:p>
    <w:p w14:paraId="3B6C673A" w14:textId="77777777" w:rsidR="00DC138A" w:rsidRPr="00254263" w:rsidRDefault="00DC138A" w:rsidP="003E79B4">
      <w:pPr>
        <w:adjustRightInd w:val="0"/>
        <w:jc w:val="both"/>
        <w:rPr>
          <w:rFonts w:ascii="Trebuchet MS" w:hAnsi="Trebuchet MS" w:cs="SegoeUI"/>
          <w:lang w:eastAsia="en-GB"/>
        </w:rPr>
      </w:pPr>
    </w:p>
    <w:p w14:paraId="5D1F8402" w14:textId="77777777" w:rsidR="003E79B4" w:rsidRPr="00254263" w:rsidRDefault="003E79B4" w:rsidP="003E79B4">
      <w:pPr>
        <w:adjustRightInd w:val="0"/>
        <w:jc w:val="both"/>
        <w:rPr>
          <w:rFonts w:ascii="Trebuchet MS" w:hAnsi="Trebuchet MS" w:cs="SegoeUI"/>
          <w:lang w:eastAsia="en-GB"/>
        </w:rPr>
      </w:pPr>
      <w:r w:rsidRPr="00254263">
        <w:rPr>
          <w:rFonts w:ascii="Trebuchet MS" w:hAnsi="Trebuchet MS" w:cs="SegoeUI"/>
          <w:lang w:eastAsia="en-GB"/>
        </w:rPr>
        <w:t>In addition, Electric Vehicle (EV) charging infrastructure should be provided, with at least one charging point per dwelling, in accordance with sustainable transport objectives.</w:t>
      </w:r>
    </w:p>
    <w:p w14:paraId="3846A944" w14:textId="77777777" w:rsidR="00D51D15" w:rsidRPr="00254263" w:rsidRDefault="00D51D15" w:rsidP="00290E55">
      <w:pPr>
        <w:adjustRightInd w:val="0"/>
        <w:jc w:val="both"/>
        <w:rPr>
          <w:rFonts w:ascii="Trebuchet MS" w:hAnsi="Trebuchet MS" w:cs="SegoeUI"/>
          <w:lang w:eastAsia="en-GB"/>
        </w:rPr>
      </w:pPr>
    </w:p>
    <w:p w14:paraId="208793E3" w14:textId="32265DE1" w:rsidR="00BD7F72" w:rsidRPr="00254263" w:rsidRDefault="00BD7F72" w:rsidP="00E345C4">
      <w:pPr>
        <w:adjustRightInd w:val="0"/>
        <w:jc w:val="both"/>
        <w:rPr>
          <w:rFonts w:ascii="Trebuchet MS" w:hAnsi="Trebuchet MS" w:cs="SegoeUI"/>
          <w:lang w:eastAsia="en-GB"/>
        </w:rPr>
      </w:pPr>
      <w:r w:rsidRPr="00254263">
        <w:rPr>
          <w:rFonts w:ascii="Trebuchet MS" w:hAnsi="Trebuchet MS" w:cs="SegoeUI"/>
          <w:lang w:eastAsia="en-GB"/>
        </w:rPr>
        <w:t xml:space="preserve">The Councils Residential Permit Scheme operates in the surrounding streets therefore </w:t>
      </w:r>
      <w:r w:rsidR="005B16D6" w:rsidRPr="00254263">
        <w:rPr>
          <w:rFonts w:ascii="Trebuchet MS" w:hAnsi="Trebuchet MS" w:cs="SegoeUI"/>
          <w:lang w:eastAsia="en-GB"/>
        </w:rPr>
        <w:t>t</w:t>
      </w:r>
      <w:r w:rsidRPr="00254263">
        <w:rPr>
          <w:rFonts w:ascii="Trebuchet MS" w:hAnsi="Trebuchet MS" w:cs="SegoeUI"/>
          <w:lang w:eastAsia="en-GB"/>
        </w:rPr>
        <w:t xml:space="preserve">he applicant should note that if </w:t>
      </w:r>
      <w:r w:rsidR="002F085E" w:rsidRPr="00254263">
        <w:rPr>
          <w:rFonts w:ascii="Trebuchet MS" w:hAnsi="Trebuchet MS" w:cs="SegoeUI"/>
          <w:lang w:eastAsia="en-GB"/>
        </w:rPr>
        <w:t xml:space="preserve">this </w:t>
      </w:r>
      <w:r w:rsidRPr="00254263">
        <w:rPr>
          <w:rFonts w:ascii="Trebuchet MS" w:hAnsi="Trebuchet MS" w:cs="SegoeUI"/>
          <w:lang w:eastAsia="en-GB"/>
        </w:rPr>
        <w:t>application is</w:t>
      </w:r>
      <w:r w:rsidR="00281003" w:rsidRPr="00254263">
        <w:rPr>
          <w:rFonts w:ascii="Trebuchet MS" w:hAnsi="Trebuchet MS" w:cs="SegoeUI"/>
          <w:lang w:eastAsia="en-GB"/>
        </w:rPr>
        <w:t xml:space="preserve"> approved </w:t>
      </w:r>
      <w:r w:rsidRPr="00254263">
        <w:rPr>
          <w:rFonts w:ascii="Trebuchet MS" w:hAnsi="Trebuchet MS" w:cs="SegoeUI"/>
          <w:lang w:eastAsia="en-GB"/>
        </w:rPr>
        <w:t>the relevant conditions and informatives would be applied preventing future occupants from applying for any resident or visitor permits.</w:t>
      </w:r>
    </w:p>
    <w:p w14:paraId="0C412E74" w14:textId="77777777" w:rsidR="00BD7F72" w:rsidRPr="00254263" w:rsidRDefault="00BD7F72" w:rsidP="00BD7F72">
      <w:pPr>
        <w:jc w:val="both"/>
        <w:rPr>
          <w:rFonts w:ascii="Trebuchet MS" w:hAnsi="Trebuchet MS" w:cs="SegoeUI"/>
          <w:lang w:eastAsia="en-GB"/>
        </w:rPr>
      </w:pPr>
    </w:p>
    <w:p w14:paraId="6A35DB27" w14:textId="2CC22989" w:rsidR="00423A6A" w:rsidRPr="00254263" w:rsidRDefault="00BD7F72" w:rsidP="00BD7F72">
      <w:pPr>
        <w:jc w:val="both"/>
        <w:rPr>
          <w:rFonts w:ascii="Trebuchet MS" w:hAnsi="Trebuchet MS" w:cs="SegoeUI"/>
          <w:lang w:eastAsia="en-GB"/>
        </w:rPr>
      </w:pPr>
      <w:r w:rsidRPr="00254263">
        <w:rPr>
          <w:rFonts w:ascii="Trebuchet MS" w:hAnsi="Trebuchet MS" w:cs="SegoeUI"/>
          <w:lang w:eastAsia="en-GB"/>
        </w:rPr>
        <w:t xml:space="preserve">Bin storage should comply with Reading Borough Council’s Waste management guidelines for property developers. </w:t>
      </w:r>
    </w:p>
    <w:p w14:paraId="3D203DB0" w14:textId="77777777" w:rsidR="00DA2C01" w:rsidRDefault="00423A6A" w:rsidP="007C7748">
      <w:pPr>
        <w:jc w:val="both"/>
        <w:rPr>
          <w:rFonts w:ascii="Trebuchet MS" w:hAnsi="Trebuchet MS" w:cs="SegoeUI"/>
          <w:lang w:eastAsia="en-GB"/>
        </w:rPr>
      </w:pPr>
      <w:r w:rsidRPr="00254263">
        <w:rPr>
          <w:rFonts w:ascii="Trebuchet MS" w:hAnsi="Trebuchet MS" w:cs="SegoeUI"/>
          <w:noProof/>
          <w:lang w:eastAsia="en-GB"/>
        </w:rPr>
        <w:drawing>
          <wp:inline distT="0" distB="0" distL="0" distR="0" wp14:anchorId="6D08D7C0" wp14:editId="312B75EB">
            <wp:extent cx="1838740" cy="1507393"/>
            <wp:effectExtent l="0" t="0" r="0" b="0"/>
            <wp:docPr id="1704801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7138" cy="1522475"/>
                    </a:xfrm>
                    <a:prstGeom prst="rect">
                      <a:avLst/>
                    </a:prstGeom>
                    <a:noFill/>
                    <a:ln>
                      <a:noFill/>
                    </a:ln>
                  </pic:spPr>
                </pic:pic>
              </a:graphicData>
            </a:graphic>
          </wp:inline>
        </w:drawing>
      </w:r>
      <w:r w:rsidR="002016AA" w:rsidRPr="00254263">
        <w:rPr>
          <w:rFonts w:ascii="Trebuchet MS" w:hAnsi="Trebuchet MS" w:cs="SegoeUI"/>
          <w:lang w:eastAsia="en-GB"/>
        </w:rPr>
        <w:t xml:space="preserve"> </w:t>
      </w:r>
      <w:r w:rsidR="002016AA" w:rsidRPr="00254263">
        <w:rPr>
          <w:rFonts w:ascii="Trebuchet MS" w:hAnsi="Trebuchet MS" w:cs="SegoeUI"/>
          <w:noProof/>
          <w:lang w:eastAsia="en-GB"/>
        </w:rPr>
        <w:drawing>
          <wp:inline distT="0" distB="0" distL="0" distR="0" wp14:anchorId="4C8B0787" wp14:editId="57D562DF">
            <wp:extent cx="2891155" cy="1358265"/>
            <wp:effectExtent l="0" t="0" r="4445" b="0"/>
            <wp:docPr id="11345114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1155" cy="1358265"/>
                    </a:xfrm>
                    <a:prstGeom prst="rect">
                      <a:avLst/>
                    </a:prstGeom>
                    <a:noFill/>
                    <a:ln>
                      <a:noFill/>
                    </a:ln>
                  </pic:spPr>
                </pic:pic>
              </a:graphicData>
            </a:graphic>
          </wp:inline>
        </w:drawing>
      </w:r>
    </w:p>
    <w:p w14:paraId="19D476FC" w14:textId="77777777" w:rsidR="00DA2C01" w:rsidRDefault="00DA2C01" w:rsidP="007C7748">
      <w:pPr>
        <w:jc w:val="both"/>
        <w:rPr>
          <w:rFonts w:ascii="Trebuchet MS" w:hAnsi="Trebuchet MS" w:cs="SegoeUI"/>
          <w:lang w:eastAsia="en-GB"/>
        </w:rPr>
      </w:pPr>
    </w:p>
    <w:p w14:paraId="6E185379" w14:textId="4EDDD984" w:rsidR="007C7748" w:rsidRPr="00254263" w:rsidRDefault="00DA2C01" w:rsidP="007C7748">
      <w:pPr>
        <w:jc w:val="both"/>
        <w:rPr>
          <w:rFonts w:ascii="Trebuchet MS" w:hAnsi="Trebuchet MS" w:cs="SegoeUI"/>
          <w:lang w:eastAsia="en-GB"/>
        </w:rPr>
      </w:pPr>
      <w:r>
        <w:rPr>
          <w:rFonts w:ascii="Trebuchet MS" w:hAnsi="Trebuchet MS" w:cs="SegoeUI"/>
          <w:lang w:eastAsia="en-GB"/>
        </w:rPr>
        <w:t>I</w:t>
      </w:r>
      <w:r w:rsidR="007C7748" w:rsidRPr="00254263">
        <w:rPr>
          <w:rFonts w:ascii="Trebuchet MS" w:hAnsi="Trebuchet MS" w:cs="SegoeUI"/>
          <w:lang w:eastAsia="en-GB"/>
        </w:rPr>
        <w:t xml:space="preserve">t is unclear how a refuse vehicle would access the site and comply with the recommended pulling and carrying distances. </w:t>
      </w:r>
      <w:r w:rsidR="00B53094" w:rsidRPr="00254263">
        <w:rPr>
          <w:rFonts w:ascii="Trebuchet MS" w:hAnsi="Trebuchet MS" w:cs="SegoeUI"/>
          <w:lang w:eastAsia="en-GB"/>
        </w:rPr>
        <w:t>The waste co</w:t>
      </w:r>
      <w:r w:rsidR="008E2119" w:rsidRPr="00254263">
        <w:rPr>
          <w:rFonts w:ascii="Trebuchet MS" w:hAnsi="Trebuchet MS" w:cs="SegoeUI"/>
          <w:lang w:eastAsia="en-GB"/>
        </w:rPr>
        <w:t>llection team will need to be consulted to determine how and if they would collect from the proposed properties</w:t>
      </w:r>
      <w:r w:rsidR="00FE1E9D" w:rsidRPr="00254263">
        <w:rPr>
          <w:rFonts w:ascii="Trebuchet MS" w:hAnsi="Trebuchet MS" w:cs="SegoeUI"/>
          <w:lang w:eastAsia="en-GB"/>
        </w:rPr>
        <w:t xml:space="preserve">, </w:t>
      </w:r>
      <w:r w:rsidR="00501081" w:rsidRPr="00254263">
        <w:rPr>
          <w:rFonts w:ascii="Trebuchet MS" w:hAnsi="Trebuchet MS" w:cs="SegoeUI"/>
          <w:lang w:eastAsia="en-GB"/>
        </w:rPr>
        <w:t>alternatively</w:t>
      </w:r>
      <w:r w:rsidR="00FE1E9D" w:rsidRPr="00254263">
        <w:rPr>
          <w:rFonts w:ascii="Trebuchet MS" w:hAnsi="Trebuchet MS" w:cs="SegoeUI"/>
          <w:lang w:eastAsia="en-GB"/>
        </w:rPr>
        <w:t xml:space="preserve"> a dedicated waste collection point will need to be </w:t>
      </w:r>
      <w:r w:rsidR="00501081" w:rsidRPr="00254263">
        <w:rPr>
          <w:rFonts w:ascii="Trebuchet MS" w:hAnsi="Trebuchet MS" w:cs="SegoeUI"/>
          <w:lang w:eastAsia="en-GB"/>
        </w:rPr>
        <w:t xml:space="preserve">illustrated on revised plans. </w:t>
      </w:r>
    </w:p>
    <w:p w14:paraId="3C818A6C" w14:textId="77777777" w:rsidR="00423A6A" w:rsidRPr="00254263" w:rsidRDefault="00423A6A" w:rsidP="00BD7F72">
      <w:pPr>
        <w:jc w:val="both"/>
        <w:rPr>
          <w:rFonts w:ascii="Trebuchet MS" w:hAnsi="Trebuchet MS" w:cs="SegoeUI"/>
          <w:lang w:eastAsia="en-GB"/>
        </w:rPr>
      </w:pPr>
    </w:p>
    <w:p w14:paraId="6AF6F847" w14:textId="77777777" w:rsidR="00BD7F72" w:rsidRPr="00254263" w:rsidRDefault="00BD7F72" w:rsidP="00BD7F72">
      <w:pPr>
        <w:jc w:val="both"/>
        <w:rPr>
          <w:rFonts w:ascii="Trebuchet MS" w:hAnsi="Trebuchet MS" w:cs="SegoeUI"/>
          <w:lang w:eastAsia="en-GB"/>
        </w:rPr>
      </w:pPr>
      <w:r w:rsidRPr="00254263">
        <w:rPr>
          <w:rFonts w:ascii="Trebuchet MS" w:hAnsi="Trebuchet MS" w:cs="SegoeUI"/>
          <w:lang w:eastAsia="en-GB"/>
        </w:rPr>
        <w:t xml:space="preserve">In accordance with the adopted Parking SPD, the development is required to provide a minimum of 1.0 secure cycle parking space for each dwelling which in a lockable, covered store in a development of this nature, this can be provided in each private rear garden. </w:t>
      </w:r>
    </w:p>
    <w:p w14:paraId="4BDF8FB2" w14:textId="77777777" w:rsidR="00BD7F72" w:rsidRPr="00254263" w:rsidRDefault="00BD7F72" w:rsidP="00BD7F72">
      <w:pPr>
        <w:jc w:val="both"/>
        <w:rPr>
          <w:rFonts w:ascii="Trebuchet MS" w:hAnsi="Trebuchet MS" w:cs="SegoeUI"/>
          <w:lang w:eastAsia="en-GB"/>
        </w:rPr>
      </w:pPr>
      <w:r w:rsidRPr="00254263">
        <w:rPr>
          <w:rFonts w:ascii="Trebuchet MS" w:hAnsi="Trebuchet MS" w:cs="SegoeUI"/>
          <w:lang w:eastAsia="en-GB"/>
        </w:rPr>
        <w:lastRenderedPageBreak/>
        <w:t>A construction method statement would be required and secured by condition if a full application is approved.</w:t>
      </w:r>
    </w:p>
    <w:p w14:paraId="5A988783" w14:textId="4470B2C3" w:rsidR="00BD7F72" w:rsidRPr="00254263" w:rsidRDefault="00BD7F72" w:rsidP="00BD7F72">
      <w:pPr>
        <w:jc w:val="both"/>
        <w:rPr>
          <w:rFonts w:ascii="Trebuchet MS" w:hAnsi="Trebuchet MS" w:cs="SegoeUI"/>
          <w:lang w:eastAsia="en-GB"/>
        </w:rPr>
      </w:pPr>
    </w:p>
    <w:p w14:paraId="18163D5A" w14:textId="60DDAACD" w:rsidR="00064B6A" w:rsidRDefault="00064B6A" w:rsidP="00BD7F72">
      <w:pPr>
        <w:jc w:val="both"/>
        <w:rPr>
          <w:rFonts w:ascii="Trebuchet MS" w:hAnsi="Trebuchet MS" w:cs="SegoeUI"/>
          <w:lang w:eastAsia="en-GB"/>
        </w:rPr>
      </w:pPr>
      <w:r w:rsidRPr="00254263">
        <w:rPr>
          <w:rFonts w:ascii="Trebuchet MS" w:hAnsi="Trebuchet MS" w:cs="SegoeUI"/>
          <w:lang w:eastAsia="en-GB"/>
        </w:rPr>
        <w:t>Please ask the applicant to address the comments</w:t>
      </w:r>
      <w:r w:rsidR="00AE7A32" w:rsidRPr="00254263">
        <w:rPr>
          <w:rFonts w:ascii="Trebuchet MS" w:hAnsi="Trebuchet MS" w:cs="SegoeUI"/>
          <w:lang w:eastAsia="en-GB"/>
        </w:rPr>
        <w:t xml:space="preserve"> above</w:t>
      </w:r>
      <w:r w:rsidRPr="00254263">
        <w:rPr>
          <w:rFonts w:ascii="Trebuchet MS" w:hAnsi="Trebuchet MS" w:cs="SegoeUI"/>
          <w:lang w:eastAsia="en-GB"/>
        </w:rPr>
        <w:t xml:space="preserve"> </w:t>
      </w:r>
      <w:r w:rsidR="0076320D" w:rsidRPr="00254263">
        <w:rPr>
          <w:rFonts w:ascii="Trebuchet MS" w:hAnsi="Trebuchet MS" w:cs="SegoeUI"/>
          <w:lang w:eastAsia="en-GB"/>
        </w:rPr>
        <w:t xml:space="preserve">including </w:t>
      </w:r>
      <w:r w:rsidR="002B27A3" w:rsidRPr="00254263">
        <w:rPr>
          <w:rFonts w:ascii="Trebuchet MS" w:hAnsi="Trebuchet MS" w:cs="SegoeUI"/>
          <w:lang w:eastAsia="en-GB"/>
        </w:rPr>
        <w:t>confirmation of collection of refuse arrangements from the Councils refuse and collection team</w:t>
      </w:r>
      <w:r w:rsidR="00AE7A32" w:rsidRPr="00254263">
        <w:rPr>
          <w:rFonts w:ascii="Trebuchet MS" w:hAnsi="Trebuchet MS" w:cs="SegoeUI"/>
          <w:lang w:eastAsia="en-GB"/>
        </w:rPr>
        <w:t xml:space="preserve"> so that this application can be fully determined. </w:t>
      </w:r>
    </w:p>
    <w:p w14:paraId="7A939E9F" w14:textId="77777777" w:rsidR="00254263" w:rsidRDefault="00254263" w:rsidP="00BD7F72">
      <w:pPr>
        <w:jc w:val="both"/>
        <w:rPr>
          <w:rFonts w:ascii="Trebuchet MS" w:hAnsi="Trebuchet MS" w:cs="SegoeUI"/>
          <w:lang w:eastAsia="en-GB"/>
        </w:rPr>
      </w:pPr>
    </w:p>
    <w:p w14:paraId="631F4808" w14:textId="77777777" w:rsidR="00254263" w:rsidRDefault="00254263" w:rsidP="00BD7F72">
      <w:pPr>
        <w:jc w:val="both"/>
        <w:rPr>
          <w:rFonts w:ascii="Trebuchet MS" w:hAnsi="Trebuchet MS" w:cs="SegoeUI"/>
          <w:lang w:eastAsia="en-GB"/>
        </w:rPr>
      </w:pPr>
    </w:p>
    <w:p w14:paraId="09691661" w14:textId="6EBF4454" w:rsidR="00254263" w:rsidRPr="00254263" w:rsidRDefault="00254263" w:rsidP="00BD7F72">
      <w:pPr>
        <w:jc w:val="both"/>
        <w:rPr>
          <w:rFonts w:ascii="Trebuchet MS" w:hAnsi="Trebuchet MS" w:cs="SegoeUI"/>
          <w:b/>
          <w:bCs/>
          <w:lang w:eastAsia="en-GB"/>
        </w:rPr>
      </w:pPr>
      <w:r w:rsidRPr="00254263">
        <w:rPr>
          <w:rFonts w:ascii="Trebuchet MS" w:hAnsi="Trebuchet MS" w:cs="SegoeUI"/>
          <w:b/>
          <w:bCs/>
          <w:lang w:eastAsia="en-GB"/>
        </w:rPr>
        <w:t>N. Hussain</w:t>
      </w:r>
    </w:p>
    <w:p w14:paraId="242111B7" w14:textId="3FA262CC" w:rsidR="00254263" w:rsidRPr="00254263" w:rsidRDefault="00254263" w:rsidP="00BD7F72">
      <w:pPr>
        <w:jc w:val="both"/>
        <w:rPr>
          <w:rFonts w:ascii="Trebuchet MS" w:hAnsi="Trebuchet MS" w:cs="SegoeUI"/>
          <w:b/>
          <w:bCs/>
          <w:lang w:eastAsia="en-GB"/>
        </w:rPr>
      </w:pPr>
      <w:r w:rsidRPr="00254263">
        <w:rPr>
          <w:rFonts w:ascii="Trebuchet MS" w:hAnsi="Trebuchet MS" w:cs="SegoeUI"/>
          <w:b/>
          <w:bCs/>
          <w:lang w:eastAsia="en-GB"/>
        </w:rPr>
        <w:t xml:space="preserve">Transport Development Control Advisor </w:t>
      </w:r>
    </w:p>
    <w:p w14:paraId="0E28F3C4" w14:textId="77777777" w:rsidR="00064B6A" w:rsidRPr="00254263" w:rsidRDefault="00064B6A" w:rsidP="00BD7F72">
      <w:pPr>
        <w:jc w:val="both"/>
        <w:rPr>
          <w:rFonts w:ascii="Trebuchet MS" w:hAnsi="Trebuchet MS" w:cs="SegoeUI"/>
          <w:lang w:eastAsia="en-GB"/>
        </w:rPr>
      </w:pPr>
    </w:p>
    <w:sectPr w:rsidR="00064B6A" w:rsidRPr="002542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UI">
    <w:altName w:val="Segoe UI"/>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996F6CB"/>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04E955E"/>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BB21839"/>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34EE183"/>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54167596">
    <w:abstractNumId w:val="3"/>
  </w:num>
  <w:num w:numId="2" w16cid:durableId="709232194">
    <w:abstractNumId w:val="1"/>
  </w:num>
  <w:num w:numId="3" w16cid:durableId="1292831882">
    <w:abstractNumId w:val="0"/>
  </w:num>
  <w:num w:numId="4" w16cid:durableId="15306850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CF7"/>
    <w:rsid w:val="00013CF7"/>
    <w:rsid w:val="000220A7"/>
    <w:rsid w:val="00056EC0"/>
    <w:rsid w:val="00064B6A"/>
    <w:rsid w:val="00070581"/>
    <w:rsid w:val="000846D1"/>
    <w:rsid w:val="001C76FC"/>
    <w:rsid w:val="001E21CF"/>
    <w:rsid w:val="002016AA"/>
    <w:rsid w:val="00254263"/>
    <w:rsid w:val="00281003"/>
    <w:rsid w:val="00290E55"/>
    <w:rsid w:val="00292090"/>
    <w:rsid w:val="002B27A3"/>
    <w:rsid w:val="002C7A9D"/>
    <w:rsid w:val="002E71CD"/>
    <w:rsid w:val="002F085E"/>
    <w:rsid w:val="00324CAB"/>
    <w:rsid w:val="0034777E"/>
    <w:rsid w:val="00367280"/>
    <w:rsid w:val="00374479"/>
    <w:rsid w:val="003D6BED"/>
    <w:rsid w:val="003E705D"/>
    <w:rsid w:val="003E79B4"/>
    <w:rsid w:val="00407C1E"/>
    <w:rsid w:val="00410CD3"/>
    <w:rsid w:val="00423A6A"/>
    <w:rsid w:val="00427D9B"/>
    <w:rsid w:val="00440FD6"/>
    <w:rsid w:val="004447DB"/>
    <w:rsid w:val="004829B9"/>
    <w:rsid w:val="0049346C"/>
    <w:rsid w:val="004D007C"/>
    <w:rsid w:val="00501081"/>
    <w:rsid w:val="00517A30"/>
    <w:rsid w:val="00535531"/>
    <w:rsid w:val="00535B77"/>
    <w:rsid w:val="005413A3"/>
    <w:rsid w:val="00582F10"/>
    <w:rsid w:val="00590B8B"/>
    <w:rsid w:val="005A45A8"/>
    <w:rsid w:val="005B16D6"/>
    <w:rsid w:val="005B1BA4"/>
    <w:rsid w:val="005D750A"/>
    <w:rsid w:val="005E49CB"/>
    <w:rsid w:val="00627CC7"/>
    <w:rsid w:val="00652D4D"/>
    <w:rsid w:val="006669B0"/>
    <w:rsid w:val="006D149C"/>
    <w:rsid w:val="00713C70"/>
    <w:rsid w:val="00721226"/>
    <w:rsid w:val="0076320D"/>
    <w:rsid w:val="007A20AC"/>
    <w:rsid w:val="007C7748"/>
    <w:rsid w:val="008312BA"/>
    <w:rsid w:val="00852191"/>
    <w:rsid w:val="00865464"/>
    <w:rsid w:val="00885E81"/>
    <w:rsid w:val="008B753E"/>
    <w:rsid w:val="008E2119"/>
    <w:rsid w:val="00921E79"/>
    <w:rsid w:val="00925ECD"/>
    <w:rsid w:val="00A158BF"/>
    <w:rsid w:val="00A52345"/>
    <w:rsid w:val="00A540F6"/>
    <w:rsid w:val="00AA160D"/>
    <w:rsid w:val="00AB3D15"/>
    <w:rsid w:val="00AB4E47"/>
    <w:rsid w:val="00AD11D9"/>
    <w:rsid w:val="00AE2FA9"/>
    <w:rsid w:val="00AE7A32"/>
    <w:rsid w:val="00B15DAF"/>
    <w:rsid w:val="00B47D3A"/>
    <w:rsid w:val="00B53094"/>
    <w:rsid w:val="00B62830"/>
    <w:rsid w:val="00BA022C"/>
    <w:rsid w:val="00BA13EA"/>
    <w:rsid w:val="00BD7F72"/>
    <w:rsid w:val="00C67A0A"/>
    <w:rsid w:val="00C9049D"/>
    <w:rsid w:val="00CE52F5"/>
    <w:rsid w:val="00D028C5"/>
    <w:rsid w:val="00D51D15"/>
    <w:rsid w:val="00D84B64"/>
    <w:rsid w:val="00DA2233"/>
    <w:rsid w:val="00DA2C01"/>
    <w:rsid w:val="00DC138A"/>
    <w:rsid w:val="00DD2731"/>
    <w:rsid w:val="00DE3915"/>
    <w:rsid w:val="00DF59EC"/>
    <w:rsid w:val="00E265EC"/>
    <w:rsid w:val="00E26B85"/>
    <w:rsid w:val="00E345C4"/>
    <w:rsid w:val="00EA4251"/>
    <w:rsid w:val="00F14F1D"/>
    <w:rsid w:val="00F36450"/>
    <w:rsid w:val="00F65905"/>
    <w:rsid w:val="00FE1E9D"/>
    <w:rsid w:val="00FE47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59F21"/>
  <w15:chartTrackingRefBased/>
  <w15:docId w15:val="{E6567F02-F0A7-41C1-B9A1-7D396211A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3C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3C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3C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3C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3C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3CF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3CF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3CF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3CF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C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3C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3C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3C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3C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3C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3C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3C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3CF7"/>
    <w:rPr>
      <w:rFonts w:eastAsiaTheme="majorEastAsia" w:cstheme="majorBidi"/>
      <w:color w:val="272727" w:themeColor="text1" w:themeTint="D8"/>
    </w:rPr>
  </w:style>
  <w:style w:type="paragraph" w:styleId="Title">
    <w:name w:val="Title"/>
    <w:basedOn w:val="Normal"/>
    <w:next w:val="Normal"/>
    <w:link w:val="TitleChar"/>
    <w:uiPriority w:val="10"/>
    <w:qFormat/>
    <w:rsid w:val="00013CF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3C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3C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3C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3CF7"/>
    <w:pPr>
      <w:spacing w:before="160"/>
      <w:jc w:val="center"/>
    </w:pPr>
    <w:rPr>
      <w:i/>
      <w:iCs/>
      <w:color w:val="404040" w:themeColor="text1" w:themeTint="BF"/>
    </w:rPr>
  </w:style>
  <w:style w:type="character" w:customStyle="1" w:styleId="QuoteChar">
    <w:name w:val="Quote Char"/>
    <w:basedOn w:val="DefaultParagraphFont"/>
    <w:link w:val="Quote"/>
    <w:uiPriority w:val="29"/>
    <w:rsid w:val="00013CF7"/>
    <w:rPr>
      <w:i/>
      <w:iCs/>
      <w:color w:val="404040" w:themeColor="text1" w:themeTint="BF"/>
    </w:rPr>
  </w:style>
  <w:style w:type="paragraph" w:styleId="ListParagraph">
    <w:name w:val="List Paragraph"/>
    <w:basedOn w:val="Normal"/>
    <w:uiPriority w:val="34"/>
    <w:qFormat/>
    <w:rsid w:val="00013CF7"/>
    <w:pPr>
      <w:ind w:left="720"/>
      <w:contextualSpacing/>
    </w:pPr>
  </w:style>
  <w:style w:type="character" w:styleId="IntenseEmphasis">
    <w:name w:val="Intense Emphasis"/>
    <w:basedOn w:val="DefaultParagraphFont"/>
    <w:uiPriority w:val="21"/>
    <w:qFormat/>
    <w:rsid w:val="00013CF7"/>
    <w:rPr>
      <w:i/>
      <w:iCs/>
      <w:color w:val="0F4761" w:themeColor="accent1" w:themeShade="BF"/>
    </w:rPr>
  </w:style>
  <w:style w:type="paragraph" w:styleId="IntenseQuote">
    <w:name w:val="Intense Quote"/>
    <w:basedOn w:val="Normal"/>
    <w:next w:val="Normal"/>
    <w:link w:val="IntenseQuoteChar"/>
    <w:uiPriority w:val="30"/>
    <w:qFormat/>
    <w:rsid w:val="00013C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3CF7"/>
    <w:rPr>
      <w:i/>
      <w:iCs/>
      <w:color w:val="0F4761" w:themeColor="accent1" w:themeShade="BF"/>
    </w:rPr>
  </w:style>
  <w:style w:type="character" w:styleId="IntenseReference">
    <w:name w:val="Intense Reference"/>
    <w:basedOn w:val="DefaultParagraphFont"/>
    <w:uiPriority w:val="32"/>
    <w:qFormat/>
    <w:rsid w:val="00013CF7"/>
    <w:rPr>
      <w:b/>
      <w:bCs/>
      <w:smallCaps/>
      <w:color w:val="0F4761" w:themeColor="accent1" w:themeShade="BF"/>
      <w:spacing w:val="5"/>
    </w:rPr>
  </w:style>
  <w:style w:type="paragraph" w:styleId="Header">
    <w:name w:val="header"/>
    <w:basedOn w:val="Normal"/>
    <w:link w:val="HeaderChar"/>
    <w:uiPriority w:val="99"/>
    <w:rsid w:val="003E705D"/>
    <w:pPr>
      <w:widowControl w:val="0"/>
      <w:tabs>
        <w:tab w:val="center" w:pos="4153"/>
        <w:tab w:val="right" w:pos="8306"/>
      </w:tabs>
      <w:autoSpaceDE w:val="0"/>
      <w:autoSpaceDN w:val="0"/>
    </w:pPr>
    <w:rPr>
      <w:rFonts w:ascii="Courier" w:eastAsia="Times New Roman" w:hAnsi="Courier" w:cs="Courier"/>
      <w:kern w:val="0"/>
      <w14:ligatures w14:val="none"/>
    </w:rPr>
  </w:style>
  <w:style w:type="character" w:customStyle="1" w:styleId="HeaderChar">
    <w:name w:val="Header Char"/>
    <w:basedOn w:val="DefaultParagraphFont"/>
    <w:link w:val="Header"/>
    <w:uiPriority w:val="99"/>
    <w:rsid w:val="003E705D"/>
    <w:rPr>
      <w:rFonts w:ascii="Courier" w:eastAsia="Times New Roman" w:hAnsi="Courier" w:cs="Courie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A0946A-1175-426C-9D72-7F58883D8278}">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2.xml><?xml version="1.0" encoding="utf-8"?>
<ds:datastoreItem xmlns:ds="http://schemas.openxmlformats.org/officeDocument/2006/customXml" ds:itemID="{7C57CC0C-1C4C-44CD-9229-BB0E0E01460C}">
  <ds:schemaRefs>
    <ds:schemaRef ds:uri="http://schemas.microsoft.com/sharepoint/v3/contenttype/forms"/>
  </ds:schemaRefs>
</ds:datastoreItem>
</file>

<file path=customXml/itemProps3.xml><?xml version="1.0" encoding="utf-8"?>
<ds:datastoreItem xmlns:ds="http://schemas.openxmlformats.org/officeDocument/2006/customXml" ds:itemID="{6CD27211-7979-4715-83FD-840A82388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434</TotalTime>
  <Pages>3</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90</cp:revision>
  <dcterms:created xsi:type="dcterms:W3CDTF">2026-06-09T14:12:00Z</dcterms:created>
  <dcterms:modified xsi:type="dcterms:W3CDTF">2026-06-12T10:03:00Z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