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Crime Prevention and Security Statement</w:t>
        <w:br/>
        <w:t>2 Bedford Road, Reading (PL/26/0237)</w:t>
      </w:r>
    </w:p>
    <w:p>
      <w:pPr>
        <w:pStyle w:val="Heading1"/>
      </w:pPr>
      <w:r>
        <w:t>1.0 Introduction</w:t>
      </w:r>
    </w:p>
    <w:p>
      <w:r>
        <w:t>This statement responds to comments provided by Thames Valley Police and demonstrates how the proposed development accords with Secured by Design (SBD) principles.</w:t>
      </w:r>
    </w:p>
    <w:p>
      <w:pPr>
        <w:pStyle w:val="Heading1"/>
      </w:pPr>
      <w:r>
        <w:t>2.0 Access and Entrances</w:t>
      </w:r>
    </w:p>
    <w:p>
      <w:r>
        <w:t>The residential entrance provides a single, secure access point. The commercial unit has a separate entrance, ensuring no conflict between public and private access.</w:t>
      </w:r>
    </w:p>
    <w:p>
      <w:pPr>
        <w:pStyle w:val="Heading1"/>
      </w:pPr>
      <w:r>
        <w:t>3.0 Natural Surveillance</w:t>
      </w:r>
    </w:p>
    <w:p>
      <w:r>
        <w:t>The scheme maximises natural surveillance through active frontages, overlooking from upper floors, and the absence of concealed areas.</w:t>
      </w:r>
    </w:p>
    <w:p>
      <w:pPr>
        <w:pStyle w:val="Heading1"/>
      </w:pPr>
      <w:r>
        <w:t>4.0 Defensible Space</w:t>
      </w:r>
    </w:p>
    <w:p>
      <w:r>
        <w:t>Clear distinction between public and private areas is provided, with secure internal circulation and enclosed refuse storage.</w:t>
      </w:r>
    </w:p>
    <w:p>
      <w:pPr>
        <w:pStyle w:val="Heading1"/>
      </w:pPr>
      <w:r>
        <w:t>5.0 Lighting</w:t>
      </w:r>
    </w:p>
    <w:p>
      <w:r>
        <w:t>Appropriate external lighting will be installed to all entrances and key access points, ensuring visibility and safety.</w:t>
      </w:r>
    </w:p>
    <w:p>
      <w:pPr>
        <w:pStyle w:val="Heading1"/>
      </w:pPr>
      <w:r>
        <w:t>6.0 Cycle Storage</w:t>
      </w:r>
    </w:p>
    <w:p>
      <w:r>
        <w:t>Secure cycle storage is provided within the building and benefits from natural surveillance.</w:t>
      </w:r>
    </w:p>
    <w:p>
      <w:pPr>
        <w:pStyle w:val="Heading1"/>
      </w:pPr>
      <w:r>
        <w:t>7.0 Security Measures</w:t>
      </w:r>
    </w:p>
    <w:p>
      <w:r>
        <w:t>Doors and windows will meet appropriate security standards, including controlled access systems and robust specifications.</w:t>
      </w:r>
    </w:p>
    <w:p>
      <w:pPr>
        <w:pStyle w:val="Heading1"/>
      </w:pPr>
      <w:r>
        <w:t>8.0 Policy Compliance</w:t>
      </w:r>
    </w:p>
    <w:p>
      <w:r>
        <w:t>The proposal complies with Policy CC7 and reflects Secured by Design principles, including surveillance, access control, and defensible space.</w:t>
      </w:r>
    </w:p>
    <w:p>
      <w:pPr>
        <w:pStyle w:val="Heading1"/>
      </w:pPr>
      <w:r>
        <w:t>9.0 Conclusion</w:t>
      </w:r>
    </w:p>
    <w:p>
      <w:r>
        <w:t>The scheme provides a safe and secure environment and adequately addresses Thames Valley Police comments.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