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Refuse Collection and Access Statement</w:t>
        <w:br/>
        <w:t>2 Bedford Road, Reading (PL/26/0237)</w:t>
      </w:r>
    </w:p>
    <w:p>
      <w:pPr>
        <w:pStyle w:val="Heading1"/>
      </w:pPr>
      <w:r>
        <w:t>1.0 Introduction</w:t>
      </w:r>
    </w:p>
    <w:p>
      <w:r>
        <w:t>This statement has been prepared in support of the planning application for the redevelopment of 2 Bedford Road, Reading, to address refuse storage, collection and access arrangements in response to consultation comments received from Reading Borough Council.</w:t>
      </w:r>
    </w:p>
    <w:p>
      <w:pPr>
        <w:pStyle w:val="Heading1"/>
      </w:pPr>
      <w:r>
        <w:t>2.0 Refuse Storage Provision</w:t>
      </w:r>
    </w:p>
    <w:p>
      <w:r>
        <w:t>The proposed development includes a dedicated internal refuse and recycling store located at ground floor level, positioned adjacent to the residential entrance and accessible from the communal circulation space.</w:t>
        <w:br/>
        <w:br/>
        <w:t>The refuse store accommodates:</w:t>
        <w:br/>
        <w:t>- 2 x 360 litre general waste bins</w:t>
        <w:br/>
        <w:t>- 4 x 360 litre recycling bins</w:t>
        <w:br/>
        <w:t>- 1 x 240 litre food waste bin</w:t>
        <w:br/>
        <w:t>- 1 x 240 litre glass waste bin</w:t>
        <w:br/>
        <w:br/>
        <w:t>Separate provision is made for commercial waste associated with the ground floor unit.</w:t>
      </w:r>
    </w:p>
    <w:p>
      <w:pPr>
        <w:pStyle w:val="Heading1"/>
      </w:pPr>
      <w:r>
        <w:t>3.0 Access to Refuse Store</w:t>
      </w:r>
    </w:p>
    <w:p>
      <w:r>
        <w:t>Access is provided via internal circulation space with:</w:t>
        <w:br/>
        <w:t>- Maximum corridor width of approximately 1.5 metres</w:t>
        <w:br/>
        <w:t>- Door openings of approximately 1.2 metres</w:t>
        <w:br/>
        <w:br/>
        <w:t>The site is a constrained urban corner plot, limiting the ability to increase widths further.</w:t>
      </w:r>
    </w:p>
    <w:p>
      <w:pPr>
        <w:pStyle w:val="Heading1"/>
      </w:pPr>
      <w:r>
        <w:t>4.0 Operational Management and Collection Strategy</w:t>
      </w:r>
    </w:p>
    <w:p>
      <w:r>
        <w:t>- Bins stored internally</w:t>
        <w:br/>
        <w:t>- Moved to agreed highway collection point by management</w:t>
        <w:br/>
        <w:t>- Returned post-collection</w:t>
        <w:br/>
        <w:br/>
        <w:t>The final collection point will be agreed with the Council.</w:t>
      </w:r>
    </w:p>
    <w:p>
      <w:pPr>
        <w:pStyle w:val="Heading1"/>
      </w:pPr>
      <w:r>
        <w:t>5.0 Justification of Access Widths</w:t>
      </w:r>
    </w:p>
    <w:p>
      <w:r>
        <w:t>- Small scale development (6 units)</w:t>
        <w:br/>
        <w:t>- Short, level travel distances</w:t>
        <w:br/>
        <w:t>- Managed bin movement</w:t>
        <w:br/>
        <w:t>- Modern bins manoeuvrable within reduced widths</w:t>
        <w:br/>
        <w:t>- Door design maximises clearance</w:t>
        <w:br/>
        <w:br/>
        <w:t>Overall, the arrangement is practical and deliverable.</w:t>
      </w:r>
    </w:p>
    <w:p>
      <w:pPr>
        <w:pStyle w:val="Heading1"/>
      </w:pPr>
      <w:r>
        <w:t>6.0 Planning Policy Justification</w:t>
      </w:r>
    </w:p>
    <w:p>
      <w:r>
        <w:t>The arrangement is proportionate and effective despite being below guidance widths.</w:t>
        <w:br/>
        <w:br/>
        <w:t>No harm to amenity, highway safety, or waste collection operations arises.</w:t>
        <w:br/>
        <w:br/>
        <w:t>Strict compliance would be disproportionate and undermine efficient redevelopment.</w:t>
        <w:br/>
        <w:br/>
        <w:t>The proposal complies with Policy CC7 and the NPPF.</w:t>
      </w:r>
    </w:p>
    <w:p>
      <w:pPr>
        <w:pStyle w:val="Heading1"/>
      </w:pPr>
      <w:r>
        <w:t>7.0 Conclusion</w:t>
      </w:r>
    </w:p>
    <w:p>
      <w:r>
        <w:t>The refuse strategy is robust, practical and policy compliant, and will operate effectively without harm.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