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A5341" w14:textId="796F2F5B" w:rsidR="00EB0F6C" w:rsidRPr="007F24CB" w:rsidRDefault="000D66D3">
      <w:pPr>
        <w:rPr>
          <w:rFonts w:ascii="Trebuchet MS" w:eastAsia="Calibri" w:hAnsi="Trebuchet MS" w:cs="Calibri"/>
          <w:kern w:val="0"/>
          <w:sz w:val="22"/>
          <w:szCs w:val="22"/>
          <w14:ligatures w14:val="none"/>
        </w:rPr>
      </w:pPr>
      <w:r>
        <w:rPr>
          <w:rFonts w:ascii="Trebuchet MS" w:eastAsia="Calibri" w:hAnsi="Trebuchet MS" w:cs="Calibri"/>
          <w:kern w:val="0"/>
          <w:sz w:val="22"/>
          <w:szCs w:val="22"/>
          <w14:ligatures w14:val="none"/>
        </w:rPr>
        <w:t>12</w:t>
      </w:r>
      <w:r w:rsidR="00EB0F6C" w:rsidRPr="007F24CB">
        <w:rPr>
          <w:rFonts w:ascii="Trebuchet MS" w:eastAsia="Calibri" w:hAnsi="Trebuchet MS" w:cs="Calibri"/>
          <w:kern w:val="0"/>
          <w:sz w:val="22"/>
          <w:szCs w:val="22"/>
          <w14:ligatures w14:val="none"/>
        </w:rPr>
        <w:t xml:space="preserve"> </w:t>
      </w:r>
      <w:r>
        <w:rPr>
          <w:rFonts w:ascii="Trebuchet MS" w:eastAsia="Calibri" w:hAnsi="Trebuchet MS" w:cs="Calibri"/>
          <w:kern w:val="0"/>
          <w:sz w:val="22"/>
          <w:szCs w:val="22"/>
          <w14:ligatures w14:val="none"/>
        </w:rPr>
        <w:t xml:space="preserve">May </w:t>
      </w:r>
      <w:r w:rsidR="00EB0F6C" w:rsidRPr="007F24CB">
        <w:rPr>
          <w:rFonts w:ascii="Trebuchet MS" w:eastAsia="Calibri" w:hAnsi="Trebuchet MS" w:cs="Calibri"/>
          <w:kern w:val="0"/>
          <w:sz w:val="22"/>
          <w:szCs w:val="22"/>
          <w14:ligatures w14:val="none"/>
        </w:rPr>
        <w:t>2026</w:t>
      </w:r>
    </w:p>
    <w:p w14:paraId="0BFA2A75" w14:textId="173B9330" w:rsidR="00EB0F6C" w:rsidRPr="007F24CB" w:rsidRDefault="00EB0F6C">
      <w:pPr>
        <w:rPr>
          <w:rFonts w:ascii="Trebuchet MS" w:eastAsia="Calibri" w:hAnsi="Trebuchet MS" w:cs="Calibri"/>
          <w:kern w:val="0"/>
          <w:sz w:val="22"/>
          <w:szCs w:val="22"/>
          <w14:ligatures w14:val="none"/>
        </w:rPr>
      </w:pPr>
      <w:r w:rsidRPr="007F24CB">
        <w:rPr>
          <w:rFonts w:ascii="Trebuchet MS" w:eastAsia="Calibri" w:hAnsi="Trebuchet MS" w:cs="Calibri"/>
          <w:kern w:val="0"/>
          <w:sz w:val="22"/>
          <w:szCs w:val="22"/>
          <w14:ligatures w14:val="none"/>
        </w:rPr>
        <w:t xml:space="preserve">Planning Application Ref: </w:t>
      </w:r>
      <w:r w:rsidRPr="007F24CB">
        <w:rPr>
          <w:rFonts w:ascii="Trebuchet MS" w:eastAsia="Calibri" w:hAnsi="Trebuchet MS" w:cs="Calibri"/>
          <w:kern w:val="0"/>
          <w:sz w:val="22"/>
          <w:szCs w:val="22"/>
          <w14:ligatures w14:val="none"/>
        </w:rPr>
        <w:tab/>
      </w:r>
      <w:r w:rsidRPr="007F24CB">
        <w:rPr>
          <w:rFonts w:ascii="Trebuchet MS" w:eastAsia="Calibri" w:hAnsi="Trebuchet MS" w:cs="Calibri"/>
          <w:kern w:val="0"/>
          <w:sz w:val="22"/>
          <w:szCs w:val="22"/>
          <w14:ligatures w14:val="none"/>
        </w:rPr>
        <w:tab/>
        <w:t>PL/26/0494</w:t>
      </w:r>
      <w:r w:rsidRPr="007F24CB">
        <w:rPr>
          <w:rFonts w:ascii="Trebuchet MS" w:eastAsia="Calibri" w:hAnsi="Trebuchet MS" w:cs="Calibri"/>
          <w:kern w:val="0"/>
          <w:sz w:val="22"/>
          <w:szCs w:val="22"/>
          <w14:ligatures w14:val="none"/>
        </w:rPr>
        <w:br/>
        <w:t xml:space="preserve">Officer: </w:t>
      </w:r>
      <w:r w:rsidRPr="007F24CB">
        <w:rPr>
          <w:rFonts w:ascii="Trebuchet MS" w:eastAsia="Calibri" w:hAnsi="Trebuchet MS" w:cs="Calibri"/>
          <w:kern w:val="0"/>
          <w:sz w:val="22"/>
          <w:szCs w:val="22"/>
          <w14:ligatures w14:val="none"/>
        </w:rPr>
        <w:tab/>
      </w:r>
      <w:r w:rsidRPr="007F24CB">
        <w:rPr>
          <w:rFonts w:ascii="Trebuchet MS" w:eastAsia="Calibri" w:hAnsi="Trebuchet MS" w:cs="Calibri"/>
          <w:kern w:val="0"/>
          <w:sz w:val="22"/>
          <w:szCs w:val="22"/>
          <w14:ligatures w14:val="none"/>
        </w:rPr>
        <w:tab/>
      </w:r>
      <w:r w:rsidRPr="007F24CB">
        <w:rPr>
          <w:rFonts w:ascii="Trebuchet MS" w:eastAsia="Calibri" w:hAnsi="Trebuchet MS" w:cs="Calibri"/>
          <w:kern w:val="0"/>
          <w:sz w:val="22"/>
          <w:szCs w:val="22"/>
          <w14:ligatures w14:val="none"/>
        </w:rPr>
        <w:tab/>
      </w:r>
      <w:r w:rsidRPr="007F24CB">
        <w:rPr>
          <w:rFonts w:ascii="Trebuchet MS" w:eastAsia="Calibri" w:hAnsi="Trebuchet MS" w:cs="Calibri"/>
          <w:kern w:val="0"/>
          <w:sz w:val="22"/>
          <w:szCs w:val="22"/>
          <w14:ligatures w14:val="none"/>
        </w:rPr>
        <w:tab/>
        <w:t>Catrin Davies</w:t>
      </w:r>
      <w:r w:rsidRPr="007F24CB">
        <w:rPr>
          <w:rFonts w:ascii="Trebuchet MS" w:eastAsia="Calibri" w:hAnsi="Trebuchet MS" w:cs="Calibri"/>
          <w:kern w:val="0"/>
          <w:sz w:val="22"/>
          <w:szCs w:val="22"/>
          <w14:ligatures w14:val="none"/>
        </w:rPr>
        <w:br/>
        <w:t xml:space="preserve">Application Type: </w:t>
      </w:r>
      <w:r w:rsidRPr="007F24CB">
        <w:rPr>
          <w:rFonts w:ascii="Trebuchet MS" w:eastAsia="Calibri" w:hAnsi="Trebuchet MS" w:cs="Calibri"/>
          <w:kern w:val="0"/>
          <w:sz w:val="22"/>
          <w:szCs w:val="22"/>
          <w14:ligatures w14:val="none"/>
        </w:rPr>
        <w:tab/>
      </w:r>
      <w:r w:rsidRPr="007F24CB">
        <w:rPr>
          <w:rFonts w:ascii="Trebuchet MS" w:eastAsia="Calibri" w:hAnsi="Trebuchet MS" w:cs="Calibri"/>
          <w:kern w:val="0"/>
          <w:sz w:val="22"/>
          <w:szCs w:val="22"/>
          <w14:ligatures w14:val="none"/>
        </w:rPr>
        <w:tab/>
      </w:r>
      <w:r w:rsidRPr="007F24CB">
        <w:rPr>
          <w:rFonts w:ascii="Trebuchet MS" w:eastAsia="Calibri" w:hAnsi="Trebuchet MS" w:cs="Calibri"/>
          <w:kern w:val="0"/>
          <w:sz w:val="22"/>
          <w:szCs w:val="22"/>
          <w14:ligatures w14:val="none"/>
        </w:rPr>
        <w:tab/>
        <w:t>Full planning permission</w:t>
      </w:r>
      <w:r w:rsidRPr="007F24CB">
        <w:rPr>
          <w:rFonts w:ascii="Trebuchet MS" w:eastAsia="Calibri" w:hAnsi="Trebuchet MS" w:cs="Calibri"/>
          <w:kern w:val="0"/>
          <w:sz w:val="22"/>
          <w:szCs w:val="22"/>
          <w14:ligatures w14:val="none"/>
        </w:rPr>
        <w:br/>
        <w:t xml:space="preserve">Address: </w:t>
      </w:r>
      <w:r w:rsidRPr="007F24CB">
        <w:rPr>
          <w:rFonts w:ascii="Trebuchet MS" w:eastAsia="Calibri" w:hAnsi="Trebuchet MS" w:cs="Calibri"/>
          <w:kern w:val="0"/>
          <w:sz w:val="22"/>
          <w:szCs w:val="22"/>
          <w14:ligatures w14:val="none"/>
        </w:rPr>
        <w:tab/>
      </w:r>
      <w:r w:rsidRPr="007F24CB">
        <w:rPr>
          <w:rFonts w:ascii="Trebuchet MS" w:eastAsia="Calibri" w:hAnsi="Trebuchet MS" w:cs="Calibri"/>
          <w:kern w:val="0"/>
          <w:sz w:val="22"/>
          <w:szCs w:val="22"/>
          <w14:ligatures w14:val="none"/>
        </w:rPr>
        <w:tab/>
      </w:r>
      <w:r w:rsidRPr="007F24CB">
        <w:rPr>
          <w:rFonts w:ascii="Trebuchet MS" w:eastAsia="Calibri" w:hAnsi="Trebuchet MS" w:cs="Calibri"/>
          <w:kern w:val="0"/>
          <w:sz w:val="22"/>
          <w:szCs w:val="22"/>
          <w14:ligatures w14:val="none"/>
        </w:rPr>
        <w:tab/>
      </w:r>
      <w:r w:rsidRPr="007F24CB">
        <w:rPr>
          <w:rFonts w:ascii="Trebuchet MS" w:eastAsia="Calibri" w:hAnsi="Trebuchet MS" w:cs="Calibri"/>
          <w:kern w:val="0"/>
          <w:sz w:val="22"/>
          <w:szCs w:val="22"/>
          <w14:ligatures w14:val="none"/>
        </w:rPr>
        <w:tab/>
        <w:t>2 WAVERLEY ROAD, READING, RG30 2PX</w:t>
      </w:r>
      <w:r w:rsidRPr="007F24CB">
        <w:rPr>
          <w:rFonts w:ascii="Trebuchet MS" w:eastAsia="Calibri" w:hAnsi="Trebuchet MS" w:cs="Calibri"/>
          <w:kern w:val="0"/>
          <w:sz w:val="22"/>
          <w:szCs w:val="22"/>
          <w14:ligatures w14:val="none"/>
        </w:rPr>
        <w:br/>
        <w:t>Proposal:</w:t>
      </w:r>
      <w:r w:rsidRPr="007F24CB">
        <w:rPr>
          <w:rFonts w:ascii="Trebuchet MS" w:eastAsia="Calibri" w:hAnsi="Trebuchet MS" w:cs="Calibri"/>
          <w:kern w:val="0"/>
          <w:sz w:val="22"/>
          <w:szCs w:val="22"/>
          <w14:ligatures w14:val="none"/>
        </w:rPr>
        <w:tab/>
      </w:r>
      <w:r w:rsidRPr="007F24CB">
        <w:rPr>
          <w:rFonts w:ascii="Trebuchet MS" w:eastAsia="Calibri" w:hAnsi="Trebuchet MS" w:cs="Calibri"/>
          <w:kern w:val="0"/>
          <w:sz w:val="22"/>
          <w:szCs w:val="22"/>
          <w14:ligatures w14:val="none"/>
        </w:rPr>
        <w:tab/>
      </w:r>
      <w:r w:rsidRPr="007F24CB">
        <w:rPr>
          <w:rFonts w:ascii="Trebuchet MS" w:eastAsia="Calibri" w:hAnsi="Trebuchet MS" w:cs="Calibri"/>
          <w:kern w:val="0"/>
          <w:sz w:val="22"/>
          <w:szCs w:val="22"/>
          <w14:ligatures w14:val="none"/>
        </w:rPr>
        <w:tab/>
      </w:r>
      <w:r w:rsidRPr="007F24CB">
        <w:rPr>
          <w:rFonts w:ascii="Trebuchet MS" w:eastAsia="Calibri" w:hAnsi="Trebuchet MS" w:cs="Calibri"/>
          <w:kern w:val="0"/>
          <w:sz w:val="22"/>
          <w:szCs w:val="22"/>
          <w14:ligatures w14:val="none"/>
        </w:rPr>
        <w:tab/>
        <w:t xml:space="preserve">Change of use of the existing property from Class C3 </w:t>
      </w:r>
    </w:p>
    <w:p w14:paraId="12B1DE0C" w14:textId="77777777" w:rsidR="00B92ABA" w:rsidRDefault="00EB0F6C" w:rsidP="00EB0F6C">
      <w:pPr>
        <w:ind w:left="3600"/>
        <w:rPr>
          <w:rFonts w:ascii="Trebuchet MS" w:eastAsia="Calibri" w:hAnsi="Trebuchet MS" w:cs="Calibri"/>
          <w:kern w:val="0"/>
          <w:sz w:val="22"/>
          <w:szCs w:val="22"/>
          <w14:ligatures w14:val="none"/>
        </w:rPr>
      </w:pPr>
      <w:r w:rsidRPr="007F24CB">
        <w:rPr>
          <w:rFonts w:ascii="Trebuchet MS" w:eastAsia="Calibri" w:hAnsi="Trebuchet MS" w:cs="Calibri"/>
          <w:kern w:val="0"/>
          <w:sz w:val="22"/>
          <w:szCs w:val="22"/>
          <w14:ligatures w14:val="none"/>
        </w:rPr>
        <w:t>(Dwellinghouse) to Class C2 (Residential Children’s Care Home) for up to three children.</w:t>
      </w:r>
    </w:p>
    <w:p w14:paraId="51B10F08" w14:textId="77777777" w:rsidR="005E56B2" w:rsidRPr="007F24CB" w:rsidRDefault="005E56B2" w:rsidP="00EB0F6C">
      <w:pPr>
        <w:ind w:left="3600"/>
        <w:rPr>
          <w:rFonts w:ascii="Trebuchet MS" w:eastAsia="Calibri" w:hAnsi="Trebuchet MS" w:cs="Calibri"/>
          <w:kern w:val="0"/>
          <w:sz w:val="22"/>
          <w:szCs w:val="22"/>
          <w14:ligatures w14:val="none"/>
        </w:rPr>
      </w:pPr>
    </w:p>
    <w:p w14:paraId="02D0FAC9" w14:textId="77777777" w:rsidR="006B1F39" w:rsidRDefault="006B1F39" w:rsidP="006B1F39">
      <w:pPr>
        <w:pStyle w:val="PlainText"/>
        <w:jc w:val="both"/>
        <w:rPr>
          <w:rFonts w:ascii="Trebuchet MS" w:hAnsi="Trebuchet MS" w:cs="Trebuchet MS"/>
        </w:rPr>
      </w:pPr>
      <w:r w:rsidRPr="006B1F39">
        <w:rPr>
          <w:rFonts w:ascii="Trebuchet MS" w:hAnsi="Trebuchet MS" w:cs="Trebuchet MS"/>
        </w:rPr>
        <w:t>The proposal seeks to provide accommodation and support for up to three children with emotional and behavioural difficulties (EBD), learning disabilities (LD), and associated mental health needs within a domestic-scale setting.</w:t>
      </w:r>
    </w:p>
    <w:p w14:paraId="493A5BF1" w14:textId="77777777" w:rsidR="006B1F39" w:rsidRPr="006B1F39" w:rsidRDefault="006B1F39" w:rsidP="006B1F39">
      <w:pPr>
        <w:pStyle w:val="PlainText"/>
        <w:jc w:val="both"/>
        <w:rPr>
          <w:rFonts w:ascii="Trebuchet MS" w:hAnsi="Trebuchet MS" w:cs="Trebuchet MS"/>
        </w:rPr>
      </w:pPr>
    </w:p>
    <w:p w14:paraId="2631B582" w14:textId="77777777" w:rsidR="006B1F39" w:rsidRDefault="006B1F39" w:rsidP="006B1F39">
      <w:pPr>
        <w:pStyle w:val="PlainText"/>
        <w:jc w:val="both"/>
        <w:rPr>
          <w:rFonts w:ascii="Trebuchet MS" w:hAnsi="Trebuchet MS" w:cs="Trebuchet MS"/>
        </w:rPr>
      </w:pPr>
      <w:r w:rsidRPr="006B1F39">
        <w:rPr>
          <w:rFonts w:ascii="Trebuchet MS" w:hAnsi="Trebuchet MS" w:cs="Trebuchet MS"/>
        </w:rPr>
        <w:t>In terms of transport and accessibility, developments are required to provide car and cycle parking appropriate to the level of accessibility to sustainable transport modes, particularly public transport, in accordance with the Council’s adopted parking standards. These standards require provision at a rate of one parking space per full-time equivalent (FTE) staff member and one space per four residents.</w:t>
      </w:r>
    </w:p>
    <w:p w14:paraId="3BAC63B0" w14:textId="77777777" w:rsidR="006B1F39" w:rsidRPr="006B1F39" w:rsidRDefault="006B1F39" w:rsidP="006B1F39">
      <w:pPr>
        <w:pStyle w:val="PlainText"/>
        <w:jc w:val="both"/>
        <w:rPr>
          <w:rFonts w:ascii="Trebuchet MS" w:hAnsi="Trebuchet MS" w:cs="Trebuchet MS"/>
        </w:rPr>
      </w:pPr>
    </w:p>
    <w:p w14:paraId="5C0CF074" w14:textId="77777777" w:rsidR="006B1F39" w:rsidRDefault="006B1F39" w:rsidP="006B1F39">
      <w:pPr>
        <w:pStyle w:val="PlainText"/>
        <w:jc w:val="both"/>
        <w:rPr>
          <w:rFonts w:ascii="Trebuchet MS" w:hAnsi="Trebuchet MS" w:cs="Trebuchet MS"/>
        </w:rPr>
      </w:pPr>
      <w:r w:rsidRPr="006B1F39">
        <w:rPr>
          <w:rFonts w:ascii="Trebuchet MS" w:hAnsi="Trebuchet MS" w:cs="Trebuchet MS"/>
        </w:rPr>
        <w:t>Given the nature of the development as a children’s facility, it is not considered appropriate to provide parking spaces for residents. However, visitor parking should be provided at the same ratio (i.e. one space per four residents). Based on the application details—comprising a maximum of three resident children and two staff per shift—the required provision equates to three parking spaces.</w:t>
      </w:r>
    </w:p>
    <w:p w14:paraId="462061AC" w14:textId="77777777" w:rsidR="006B1F39" w:rsidRPr="006B1F39" w:rsidRDefault="006B1F39" w:rsidP="006B1F39">
      <w:pPr>
        <w:pStyle w:val="PlainText"/>
        <w:jc w:val="both"/>
        <w:rPr>
          <w:rFonts w:ascii="Trebuchet MS" w:hAnsi="Trebuchet MS" w:cs="Trebuchet MS"/>
        </w:rPr>
      </w:pPr>
    </w:p>
    <w:p w14:paraId="777173C5" w14:textId="77777777" w:rsidR="006B1F39" w:rsidRPr="006B1F39" w:rsidRDefault="006B1F39" w:rsidP="006B1F39">
      <w:pPr>
        <w:pStyle w:val="PlainText"/>
        <w:jc w:val="both"/>
        <w:rPr>
          <w:rFonts w:ascii="Trebuchet MS" w:hAnsi="Trebuchet MS" w:cs="Trebuchet MS"/>
        </w:rPr>
      </w:pPr>
      <w:r w:rsidRPr="006B1F39">
        <w:rPr>
          <w:rFonts w:ascii="Trebuchet MS" w:hAnsi="Trebuchet MS" w:cs="Trebuchet MS"/>
        </w:rPr>
        <w:t>While the submitted plans indicate the provision of three on-site parking spaces, it is noted that there is currently no authorised vehicular access to the site. Any vehicular movements taking place across the footway at present are unauthorised and therefore unlawful.</w:t>
      </w:r>
    </w:p>
    <w:p w14:paraId="75A8A89A" w14:textId="77777777" w:rsidR="00C86016" w:rsidRDefault="00C86016" w:rsidP="003D0440">
      <w:pPr>
        <w:pStyle w:val="PlainText"/>
        <w:jc w:val="both"/>
        <w:rPr>
          <w:rFonts w:ascii="Trebuchet MS" w:hAnsi="Trebuchet MS" w:cs="Trebuchet MS"/>
        </w:rPr>
      </w:pPr>
    </w:p>
    <w:p w14:paraId="4E8DAD8F" w14:textId="77777777" w:rsidR="00306E1C" w:rsidRPr="00D40A9F" w:rsidRDefault="00306E1C" w:rsidP="003D0440">
      <w:pPr>
        <w:pStyle w:val="PlainText"/>
        <w:jc w:val="both"/>
        <w:rPr>
          <w:rFonts w:ascii="Trebuchet MS" w:hAnsi="Trebuchet MS" w:cs="Trebuchet MS"/>
        </w:rPr>
      </w:pPr>
    </w:p>
    <w:p w14:paraId="08EF55B4" w14:textId="27ABA550" w:rsidR="00306E1C" w:rsidRPr="00214982" w:rsidRDefault="00306E1C" w:rsidP="003D0440">
      <w:pPr>
        <w:pStyle w:val="PlainText"/>
        <w:jc w:val="both"/>
        <w:rPr>
          <w:rFonts w:ascii="Trebuchet MS" w:hAnsi="Trebuchet MS" w:cs="Trebuchet MS"/>
          <w:b/>
          <w:bCs/>
          <w:color w:val="FF0000"/>
        </w:rPr>
      </w:pPr>
      <w:r w:rsidRPr="00306E1C">
        <w:rPr>
          <w:rFonts w:ascii="Trebuchet MS" w:hAnsi="Trebuchet MS" w:cs="Trebuchet MS"/>
          <w:noProof/>
          <w:color w:val="FF0000"/>
        </w:rPr>
        <w:drawing>
          <wp:inline distT="0" distB="0" distL="0" distR="0" wp14:anchorId="54DEA9F5" wp14:editId="61CD3B40">
            <wp:extent cx="3026780" cy="959743"/>
            <wp:effectExtent l="0" t="0" r="2540" b="0"/>
            <wp:docPr id="1738606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8989" cy="995323"/>
                    </a:xfrm>
                    <a:prstGeom prst="rect">
                      <a:avLst/>
                    </a:prstGeom>
                    <a:noFill/>
                    <a:ln>
                      <a:noFill/>
                    </a:ln>
                  </pic:spPr>
                </pic:pic>
              </a:graphicData>
            </a:graphic>
          </wp:inline>
        </w:drawing>
      </w:r>
      <w:r w:rsidR="00214982">
        <w:rPr>
          <w:rFonts w:ascii="Trebuchet MS" w:hAnsi="Trebuchet MS" w:cs="Trebuchet MS"/>
          <w:color w:val="FF0000"/>
        </w:rPr>
        <w:t xml:space="preserve">  </w:t>
      </w:r>
      <w:r w:rsidR="00214982" w:rsidRPr="00FE3E86">
        <w:rPr>
          <w:rFonts w:ascii="Trebuchet MS" w:hAnsi="Trebuchet MS"/>
          <w:noProof/>
          <w:color w:val="FF0000"/>
        </w:rPr>
        <w:drawing>
          <wp:inline distT="0" distB="0" distL="0" distR="0" wp14:anchorId="7EF1BFF5" wp14:editId="1B5E084D">
            <wp:extent cx="2582836" cy="1134319"/>
            <wp:effectExtent l="0" t="0" r="8255" b="8890"/>
            <wp:docPr id="1140565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74646" name=""/>
                    <pic:cNvPicPr/>
                  </pic:nvPicPr>
                  <pic:blipFill>
                    <a:blip r:embed="rId12"/>
                    <a:stretch>
                      <a:fillRect/>
                    </a:stretch>
                  </pic:blipFill>
                  <pic:spPr>
                    <a:xfrm>
                      <a:off x="0" y="0"/>
                      <a:ext cx="2592586" cy="1138601"/>
                    </a:xfrm>
                    <a:prstGeom prst="rect">
                      <a:avLst/>
                    </a:prstGeom>
                  </pic:spPr>
                </pic:pic>
              </a:graphicData>
            </a:graphic>
          </wp:inline>
        </w:drawing>
      </w:r>
    </w:p>
    <w:p w14:paraId="7F9EE5CE" w14:textId="77777777" w:rsidR="0034162D" w:rsidRDefault="0034162D" w:rsidP="003D0440">
      <w:pPr>
        <w:pStyle w:val="PlainText"/>
        <w:jc w:val="both"/>
        <w:rPr>
          <w:rFonts w:ascii="Trebuchet MS" w:hAnsi="Trebuchet MS"/>
          <w:color w:val="FF0000"/>
        </w:rPr>
      </w:pPr>
    </w:p>
    <w:p w14:paraId="59B4AF58" w14:textId="77777777" w:rsidR="0034162D" w:rsidRDefault="0034162D" w:rsidP="003D0440">
      <w:pPr>
        <w:pStyle w:val="PlainText"/>
        <w:jc w:val="both"/>
        <w:rPr>
          <w:rFonts w:ascii="Trebuchet MS" w:hAnsi="Trebuchet MS"/>
          <w:color w:val="FF0000"/>
        </w:rPr>
      </w:pPr>
    </w:p>
    <w:p w14:paraId="7D1AC47D" w14:textId="11835A64" w:rsidR="004B28FB" w:rsidRPr="00602034" w:rsidRDefault="004B28FB" w:rsidP="004B28FB">
      <w:pPr>
        <w:pStyle w:val="PlainText"/>
        <w:jc w:val="both"/>
        <w:rPr>
          <w:rFonts w:ascii="Trebuchet MS" w:hAnsi="Trebuchet MS"/>
        </w:rPr>
      </w:pPr>
      <w:r w:rsidRPr="00602034">
        <w:rPr>
          <w:rFonts w:ascii="Trebuchet MS" w:hAnsi="Trebuchet MS"/>
        </w:rPr>
        <w:t>T</w:t>
      </w:r>
      <w:r w:rsidRPr="004B28FB">
        <w:rPr>
          <w:rFonts w:ascii="Trebuchet MS" w:hAnsi="Trebuchet MS"/>
        </w:rPr>
        <w:t xml:space="preserve">he Highway Authority raises objection to the introduction of a new vehicular access to serve the proposed parking area. This is due to conflicts with existing highway infrastructure, including a pedestrian crossing and a lamp column within the footway. In addition, the proposed access point would </w:t>
      </w:r>
      <w:proofErr w:type="gramStart"/>
      <w:r w:rsidRPr="004B28FB">
        <w:rPr>
          <w:rFonts w:ascii="Trebuchet MS" w:hAnsi="Trebuchet MS"/>
        </w:rPr>
        <w:t>be located in</w:t>
      </w:r>
      <w:proofErr w:type="gramEnd"/>
      <w:r w:rsidRPr="004B28FB">
        <w:rPr>
          <w:rFonts w:ascii="Trebuchet MS" w:hAnsi="Trebuchet MS"/>
        </w:rPr>
        <w:t xml:space="preserve"> </w:t>
      </w:r>
      <w:proofErr w:type="gramStart"/>
      <w:r w:rsidRPr="004B28FB">
        <w:rPr>
          <w:rFonts w:ascii="Trebuchet MS" w:hAnsi="Trebuchet MS"/>
        </w:rPr>
        <w:t>close proximity</w:t>
      </w:r>
      <w:proofErr w:type="gramEnd"/>
      <w:r w:rsidRPr="004B28FB">
        <w:rPr>
          <w:rFonts w:ascii="Trebuchet MS" w:hAnsi="Trebuchet MS"/>
        </w:rPr>
        <w:t xml:space="preserve"> to a roundabout junction, which would give rise to significant highway safety concerns.</w:t>
      </w:r>
    </w:p>
    <w:p w14:paraId="7F0B6329" w14:textId="77777777" w:rsidR="00602034" w:rsidRPr="004B28FB" w:rsidRDefault="00602034" w:rsidP="004B28FB">
      <w:pPr>
        <w:pStyle w:val="PlainText"/>
        <w:jc w:val="both"/>
        <w:rPr>
          <w:rFonts w:ascii="Trebuchet MS" w:hAnsi="Trebuchet MS"/>
        </w:rPr>
      </w:pPr>
    </w:p>
    <w:p w14:paraId="06F0FD7A" w14:textId="77777777" w:rsidR="004B28FB" w:rsidRDefault="004B28FB" w:rsidP="004B28FB">
      <w:pPr>
        <w:pStyle w:val="PlainText"/>
        <w:jc w:val="both"/>
        <w:rPr>
          <w:rFonts w:ascii="Trebuchet MS" w:hAnsi="Trebuchet MS"/>
        </w:rPr>
      </w:pPr>
      <w:proofErr w:type="gramStart"/>
      <w:r w:rsidRPr="004B28FB">
        <w:rPr>
          <w:rFonts w:ascii="Trebuchet MS" w:hAnsi="Trebuchet MS"/>
        </w:rPr>
        <w:t>In light of</w:t>
      </w:r>
      <w:proofErr w:type="gramEnd"/>
      <w:r w:rsidRPr="004B28FB">
        <w:rPr>
          <w:rFonts w:ascii="Trebuchet MS" w:hAnsi="Trebuchet MS"/>
        </w:rPr>
        <w:t xml:space="preserve"> the above, the proposed parking provision cannot be considered acceptable, as it is not supported by a safe or lawful means of access, and the formation of such an access would be likely to result in unacceptable impacts on highway safety.</w:t>
      </w:r>
    </w:p>
    <w:p w14:paraId="70B80FFA" w14:textId="15756FF6" w:rsidR="00C359B0" w:rsidRDefault="00C359B0" w:rsidP="004B28FB">
      <w:pPr>
        <w:pStyle w:val="PlainText"/>
        <w:jc w:val="both"/>
        <w:rPr>
          <w:rFonts w:ascii="Trebuchet MS" w:hAnsi="Trebuchet MS"/>
        </w:rPr>
      </w:pPr>
    </w:p>
    <w:p w14:paraId="371FAB56" w14:textId="610FFB12" w:rsidR="00C359B0" w:rsidRPr="004B28FB" w:rsidRDefault="00C359B0" w:rsidP="004B28FB">
      <w:pPr>
        <w:pStyle w:val="PlainText"/>
        <w:jc w:val="both"/>
        <w:rPr>
          <w:rFonts w:ascii="Trebuchet MS" w:hAnsi="Trebuchet MS"/>
        </w:rPr>
      </w:pPr>
      <w:r>
        <w:rPr>
          <w:rFonts w:ascii="Trebuchet MS" w:hAnsi="Trebuchet MS"/>
        </w:rPr>
        <w:t>It should be noted that</w:t>
      </w:r>
      <w:r w:rsidR="003076E2">
        <w:rPr>
          <w:rFonts w:ascii="Trebuchet MS" w:hAnsi="Trebuchet MS"/>
        </w:rPr>
        <w:t xml:space="preserve"> the</w:t>
      </w:r>
      <w:r>
        <w:rPr>
          <w:rFonts w:ascii="Trebuchet MS" w:hAnsi="Trebuchet MS"/>
        </w:rPr>
        <w:t xml:space="preserve"> </w:t>
      </w:r>
      <w:r w:rsidR="00ED3F2A">
        <w:rPr>
          <w:rFonts w:ascii="Trebuchet MS" w:hAnsi="Trebuchet MS"/>
        </w:rPr>
        <w:t>Highway Authority</w:t>
      </w:r>
      <w:r w:rsidR="008B4DA2">
        <w:rPr>
          <w:rFonts w:ascii="Trebuchet MS" w:hAnsi="Trebuchet MS"/>
        </w:rPr>
        <w:t xml:space="preserve"> did </w:t>
      </w:r>
      <w:r w:rsidR="00EE058F">
        <w:rPr>
          <w:rFonts w:ascii="Trebuchet MS" w:hAnsi="Trebuchet MS"/>
        </w:rPr>
        <w:t>not</w:t>
      </w:r>
      <w:r w:rsidR="008B4DA2">
        <w:rPr>
          <w:rFonts w:ascii="Trebuchet MS" w:hAnsi="Trebuchet MS"/>
        </w:rPr>
        <w:t xml:space="preserve"> support an application that was presented in 2016 </w:t>
      </w:r>
      <w:r w:rsidR="0028567C">
        <w:rPr>
          <w:rFonts w:ascii="Trebuchet MS" w:hAnsi="Trebuchet MS"/>
        </w:rPr>
        <w:t>(</w:t>
      </w:r>
      <w:r w:rsidR="0028567C">
        <w:rPr>
          <w:rFonts w:ascii="Trebuchet MS" w:hAnsi="Trebuchet MS" w:cs="Trebuchet MS"/>
        </w:rPr>
        <w:t>160666</w:t>
      </w:r>
      <w:r w:rsidR="003076E2">
        <w:rPr>
          <w:rFonts w:ascii="Trebuchet MS" w:hAnsi="Trebuchet MS" w:cs="Trebuchet MS"/>
        </w:rPr>
        <w:t>)</w:t>
      </w:r>
      <w:r w:rsidR="0028567C">
        <w:rPr>
          <w:rFonts w:ascii="Trebuchet MS" w:hAnsi="Trebuchet MS" w:cs="Trebuchet MS"/>
        </w:rPr>
        <w:t xml:space="preserve"> </w:t>
      </w:r>
      <w:r w:rsidR="008B4DA2">
        <w:rPr>
          <w:rFonts w:ascii="Trebuchet MS" w:hAnsi="Trebuchet MS"/>
        </w:rPr>
        <w:t xml:space="preserve">for </w:t>
      </w:r>
      <w:r w:rsidR="00EE058F">
        <w:rPr>
          <w:rFonts w:ascii="Trebuchet MS" w:hAnsi="Trebuchet MS"/>
        </w:rPr>
        <w:t xml:space="preserve">reasons relating to access arrangements.  </w:t>
      </w:r>
    </w:p>
    <w:p w14:paraId="792EE820" w14:textId="77777777" w:rsidR="000C71C3" w:rsidRPr="00602034" w:rsidRDefault="000C71C3" w:rsidP="003D0440">
      <w:pPr>
        <w:pStyle w:val="PlainText"/>
        <w:jc w:val="both"/>
        <w:rPr>
          <w:rFonts w:ascii="Trebuchet MS" w:hAnsi="Trebuchet MS"/>
        </w:rPr>
      </w:pPr>
    </w:p>
    <w:p w14:paraId="6C83706C" w14:textId="4557F4B5" w:rsidR="009E1ECF" w:rsidRPr="003458CC" w:rsidRDefault="009E1ECF" w:rsidP="003D0440">
      <w:pPr>
        <w:pStyle w:val="PlainText"/>
        <w:jc w:val="both"/>
        <w:rPr>
          <w:rFonts w:ascii="Trebuchet MS" w:hAnsi="Trebuchet MS"/>
          <w:b/>
          <w:bCs/>
          <w:u w:val="single"/>
        </w:rPr>
      </w:pPr>
      <w:r w:rsidRPr="003458CC">
        <w:rPr>
          <w:rFonts w:ascii="Trebuchet MS" w:hAnsi="Trebuchet MS"/>
          <w:b/>
          <w:bCs/>
          <w:u w:val="single"/>
        </w:rPr>
        <w:t>Reason for Refusal</w:t>
      </w:r>
    </w:p>
    <w:p w14:paraId="08887775" w14:textId="2D0DB621" w:rsidR="00777D79" w:rsidRDefault="0070318C" w:rsidP="00777D79">
      <w:pPr>
        <w:widowControl w:val="0"/>
        <w:autoSpaceDE w:val="0"/>
        <w:autoSpaceDN w:val="0"/>
        <w:adjustRightInd w:val="0"/>
        <w:jc w:val="both"/>
        <w:rPr>
          <w:rFonts w:ascii="Trebuchet MS" w:eastAsia="Calibri" w:hAnsi="Trebuchet MS" w:cs="Calibri"/>
          <w:i/>
          <w:iCs/>
          <w:kern w:val="0"/>
          <w:sz w:val="22"/>
          <w:szCs w:val="22"/>
          <w14:ligatures w14:val="none"/>
        </w:rPr>
      </w:pPr>
      <w:r w:rsidRPr="00634ED6">
        <w:rPr>
          <w:rFonts w:ascii="Trebuchet MS" w:eastAsia="Calibri" w:hAnsi="Trebuchet MS" w:cs="Calibri"/>
          <w:i/>
          <w:iCs/>
          <w:kern w:val="0"/>
          <w:sz w:val="22"/>
          <w:szCs w:val="22"/>
          <w14:ligatures w14:val="none"/>
        </w:rPr>
        <w:t>T</w:t>
      </w:r>
      <w:r w:rsidR="00023046" w:rsidRPr="00634ED6">
        <w:rPr>
          <w:rFonts w:ascii="Trebuchet MS" w:eastAsia="Calibri" w:hAnsi="Trebuchet MS" w:cs="Calibri"/>
          <w:i/>
          <w:iCs/>
          <w:kern w:val="0"/>
          <w:sz w:val="22"/>
          <w:szCs w:val="22"/>
          <w14:ligatures w14:val="none"/>
        </w:rPr>
        <w:t xml:space="preserve">he introduction </w:t>
      </w:r>
      <w:r w:rsidRPr="00634ED6">
        <w:rPr>
          <w:rFonts w:ascii="Trebuchet MS" w:eastAsia="Calibri" w:hAnsi="Trebuchet MS" w:cs="Calibri"/>
          <w:i/>
          <w:iCs/>
          <w:kern w:val="0"/>
          <w:sz w:val="22"/>
          <w:szCs w:val="22"/>
          <w14:ligatures w14:val="none"/>
        </w:rPr>
        <w:t xml:space="preserve">of a new access </w:t>
      </w:r>
      <w:proofErr w:type="gramStart"/>
      <w:r w:rsidRPr="00634ED6">
        <w:rPr>
          <w:rFonts w:ascii="Trebuchet MS" w:eastAsia="Calibri" w:hAnsi="Trebuchet MS" w:cs="Calibri"/>
          <w:i/>
          <w:iCs/>
          <w:kern w:val="0"/>
          <w:sz w:val="22"/>
          <w:szCs w:val="22"/>
          <w14:ligatures w14:val="none"/>
        </w:rPr>
        <w:t>in close proximity to</w:t>
      </w:r>
      <w:proofErr w:type="gramEnd"/>
      <w:r w:rsidRPr="00634ED6">
        <w:rPr>
          <w:rFonts w:ascii="Trebuchet MS" w:eastAsia="Calibri" w:hAnsi="Trebuchet MS" w:cs="Calibri"/>
          <w:i/>
          <w:iCs/>
          <w:kern w:val="0"/>
          <w:sz w:val="22"/>
          <w:szCs w:val="22"/>
          <w14:ligatures w14:val="none"/>
        </w:rPr>
        <w:t xml:space="preserve"> the junction of </w:t>
      </w:r>
      <w:r w:rsidR="003C1589" w:rsidRPr="00634ED6">
        <w:rPr>
          <w:rFonts w:ascii="Trebuchet MS" w:eastAsia="Calibri" w:hAnsi="Trebuchet MS" w:cs="Calibri"/>
          <w:i/>
          <w:iCs/>
          <w:kern w:val="0"/>
          <w:sz w:val="22"/>
          <w:szCs w:val="22"/>
          <w14:ligatures w14:val="none"/>
        </w:rPr>
        <w:t>Tilehurst</w:t>
      </w:r>
      <w:r w:rsidR="008A3B10" w:rsidRPr="00634ED6">
        <w:rPr>
          <w:rFonts w:ascii="Trebuchet MS" w:eastAsia="Calibri" w:hAnsi="Trebuchet MS" w:cs="Calibri"/>
          <w:i/>
          <w:iCs/>
          <w:kern w:val="0"/>
          <w:sz w:val="22"/>
          <w:szCs w:val="22"/>
          <w14:ligatures w14:val="none"/>
        </w:rPr>
        <w:t xml:space="preserve"> Rd</w:t>
      </w:r>
      <w:r w:rsidRPr="00634ED6">
        <w:rPr>
          <w:rFonts w:ascii="Trebuchet MS" w:eastAsia="Calibri" w:hAnsi="Trebuchet MS" w:cs="Calibri"/>
          <w:i/>
          <w:iCs/>
          <w:kern w:val="0"/>
          <w:sz w:val="22"/>
          <w:szCs w:val="22"/>
          <w14:ligatures w14:val="none"/>
        </w:rPr>
        <w:t xml:space="preserve"> </w:t>
      </w:r>
      <w:r w:rsidR="00417AF7" w:rsidRPr="00634ED6">
        <w:rPr>
          <w:rFonts w:ascii="Trebuchet MS" w:eastAsia="Calibri" w:hAnsi="Trebuchet MS" w:cs="Calibri"/>
          <w:i/>
          <w:iCs/>
          <w:kern w:val="0"/>
          <w:sz w:val="22"/>
          <w:szCs w:val="22"/>
          <w14:ligatures w14:val="none"/>
        </w:rPr>
        <w:t>Waverley</w:t>
      </w:r>
      <w:r w:rsidR="00CE74EB" w:rsidRPr="00634ED6">
        <w:rPr>
          <w:rFonts w:ascii="Trebuchet MS" w:eastAsia="Calibri" w:hAnsi="Trebuchet MS" w:cs="Calibri"/>
          <w:i/>
          <w:iCs/>
          <w:kern w:val="0"/>
          <w:sz w:val="22"/>
          <w:szCs w:val="22"/>
          <w14:ligatures w14:val="none"/>
        </w:rPr>
        <w:t xml:space="preserve"> Road</w:t>
      </w:r>
      <w:r w:rsidR="007F1DB4" w:rsidRPr="00634ED6">
        <w:rPr>
          <w:rFonts w:ascii="Trebuchet MS" w:eastAsia="Calibri" w:hAnsi="Trebuchet MS" w:cs="Calibri"/>
          <w:i/>
          <w:iCs/>
          <w:kern w:val="0"/>
          <w:sz w:val="22"/>
          <w:szCs w:val="22"/>
          <w14:ligatures w14:val="none"/>
        </w:rPr>
        <w:t xml:space="preserve">, </w:t>
      </w:r>
      <w:proofErr w:type="spellStart"/>
      <w:r w:rsidR="00137A3A" w:rsidRPr="00634ED6">
        <w:rPr>
          <w:rFonts w:ascii="Trebuchet MS" w:eastAsia="Calibri" w:hAnsi="Trebuchet MS" w:cs="Calibri"/>
          <w:i/>
          <w:iCs/>
          <w:kern w:val="0"/>
          <w:sz w:val="22"/>
          <w:szCs w:val="22"/>
          <w14:ligatures w14:val="none"/>
        </w:rPr>
        <w:t>L</w:t>
      </w:r>
      <w:r w:rsidR="007F1DB4" w:rsidRPr="00634ED6">
        <w:rPr>
          <w:rFonts w:ascii="Trebuchet MS" w:eastAsia="Calibri" w:hAnsi="Trebuchet MS" w:cs="Calibri"/>
          <w:i/>
          <w:iCs/>
          <w:kern w:val="0"/>
          <w:sz w:val="22"/>
          <w:szCs w:val="22"/>
          <w14:ligatures w14:val="none"/>
        </w:rPr>
        <w:t>i</w:t>
      </w:r>
      <w:r w:rsidR="00137A3A" w:rsidRPr="00634ED6">
        <w:rPr>
          <w:rFonts w:ascii="Trebuchet MS" w:eastAsia="Calibri" w:hAnsi="Trebuchet MS" w:cs="Calibri"/>
          <w:i/>
          <w:iCs/>
          <w:kern w:val="0"/>
          <w:sz w:val="22"/>
          <w:szCs w:val="22"/>
          <w14:ligatures w14:val="none"/>
        </w:rPr>
        <w:t>e</w:t>
      </w:r>
      <w:r w:rsidR="007F1DB4" w:rsidRPr="00634ED6">
        <w:rPr>
          <w:rFonts w:ascii="Trebuchet MS" w:eastAsia="Calibri" w:hAnsi="Trebuchet MS" w:cs="Calibri"/>
          <w:i/>
          <w:iCs/>
          <w:kern w:val="0"/>
          <w:sz w:val="22"/>
          <w:szCs w:val="22"/>
          <w14:ligatures w14:val="none"/>
        </w:rPr>
        <w:t>benrood</w:t>
      </w:r>
      <w:proofErr w:type="spellEnd"/>
      <w:r w:rsidR="007F1DB4" w:rsidRPr="00634ED6">
        <w:rPr>
          <w:rFonts w:ascii="Trebuchet MS" w:eastAsia="Calibri" w:hAnsi="Trebuchet MS" w:cs="Calibri"/>
          <w:i/>
          <w:iCs/>
          <w:kern w:val="0"/>
          <w:sz w:val="22"/>
          <w:szCs w:val="22"/>
          <w14:ligatures w14:val="none"/>
        </w:rPr>
        <w:t xml:space="preserve"> Rd</w:t>
      </w:r>
      <w:r w:rsidR="008A3B10" w:rsidRPr="00634ED6">
        <w:rPr>
          <w:rFonts w:ascii="Trebuchet MS" w:eastAsia="Calibri" w:hAnsi="Trebuchet MS" w:cs="Calibri"/>
          <w:i/>
          <w:iCs/>
          <w:kern w:val="0"/>
          <w:sz w:val="22"/>
          <w:szCs w:val="22"/>
          <w14:ligatures w14:val="none"/>
        </w:rPr>
        <w:t xml:space="preserve"> Roundabout</w:t>
      </w:r>
      <w:r w:rsidR="005C6CE1" w:rsidRPr="00634ED6">
        <w:rPr>
          <w:rFonts w:ascii="Trebuchet MS" w:eastAsia="Calibri" w:hAnsi="Trebuchet MS" w:cs="Calibri"/>
          <w:i/>
          <w:iCs/>
          <w:kern w:val="0"/>
          <w:sz w:val="22"/>
          <w:szCs w:val="22"/>
          <w14:ligatures w14:val="none"/>
        </w:rPr>
        <w:t xml:space="preserve"> and Zebra Crossing</w:t>
      </w:r>
      <w:r w:rsidRPr="00634ED6">
        <w:rPr>
          <w:rFonts w:ascii="Trebuchet MS" w:eastAsia="Calibri" w:hAnsi="Trebuchet MS" w:cs="Calibri"/>
          <w:i/>
          <w:iCs/>
          <w:kern w:val="0"/>
          <w:sz w:val="22"/>
          <w:szCs w:val="22"/>
          <w14:ligatures w14:val="none"/>
        </w:rPr>
        <w:t xml:space="preserve"> would result in conflicting traffic movements which would have an adverse effect on road safety and the flow of traffic</w:t>
      </w:r>
      <w:r w:rsidR="00777D79">
        <w:rPr>
          <w:rFonts w:ascii="Trebuchet MS" w:eastAsia="Calibri" w:hAnsi="Trebuchet MS" w:cs="Calibri"/>
          <w:i/>
          <w:iCs/>
          <w:kern w:val="0"/>
          <w:sz w:val="22"/>
          <w:szCs w:val="22"/>
          <w14:ligatures w14:val="none"/>
        </w:rPr>
        <w:t xml:space="preserve"> </w:t>
      </w:r>
      <w:r w:rsidR="00777D79" w:rsidRPr="005F1B5B">
        <w:rPr>
          <w:rFonts w:ascii="Trebuchet MS" w:eastAsia="Calibri" w:hAnsi="Trebuchet MS" w:cs="Calibri"/>
          <w:i/>
          <w:iCs/>
          <w:kern w:val="0"/>
          <w:sz w:val="22"/>
          <w:szCs w:val="22"/>
          <w14:ligatures w14:val="none"/>
        </w:rPr>
        <w:t>and in conflict with local plan policies TR3 and TR5 of the Reading Local Plan 2019.</w:t>
      </w:r>
    </w:p>
    <w:p w14:paraId="05BCC2F2" w14:textId="77777777" w:rsidR="003458CC" w:rsidRDefault="003458CC" w:rsidP="00777D79">
      <w:pPr>
        <w:widowControl w:val="0"/>
        <w:autoSpaceDE w:val="0"/>
        <w:autoSpaceDN w:val="0"/>
        <w:adjustRightInd w:val="0"/>
        <w:jc w:val="both"/>
        <w:rPr>
          <w:rFonts w:ascii="Trebuchet MS" w:eastAsia="Calibri" w:hAnsi="Trebuchet MS" w:cs="Calibri"/>
          <w:i/>
          <w:iCs/>
          <w:kern w:val="0"/>
          <w:sz w:val="22"/>
          <w:szCs w:val="22"/>
          <w14:ligatures w14:val="none"/>
        </w:rPr>
      </w:pPr>
    </w:p>
    <w:p w14:paraId="7A85500D" w14:textId="77777777" w:rsidR="00BD2E34" w:rsidRPr="005F1B5B" w:rsidRDefault="00BD2E34" w:rsidP="00777D79">
      <w:pPr>
        <w:widowControl w:val="0"/>
        <w:autoSpaceDE w:val="0"/>
        <w:autoSpaceDN w:val="0"/>
        <w:adjustRightInd w:val="0"/>
        <w:jc w:val="both"/>
        <w:rPr>
          <w:rFonts w:ascii="Trebuchet MS" w:eastAsia="Calibri" w:hAnsi="Trebuchet MS" w:cs="Calibri"/>
          <w:i/>
          <w:iCs/>
          <w:kern w:val="0"/>
          <w:sz w:val="22"/>
          <w:szCs w:val="22"/>
          <w14:ligatures w14:val="none"/>
        </w:rPr>
      </w:pPr>
    </w:p>
    <w:p w14:paraId="5469C786" w14:textId="422F8132" w:rsidR="00777D79" w:rsidRPr="005F1B5B" w:rsidRDefault="005F1B5B" w:rsidP="006B7CF3">
      <w:pPr>
        <w:widowControl w:val="0"/>
        <w:autoSpaceDE w:val="0"/>
        <w:autoSpaceDN w:val="0"/>
        <w:adjustRightInd w:val="0"/>
        <w:jc w:val="both"/>
        <w:rPr>
          <w:rFonts w:ascii="Trebuchet MS" w:eastAsia="Calibri" w:hAnsi="Trebuchet MS" w:cs="Calibri"/>
          <w:b/>
          <w:bCs/>
          <w:kern w:val="0"/>
          <w:sz w:val="22"/>
          <w:szCs w:val="22"/>
          <w14:ligatures w14:val="none"/>
        </w:rPr>
      </w:pPr>
      <w:r w:rsidRPr="005F1B5B">
        <w:rPr>
          <w:rFonts w:ascii="Trebuchet MS" w:eastAsia="Calibri" w:hAnsi="Trebuchet MS" w:cs="Calibri"/>
          <w:b/>
          <w:bCs/>
          <w:kern w:val="0"/>
          <w:sz w:val="22"/>
          <w:szCs w:val="22"/>
          <w14:ligatures w14:val="none"/>
        </w:rPr>
        <w:t>N. Hussain</w:t>
      </w:r>
    </w:p>
    <w:p w14:paraId="184DAF0E" w14:textId="59D2EEC2" w:rsidR="00EA4251" w:rsidRDefault="005F1B5B" w:rsidP="003458CC">
      <w:pPr>
        <w:widowControl w:val="0"/>
        <w:autoSpaceDE w:val="0"/>
        <w:autoSpaceDN w:val="0"/>
        <w:adjustRightInd w:val="0"/>
        <w:jc w:val="both"/>
      </w:pPr>
      <w:r w:rsidRPr="005F1B5B">
        <w:rPr>
          <w:rFonts w:ascii="Trebuchet MS" w:eastAsia="Calibri" w:hAnsi="Trebuchet MS" w:cs="Calibri"/>
          <w:b/>
          <w:bCs/>
          <w:kern w:val="0"/>
          <w:sz w:val="22"/>
          <w:szCs w:val="22"/>
          <w14:ligatures w14:val="none"/>
        </w:rPr>
        <w:t>Transport Development Control Advisor</w:t>
      </w:r>
    </w:p>
    <w:sectPr w:rsidR="00EA4251" w:rsidSect="003076E2">
      <w:pgSz w:w="11906" w:h="16838"/>
      <w:pgMar w:top="454" w:right="1021" w:bottom="45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D7D88" w14:textId="77777777" w:rsidR="00602034" w:rsidRDefault="00602034" w:rsidP="00602034">
      <w:r>
        <w:separator/>
      </w:r>
    </w:p>
  </w:endnote>
  <w:endnote w:type="continuationSeparator" w:id="0">
    <w:p w14:paraId="682607E8" w14:textId="77777777" w:rsidR="00602034" w:rsidRDefault="00602034" w:rsidP="00602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C4082" w14:textId="77777777" w:rsidR="00602034" w:rsidRDefault="00602034" w:rsidP="00602034">
      <w:r>
        <w:separator/>
      </w:r>
    </w:p>
  </w:footnote>
  <w:footnote w:type="continuationSeparator" w:id="0">
    <w:p w14:paraId="53B60AFF" w14:textId="77777777" w:rsidR="00602034" w:rsidRDefault="00602034" w:rsidP="006020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368F5"/>
    <w:multiLevelType w:val="hybridMultilevel"/>
    <w:tmpl w:val="7DE05C38"/>
    <w:lvl w:ilvl="0" w:tplc="FFFFFFFF">
      <w:start w:val="1"/>
      <w:numFmt w:val="decimal"/>
      <w:lvlText w:val="%1."/>
      <w:lvlJc w:val="left"/>
      <w:pPr>
        <w:tabs>
          <w:tab w:val="num" w:pos="1069"/>
        </w:tabs>
        <w:ind w:left="1069"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594A4795"/>
    <w:multiLevelType w:val="hybridMultilevel"/>
    <w:tmpl w:val="C0807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6829598">
    <w:abstractNumId w:val="1"/>
  </w:num>
  <w:num w:numId="2" w16cid:durableId="2040006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F6C"/>
    <w:rsid w:val="00023046"/>
    <w:rsid w:val="000C71C3"/>
    <w:rsid w:val="000D66D3"/>
    <w:rsid w:val="000E273A"/>
    <w:rsid w:val="00103EC9"/>
    <w:rsid w:val="00137A3A"/>
    <w:rsid w:val="001913B1"/>
    <w:rsid w:val="001939F8"/>
    <w:rsid w:val="001E08A6"/>
    <w:rsid w:val="002142F1"/>
    <w:rsid w:val="00214982"/>
    <w:rsid w:val="00271D67"/>
    <w:rsid w:val="0028567C"/>
    <w:rsid w:val="002F2BD0"/>
    <w:rsid w:val="00302CC1"/>
    <w:rsid w:val="00306E1C"/>
    <w:rsid w:val="003076E2"/>
    <w:rsid w:val="0032288D"/>
    <w:rsid w:val="0034162D"/>
    <w:rsid w:val="003458CC"/>
    <w:rsid w:val="00391C76"/>
    <w:rsid w:val="003C1589"/>
    <w:rsid w:val="003D0440"/>
    <w:rsid w:val="00417AF7"/>
    <w:rsid w:val="00485E7B"/>
    <w:rsid w:val="0049789B"/>
    <w:rsid w:val="004B28FB"/>
    <w:rsid w:val="00506CBE"/>
    <w:rsid w:val="00592BD0"/>
    <w:rsid w:val="005C6CE1"/>
    <w:rsid w:val="005E49CB"/>
    <w:rsid w:val="005E56B2"/>
    <w:rsid w:val="005F1B5B"/>
    <w:rsid w:val="00602034"/>
    <w:rsid w:val="00620844"/>
    <w:rsid w:val="00634ED6"/>
    <w:rsid w:val="00666F00"/>
    <w:rsid w:val="006B1F39"/>
    <w:rsid w:val="006B7CF3"/>
    <w:rsid w:val="0070318C"/>
    <w:rsid w:val="00727956"/>
    <w:rsid w:val="007303C3"/>
    <w:rsid w:val="00777D79"/>
    <w:rsid w:val="007F1DB4"/>
    <w:rsid w:val="007F24CB"/>
    <w:rsid w:val="0081404A"/>
    <w:rsid w:val="00843F84"/>
    <w:rsid w:val="00870E15"/>
    <w:rsid w:val="008A3B10"/>
    <w:rsid w:val="008B4DA2"/>
    <w:rsid w:val="008E6D74"/>
    <w:rsid w:val="0095154E"/>
    <w:rsid w:val="009E1ECF"/>
    <w:rsid w:val="00A06EC0"/>
    <w:rsid w:val="00A30952"/>
    <w:rsid w:val="00A41F76"/>
    <w:rsid w:val="00A65875"/>
    <w:rsid w:val="00B25CA5"/>
    <w:rsid w:val="00B63AE3"/>
    <w:rsid w:val="00B92ABA"/>
    <w:rsid w:val="00BD2E34"/>
    <w:rsid w:val="00C359B0"/>
    <w:rsid w:val="00C86016"/>
    <w:rsid w:val="00CE74EB"/>
    <w:rsid w:val="00CF7016"/>
    <w:rsid w:val="00D40567"/>
    <w:rsid w:val="00D40A9F"/>
    <w:rsid w:val="00D55DF2"/>
    <w:rsid w:val="00DA2233"/>
    <w:rsid w:val="00EA4251"/>
    <w:rsid w:val="00EB0F6C"/>
    <w:rsid w:val="00ED3F2A"/>
    <w:rsid w:val="00EE058F"/>
    <w:rsid w:val="00F52626"/>
    <w:rsid w:val="00F8781E"/>
    <w:rsid w:val="00FA5C8E"/>
    <w:rsid w:val="00FE3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A66511"/>
  <w15:chartTrackingRefBased/>
  <w15:docId w15:val="{891FF97D-B3EB-4E2F-B450-A7965F419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0F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F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F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F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F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F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F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F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F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F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F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F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F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F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F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F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F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F6C"/>
    <w:rPr>
      <w:rFonts w:eastAsiaTheme="majorEastAsia" w:cstheme="majorBidi"/>
      <w:color w:val="272727" w:themeColor="text1" w:themeTint="D8"/>
    </w:rPr>
  </w:style>
  <w:style w:type="paragraph" w:styleId="Title">
    <w:name w:val="Title"/>
    <w:basedOn w:val="Normal"/>
    <w:next w:val="Normal"/>
    <w:link w:val="TitleChar"/>
    <w:uiPriority w:val="10"/>
    <w:qFormat/>
    <w:rsid w:val="00EB0F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F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F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F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F6C"/>
    <w:pPr>
      <w:spacing w:before="160"/>
      <w:jc w:val="center"/>
    </w:pPr>
    <w:rPr>
      <w:i/>
      <w:iCs/>
      <w:color w:val="404040" w:themeColor="text1" w:themeTint="BF"/>
    </w:rPr>
  </w:style>
  <w:style w:type="character" w:customStyle="1" w:styleId="QuoteChar">
    <w:name w:val="Quote Char"/>
    <w:basedOn w:val="DefaultParagraphFont"/>
    <w:link w:val="Quote"/>
    <w:uiPriority w:val="29"/>
    <w:rsid w:val="00EB0F6C"/>
    <w:rPr>
      <w:i/>
      <w:iCs/>
      <w:color w:val="404040" w:themeColor="text1" w:themeTint="BF"/>
    </w:rPr>
  </w:style>
  <w:style w:type="paragraph" w:styleId="ListParagraph">
    <w:name w:val="List Paragraph"/>
    <w:basedOn w:val="Normal"/>
    <w:uiPriority w:val="34"/>
    <w:qFormat/>
    <w:rsid w:val="00EB0F6C"/>
    <w:pPr>
      <w:ind w:left="720"/>
      <w:contextualSpacing/>
    </w:pPr>
  </w:style>
  <w:style w:type="character" w:styleId="IntenseEmphasis">
    <w:name w:val="Intense Emphasis"/>
    <w:basedOn w:val="DefaultParagraphFont"/>
    <w:uiPriority w:val="21"/>
    <w:qFormat/>
    <w:rsid w:val="00EB0F6C"/>
    <w:rPr>
      <w:i/>
      <w:iCs/>
      <w:color w:val="0F4761" w:themeColor="accent1" w:themeShade="BF"/>
    </w:rPr>
  </w:style>
  <w:style w:type="paragraph" w:styleId="IntenseQuote">
    <w:name w:val="Intense Quote"/>
    <w:basedOn w:val="Normal"/>
    <w:next w:val="Normal"/>
    <w:link w:val="IntenseQuoteChar"/>
    <w:uiPriority w:val="30"/>
    <w:qFormat/>
    <w:rsid w:val="00EB0F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F6C"/>
    <w:rPr>
      <w:i/>
      <w:iCs/>
      <w:color w:val="0F4761" w:themeColor="accent1" w:themeShade="BF"/>
    </w:rPr>
  </w:style>
  <w:style w:type="character" w:styleId="IntenseReference">
    <w:name w:val="Intense Reference"/>
    <w:basedOn w:val="DefaultParagraphFont"/>
    <w:uiPriority w:val="32"/>
    <w:qFormat/>
    <w:rsid w:val="00EB0F6C"/>
    <w:rPr>
      <w:b/>
      <w:bCs/>
      <w:smallCaps/>
      <w:color w:val="0F4761" w:themeColor="accent1" w:themeShade="BF"/>
      <w:spacing w:val="5"/>
    </w:rPr>
  </w:style>
  <w:style w:type="paragraph" w:styleId="PlainText">
    <w:name w:val="Plain Text"/>
    <w:basedOn w:val="Normal"/>
    <w:link w:val="PlainTextChar"/>
    <w:uiPriority w:val="99"/>
    <w:unhideWhenUsed/>
    <w:rsid w:val="003D0440"/>
    <w:rPr>
      <w:rFonts w:ascii="Calibri" w:eastAsia="Calibri" w:hAnsi="Calibri" w:cs="Calibri"/>
      <w:kern w:val="0"/>
      <w:sz w:val="22"/>
      <w:szCs w:val="22"/>
      <w14:ligatures w14:val="none"/>
    </w:rPr>
  </w:style>
  <w:style w:type="character" w:customStyle="1" w:styleId="PlainTextChar">
    <w:name w:val="Plain Text Char"/>
    <w:basedOn w:val="DefaultParagraphFont"/>
    <w:link w:val="PlainText"/>
    <w:uiPriority w:val="99"/>
    <w:rsid w:val="003D0440"/>
    <w:rPr>
      <w:rFonts w:ascii="Calibri" w:eastAsia="Calibri" w:hAnsi="Calibri" w:cs="Calibri"/>
      <w:kern w:val="0"/>
      <w:sz w:val="22"/>
      <w:szCs w:val="22"/>
      <w14:ligatures w14:val="none"/>
    </w:rPr>
  </w:style>
  <w:style w:type="paragraph" w:customStyle="1" w:styleId="p2">
    <w:name w:val="p2"/>
    <w:basedOn w:val="Normal"/>
    <w:rsid w:val="00777D79"/>
    <w:pPr>
      <w:widowControl w:val="0"/>
      <w:tabs>
        <w:tab w:val="left" w:pos="204"/>
      </w:tabs>
      <w:autoSpaceDE w:val="0"/>
      <w:autoSpaceDN w:val="0"/>
      <w:adjustRightInd w:val="0"/>
      <w:spacing w:line="266" w:lineRule="atLeast"/>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602034"/>
    <w:pPr>
      <w:tabs>
        <w:tab w:val="center" w:pos="4513"/>
        <w:tab w:val="right" w:pos="9026"/>
      </w:tabs>
    </w:pPr>
  </w:style>
  <w:style w:type="character" w:customStyle="1" w:styleId="HeaderChar">
    <w:name w:val="Header Char"/>
    <w:basedOn w:val="DefaultParagraphFont"/>
    <w:link w:val="Header"/>
    <w:uiPriority w:val="99"/>
    <w:rsid w:val="00602034"/>
  </w:style>
  <w:style w:type="paragraph" w:styleId="Footer">
    <w:name w:val="footer"/>
    <w:basedOn w:val="Normal"/>
    <w:link w:val="FooterChar"/>
    <w:uiPriority w:val="99"/>
    <w:unhideWhenUsed/>
    <w:rsid w:val="00602034"/>
    <w:pPr>
      <w:tabs>
        <w:tab w:val="center" w:pos="4513"/>
        <w:tab w:val="right" w:pos="9026"/>
      </w:tabs>
    </w:pPr>
  </w:style>
  <w:style w:type="character" w:customStyle="1" w:styleId="FooterChar">
    <w:name w:val="Footer Char"/>
    <w:basedOn w:val="DefaultParagraphFont"/>
    <w:link w:val="Footer"/>
    <w:uiPriority w:val="99"/>
    <w:rsid w:val="00602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501A51-A763-45E1-A1E9-3775DA4EC14F}">
  <ds:schemaRefs>
    <ds:schemaRef ds:uri="http://schemas.openxmlformats.org/officeDocument/2006/bibliography"/>
  </ds:schemaRefs>
</ds:datastoreItem>
</file>

<file path=customXml/itemProps2.xml><?xml version="1.0" encoding="utf-8"?>
<ds:datastoreItem xmlns:ds="http://schemas.openxmlformats.org/officeDocument/2006/customXml" ds:itemID="{43D19F28-B9E9-4737-9143-8A8C0DE4DCFF}">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7F711775-9CF2-48FF-A72F-F12970B1AB66}">
  <ds:schemaRefs>
    <ds:schemaRef ds:uri="http://schemas.microsoft.com/sharepoint/v3/contenttype/forms"/>
  </ds:schemaRefs>
</ds:datastoreItem>
</file>

<file path=customXml/itemProps4.xml><?xml version="1.0" encoding="utf-8"?>
<ds:datastoreItem xmlns:ds="http://schemas.openxmlformats.org/officeDocument/2006/customXml" ds:itemID="{69AA79F3-6794-4EE8-B01B-F87F5DE09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1</Pages>
  <Words>431</Words>
  <Characters>2462</Characters>
  <Application>Microsoft Office Word</Application>
  <DocSecurity>0</DocSecurity>
  <Lines>20</Lines>
  <Paragraphs>5</Paragraphs>
  <ScaleCrop>false</ScaleCrop>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71</cp:revision>
  <dcterms:created xsi:type="dcterms:W3CDTF">2026-04-29T21:17:00Z</dcterms:created>
  <dcterms:modified xsi:type="dcterms:W3CDTF">2026-05-13T09:40:00Z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