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192325E" w14:textId="77777777" w:rsidR="0028575B" w:rsidRDefault="0028575B" w:rsidP="0028575B">
      <w:pPr>
        <w:pStyle w:val="xxmsonormal"/>
      </w:pPr>
      <w:r>
        <w:rPr>
          <w:rFonts w:ascii="Tenorite" w:hAnsi="Tenorite"/>
          <w:sz w:val="22"/>
          <w:szCs w:val="22"/>
        </w:rPr>
        <w:t>Below is our response to the LLFA comments raised.</w:t>
      </w:r>
    </w:p>
    <w:p w14:paraId="30A2FCEB" w14:textId="77777777" w:rsidR="0028575B" w:rsidRDefault="0028575B" w:rsidP="0028575B">
      <w:pPr>
        <w:pStyle w:val="xxmsonormal"/>
      </w:pPr>
      <w:r>
        <w:rPr>
          <w:rFonts w:ascii="Tenorite" w:hAnsi="Tenorite"/>
        </w:rPr>
        <w:t> </w:t>
      </w:r>
    </w:p>
    <w:p w14:paraId="77CD82C2" w14:textId="77777777" w:rsidR="0028575B" w:rsidRDefault="0028575B" w:rsidP="0028575B">
      <w:pPr>
        <w:pStyle w:val="xxmsonormal"/>
      </w:pPr>
      <w:r>
        <w:rPr>
          <w:rFonts w:ascii="Tenorite" w:hAnsi="Tenorite"/>
          <w:color w:val="156082"/>
          <w:sz w:val="22"/>
          <w:szCs w:val="22"/>
        </w:rPr>
        <w:t xml:space="preserve">LLFA COMMENT: </w:t>
      </w:r>
    </w:p>
    <w:p w14:paraId="221E3FF1" w14:textId="77777777" w:rsidR="0028575B" w:rsidRDefault="0028575B" w:rsidP="0028575B">
      <w:pPr>
        <w:pStyle w:val="xxmsonormal"/>
      </w:pPr>
      <w:r>
        <w:rPr>
          <w:rFonts w:ascii="Tenorite" w:hAnsi="Tenorite"/>
          <w:i/>
          <w:iCs/>
          <w:color w:val="156082"/>
          <w:sz w:val="18"/>
          <w:szCs w:val="18"/>
        </w:rPr>
        <w:t xml:space="preserve">“As stated previously the principle of the </w:t>
      </w:r>
      <w:proofErr w:type="spellStart"/>
      <w:r>
        <w:rPr>
          <w:rFonts w:ascii="Tenorite" w:hAnsi="Tenorite"/>
          <w:i/>
          <w:iCs/>
          <w:color w:val="156082"/>
          <w:sz w:val="18"/>
          <w:szCs w:val="18"/>
        </w:rPr>
        <w:t>SuDs</w:t>
      </w:r>
      <w:proofErr w:type="spellEnd"/>
      <w:r>
        <w:rPr>
          <w:rFonts w:ascii="Tenorite" w:hAnsi="Tenorite"/>
          <w:i/>
          <w:iCs/>
          <w:color w:val="156082"/>
          <w:sz w:val="18"/>
          <w:szCs w:val="18"/>
        </w:rPr>
        <w:t xml:space="preserve"> design is acceptable given that the proposal would result in a reduction in run off from the site.  However, the National standards for sustainable drainage systems (</w:t>
      </w:r>
      <w:proofErr w:type="spellStart"/>
      <w:r>
        <w:rPr>
          <w:rFonts w:ascii="Tenorite" w:hAnsi="Tenorite"/>
          <w:i/>
          <w:iCs/>
          <w:color w:val="156082"/>
          <w:sz w:val="18"/>
          <w:szCs w:val="18"/>
        </w:rPr>
        <w:t>SuDS</w:t>
      </w:r>
      <w:proofErr w:type="spellEnd"/>
      <w:r>
        <w:rPr>
          <w:rFonts w:ascii="Tenorite" w:hAnsi="Tenorite"/>
          <w:i/>
          <w:iCs/>
          <w:color w:val="156082"/>
          <w:sz w:val="18"/>
          <w:szCs w:val="18"/>
        </w:rPr>
        <w:t>) were updated on 30</w:t>
      </w:r>
      <w:r>
        <w:rPr>
          <w:rFonts w:ascii="Tenorite" w:hAnsi="Tenorite"/>
          <w:i/>
          <w:iCs/>
          <w:color w:val="156082"/>
          <w:sz w:val="18"/>
          <w:szCs w:val="18"/>
          <w:vertAlign w:val="superscript"/>
        </w:rPr>
        <w:t>th</w:t>
      </w:r>
      <w:r>
        <w:rPr>
          <w:rFonts w:ascii="Tenorite" w:hAnsi="Tenorite"/>
          <w:i/>
          <w:iCs/>
          <w:color w:val="156082"/>
          <w:sz w:val="18"/>
          <w:szCs w:val="18"/>
        </w:rPr>
        <w:t xml:space="preserve"> July 2025 and therefore become a material consideration in the determination of this application.  It is surprising that the applicant has not referenced this within the updated </w:t>
      </w:r>
      <w:proofErr w:type="spellStart"/>
      <w:r>
        <w:rPr>
          <w:rFonts w:ascii="Tenorite" w:hAnsi="Tenorite"/>
          <w:i/>
          <w:iCs/>
          <w:color w:val="156082"/>
          <w:sz w:val="18"/>
          <w:szCs w:val="18"/>
        </w:rPr>
        <w:t>SuDs</w:t>
      </w:r>
      <w:proofErr w:type="spellEnd"/>
      <w:r>
        <w:rPr>
          <w:rFonts w:ascii="Tenorite" w:hAnsi="Tenorite"/>
          <w:i/>
          <w:iCs/>
          <w:color w:val="156082"/>
          <w:sz w:val="18"/>
          <w:szCs w:val="18"/>
        </w:rPr>
        <w:t xml:space="preserve"> submission given that the latest guidance would have been adopted for 3 months at the point of the update.</w:t>
      </w:r>
    </w:p>
    <w:p w14:paraId="7D87D6F1" w14:textId="77777777" w:rsidR="0028575B" w:rsidRDefault="0028575B" w:rsidP="0028575B">
      <w:pPr>
        <w:pStyle w:val="xxmsonormal"/>
      </w:pPr>
      <w:r>
        <w:rPr>
          <w:rFonts w:ascii="Tenorite" w:hAnsi="Tenorite"/>
          <w:i/>
          <w:iCs/>
          <w:color w:val="156082"/>
          <w:sz w:val="18"/>
          <w:szCs w:val="18"/>
        </w:rPr>
        <w:t> </w:t>
      </w:r>
    </w:p>
    <w:p w14:paraId="5F4DC5F3" w14:textId="77777777" w:rsidR="0028575B" w:rsidRDefault="0028575B" w:rsidP="0028575B">
      <w:pPr>
        <w:pStyle w:val="xxmsonormal"/>
      </w:pPr>
      <w:r>
        <w:rPr>
          <w:rFonts w:ascii="Tenorite" w:hAnsi="Tenorite"/>
          <w:i/>
          <w:iCs/>
          <w:color w:val="156082"/>
          <w:sz w:val="18"/>
          <w:szCs w:val="18"/>
        </w:rPr>
        <w:t>The latest guidance advises that the surface water hierarchy should now be as follows:</w:t>
      </w:r>
    </w:p>
    <w:p w14:paraId="45AFD26B" w14:textId="77777777" w:rsidR="0028575B" w:rsidRDefault="0028575B" w:rsidP="0028575B">
      <w:pPr>
        <w:pStyle w:val="xxmsonormal"/>
      </w:pPr>
      <w:r>
        <w:rPr>
          <w:rFonts w:ascii="Tenorite" w:hAnsi="Tenorite"/>
          <w:i/>
          <w:iCs/>
          <w:color w:val="156082"/>
          <w:sz w:val="18"/>
          <w:szCs w:val="18"/>
        </w:rPr>
        <w:t> </w:t>
      </w:r>
    </w:p>
    <w:p w14:paraId="0528363B" w14:textId="77777777" w:rsidR="0028575B" w:rsidRDefault="0028575B" w:rsidP="0028575B">
      <w:pPr>
        <w:pStyle w:val="xxmsonormal"/>
      </w:pPr>
      <w:r>
        <w:rPr>
          <w:rFonts w:ascii="Tenorite" w:hAnsi="Tenorite"/>
          <w:i/>
          <w:iCs/>
          <w:color w:val="156082"/>
          <w:sz w:val="18"/>
          <w:szCs w:val="18"/>
        </w:rPr>
        <w:t>1.2 Runoff from the development shall be discharged to the following final destinations, to the maximum extent practicable, in accordance with the below hierarchy:</w:t>
      </w:r>
    </w:p>
    <w:p w14:paraId="72B5235D" w14:textId="77777777" w:rsidR="0028575B" w:rsidRDefault="0028575B" w:rsidP="0028575B">
      <w:pPr>
        <w:pStyle w:val="xxmsonormal"/>
      </w:pPr>
      <w:r>
        <w:rPr>
          <w:rFonts w:ascii="Tenorite" w:hAnsi="Tenorite"/>
          <w:i/>
          <w:iCs/>
          <w:color w:val="156082"/>
          <w:sz w:val="18"/>
          <w:szCs w:val="18"/>
        </w:rPr>
        <w:t> </w:t>
      </w:r>
    </w:p>
    <w:p w14:paraId="2A1A8DE3" w14:textId="77777777" w:rsidR="0028575B" w:rsidRDefault="0028575B" w:rsidP="0028575B">
      <w:pPr>
        <w:pStyle w:val="xxmsonormal"/>
      </w:pPr>
      <w:r>
        <w:rPr>
          <w:rFonts w:ascii="Tenorite" w:hAnsi="Tenorite"/>
          <w:i/>
          <w:iCs/>
          <w:color w:val="156082"/>
          <w:sz w:val="18"/>
          <w:szCs w:val="18"/>
        </w:rPr>
        <w:t>priority 1: collected for non-potable use</w:t>
      </w:r>
    </w:p>
    <w:p w14:paraId="57C214E8" w14:textId="77777777" w:rsidR="0028575B" w:rsidRDefault="0028575B" w:rsidP="0028575B">
      <w:pPr>
        <w:pStyle w:val="xxmsonormal"/>
      </w:pPr>
      <w:r>
        <w:rPr>
          <w:rFonts w:ascii="Tenorite" w:hAnsi="Tenorite"/>
          <w:i/>
          <w:iCs/>
          <w:color w:val="156082"/>
          <w:sz w:val="18"/>
          <w:szCs w:val="18"/>
        </w:rPr>
        <w:t>priority 2: infiltrated to ground</w:t>
      </w:r>
    </w:p>
    <w:p w14:paraId="4BA8E125" w14:textId="77777777" w:rsidR="0028575B" w:rsidRDefault="0028575B" w:rsidP="0028575B">
      <w:pPr>
        <w:pStyle w:val="xxmsonormal"/>
      </w:pPr>
      <w:r>
        <w:rPr>
          <w:rFonts w:ascii="Tenorite" w:hAnsi="Tenorite"/>
          <w:i/>
          <w:iCs/>
          <w:color w:val="156082"/>
          <w:sz w:val="18"/>
          <w:szCs w:val="18"/>
        </w:rPr>
        <w:t>priority 3: discharged to an above ground surface water body</w:t>
      </w:r>
    </w:p>
    <w:p w14:paraId="28D2329E" w14:textId="77777777" w:rsidR="0028575B" w:rsidRDefault="0028575B" w:rsidP="0028575B">
      <w:pPr>
        <w:pStyle w:val="xxmsonormal"/>
      </w:pPr>
      <w:r>
        <w:rPr>
          <w:rFonts w:ascii="Tenorite" w:hAnsi="Tenorite"/>
          <w:i/>
          <w:iCs/>
          <w:color w:val="156082"/>
          <w:sz w:val="18"/>
          <w:szCs w:val="18"/>
        </w:rPr>
        <w:t>priority 4: discharged to a surface water sewer, or another piped surface water drainage system</w:t>
      </w:r>
    </w:p>
    <w:p w14:paraId="22EC99A3" w14:textId="77777777" w:rsidR="0028575B" w:rsidRDefault="0028575B" w:rsidP="0028575B">
      <w:pPr>
        <w:pStyle w:val="xxmsonormal"/>
      </w:pPr>
      <w:r>
        <w:rPr>
          <w:rFonts w:ascii="Tenorite" w:hAnsi="Tenorite"/>
          <w:i/>
          <w:iCs/>
          <w:color w:val="156082"/>
          <w:sz w:val="18"/>
          <w:szCs w:val="18"/>
        </w:rPr>
        <w:t>priority 5: discharged to a combined sewer</w:t>
      </w:r>
    </w:p>
    <w:p w14:paraId="69CECB91" w14:textId="77777777" w:rsidR="0028575B" w:rsidRDefault="0028575B" w:rsidP="0028575B">
      <w:pPr>
        <w:pStyle w:val="xxmsonormal"/>
      </w:pPr>
      <w:r>
        <w:rPr>
          <w:rFonts w:ascii="Tenorite" w:hAnsi="Tenorite"/>
          <w:i/>
          <w:iCs/>
          <w:color w:val="156082"/>
          <w:sz w:val="18"/>
          <w:szCs w:val="18"/>
        </w:rPr>
        <w:t> </w:t>
      </w:r>
    </w:p>
    <w:p w14:paraId="3D647336" w14:textId="77777777" w:rsidR="0028575B" w:rsidRDefault="0028575B" w:rsidP="0028575B">
      <w:pPr>
        <w:pStyle w:val="xxmsonormal"/>
      </w:pPr>
      <w:r>
        <w:rPr>
          <w:rFonts w:ascii="Tenorite" w:hAnsi="Tenorite"/>
          <w:i/>
          <w:iCs/>
          <w:color w:val="156082"/>
          <w:sz w:val="18"/>
          <w:szCs w:val="18"/>
        </w:rPr>
        <w:t>As such the applicant will need to advise why the newest priority has not been included within the proposal based on the following:</w:t>
      </w:r>
    </w:p>
    <w:p w14:paraId="51A4A9EB" w14:textId="77777777" w:rsidR="0028575B" w:rsidRDefault="0028575B" w:rsidP="0028575B">
      <w:pPr>
        <w:pStyle w:val="xxmsonormal"/>
      </w:pPr>
      <w:r>
        <w:rPr>
          <w:rFonts w:ascii="Tenorite" w:hAnsi="Tenorite"/>
          <w:i/>
          <w:iCs/>
          <w:color w:val="156082"/>
          <w:sz w:val="18"/>
          <w:szCs w:val="18"/>
        </w:rPr>
        <w:t> </w:t>
      </w:r>
    </w:p>
    <w:p w14:paraId="35178B44" w14:textId="77777777" w:rsidR="0028575B" w:rsidRDefault="0028575B" w:rsidP="0028575B">
      <w:pPr>
        <w:pStyle w:val="xxmsonormal"/>
      </w:pPr>
      <w:r>
        <w:rPr>
          <w:rFonts w:ascii="Tenorite" w:hAnsi="Tenorite"/>
          <w:i/>
          <w:iCs/>
          <w:color w:val="156082"/>
          <w:sz w:val="18"/>
          <w:szCs w:val="18"/>
        </w:rPr>
        <w:t>1.11 Rainwater harvesting shall be considered in all circumstances where any of the following apply.</w:t>
      </w:r>
    </w:p>
    <w:p w14:paraId="634682F2" w14:textId="77777777" w:rsidR="0028575B" w:rsidRDefault="0028575B" w:rsidP="0028575B">
      <w:pPr>
        <w:pStyle w:val="xxmsonormal"/>
      </w:pPr>
      <w:r>
        <w:rPr>
          <w:rFonts w:ascii="Tenorite" w:hAnsi="Tenorite"/>
          <w:i/>
          <w:iCs/>
          <w:color w:val="156082"/>
          <w:sz w:val="18"/>
          <w:szCs w:val="18"/>
        </w:rPr>
        <w:t> </w:t>
      </w:r>
    </w:p>
    <w:p w14:paraId="231A768D" w14:textId="77777777" w:rsidR="0028575B" w:rsidRDefault="0028575B" w:rsidP="0028575B">
      <w:pPr>
        <w:pStyle w:val="xxmsonormal"/>
      </w:pPr>
      <w:r>
        <w:rPr>
          <w:rFonts w:ascii="Tenorite" w:hAnsi="Tenorite"/>
          <w:i/>
          <w:iCs/>
          <w:color w:val="156082"/>
          <w:sz w:val="18"/>
          <w:szCs w:val="18"/>
        </w:rPr>
        <w:t>There is a demand for non-potable water and available contributing catchment area that will deliver safe and efficient water savings.</w:t>
      </w:r>
    </w:p>
    <w:p w14:paraId="4942C3A2" w14:textId="77777777" w:rsidR="0028575B" w:rsidRDefault="0028575B" w:rsidP="0028575B">
      <w:pPr>
        <w:pStyle w:val="xxmsonormal"/>
      </w:pPr>
      <w:r>
        <w:rPr>
          <w:rFonts w:ascii="Tenorite" w:hAnsi="Tenorite"/>
          <w:i/>
          <w:iCs/>
          <w:color w:val="156082"/>
          <w:sz w:val="18"/>
          <w:szCs w:val="18"/>
        </w:rPr>
        <w:t>There is a need for landscape irrigation.</w:t>
      </w:r>
    </w:p>
    <w:p w14:paraId="2157F179" w14:textId="77777777" w:rsidR="0028575B" w:rsidRDefault="0028575B" w:rsidP="0028575B">
      <w:pPr>
        <w:pStyle w:val="xxmsonormal"/>
      </w:pPr>
      <w:r>
        <w:rPr>
          <w:rFonts w:ascii="Tenorite" w:hAnsi="Tenorite"/>
          <w:i/>
          <w:iCs/>
          <w:color w:val="156082"/>
          <w:sz w:val="18"/>
          <w:szCs w:val="18"/>
        </w:rPr>
        <w:t xml:space="preserve">The development is in an area identified as seriously water </w:t>
      </w:r>
      <w:proofErr w:type="gramStart"/>
      <w:r>
        <w:rPr>
          <w:rFonts w:ascii="Tenorite" w:hAnsi="Tenorite"/>
          <w:i/>
          <w:iCs/>
          <w:color w:val="156082"/>
          <w:sz w:val="18"/>
          <w:szCs w:val="18"/>
        </w:rPr>
        <w:t>stressed[</w:t>
      </w:r>
      <w:proofErr w:type="gramEnd"/>
      <w:r>
        <w:rPr>
          <w:rFonts w:ascii="Tenorite" w:hAnsi="Tenorite"/>
          <w:i/>
          <w:iCs/>
          <w:color w:val="156082"/>
          <w:sz w:val="18"/>
          <w:szCs w:val="18"/>
        </w:rPr>
        <w:t>footnote 7].</w:t>
      </w:r>
    </w:p>
    <w:p w14:paraId="45D77DB5" w14:textId="77777777" w:rsidR="0028575B" w:rsidRDefault="0028575B" w:rsidP="0028575B">
      <w:pPr>
        <w:pStyle w:val="xxmsonormal"/>
      </w:pPr>
      <w:r>
        <w:rPr>
          <w:rFonts w:ascii="Tenorite" w:hAnsi="Tenorite"/>
          <w:i/>
          <w:iCs/>
          <w:color w:val="156082"/>
          <w:sz w:val="18"/>
          <w:szCs w:val="18"/>
        </w:rPr>
        <w:t> </w:t>
      </w:r>
    </w:p>
    <w:p w14:paraId="76FE5EEB" w14:textId="77777777" w:rsidR="0028575B" w:rsidRDefault="0028575B" w:rsidP="0028575B">
      <w:pPr>
        <w:pStyle w:val="xxmsonormal"/>
      </w:pPr>
      <w:r>
        <w:rPr>
          <w:rFonts w:ascii="Tenorite" w:hAnsi="Tenorite"/>
          <w:i/>
          <w:iCs/>
          <w:color w:val="156082"/>
          <w:sz w:val="18"/>
          <w:szCs w:val="18"/>
        </w:rPr>
        <w:t>Note: examples for 1.11.1 include industrial, commercial, horticultural, educational, public sector, residential and multiple-occupancy buildings”</w:t>
      </w:r>
    </w:p>
    <w:p w14:paraId="178C593B" w14:textId="77777777" w:rsidR="0028575B" w:rsidRDefault="0028575B" w:rsidP="0028575B">
      <w:pPr>
        <w:pStyle w:val="xxmsonormal"/>
      </w:pPr>
      <w:r>
        <w:rPr>
          <w:rFonts w:ascii="Tenorite" w:hAnsi="Tenorite"/>
          <w:sz w:val="22"/>
          <w:szCs w:val="22"/>
        </w:rPr>
        <w:t> </w:t>
      </w:r>
    </w:p>
    <w:p w14:paraId="7E47E9A6" w14:textId="77777777" w:rsidR="0028575B" w:rsidRDefault="0028575B" w:rsidP="0028575B">
      <w:pPr>
        <w:pStyle w:val="xxmsonormal"/>
      </w:pPr>
      <w:r>
        <w:rPr>
          <w:rFonts w:ascii="Tenorite" w:hAnsi="Tenorite"/>
          <w:sz w:val="22"/>
          <w:szCs w:val="22"/>
        </w:rPr>
        <w:t>HEXA comments:</w:t>
      </w:r>
    </w:p>
    <w:p w14:paraId="27DB6E81" w14:textId="77777777" w:rsidR="0028575B" w:rsidRDefault="0028575B" w:rsidP="0028575B">
      <w:pPr>
        <w:pStyle w:val="xxmsonormal"/>
      </w:pPr>
      <w:r>
        <w:rPr>
          <w:rFonts w:ascii="Tenorite" w:hAnsi="Tenorite"/>
          <w:sz w:val="22"/>
          <w:szCs w:val="22"/>
        </w:rPr>
        <w:t> </w:t>
      </w:r>
    </w:p>
    <w:p w14:paraId="282B259A" w14:textId="77777777" w:rsidR="0028575B" w:rsidRDefault="0028575B" w:rsidP="0028575B">
      <w:pPr>
        <w:pStyle w:val="xxmsonormal"/>
      </w:pPr>
      <w:r>
        <w:rPr>
          <w:rFonts w:ascii="Tenorite" w:hAnsi="Tenorite"/>
          <w:sz w:val="22"/>
          <w:szCs w:val="22"/>
        </w:rPr>
        <w:t>We acknowledge the updated National Standards for Sustainable Drainage Systems published in July 2025 however, we note that the planning application was submitted prior to the publication of this updated guidance and was therefore compliant with the policy and standards in place at that time. Furthermore, significant design development has since been undertaken in line with the previously established drainage hierarchy and accepted principles, which have previously been agreed.</w:t>
      </w:r>
    </w:p>
    <w:p w14:paraId="1A4E5D83" w14:textId="77777777" w:rsidR="0028575B" w:rsidRDefault="0028575B" w:rsidP="0028575B">
      <w:pPr>
        <w:pStyle w:val="xxmsonormal"/>
      </w:pPr>
      <w:r>
        <w:rPr>
          <w:rFonts w:ascii="Tenorite" w:hAnsi="Tenorite"/>
          <w:sz w:val="22"/>
          <w:szCs w:val="22"/>
        </w:rPr>
        <w:t> </w:t>
      </w:r>
    </w:p>
    <w:p w14:paraId="4B6638E4" w14:textId="77777777" w:rsidR="0028575B" w:rsidRDefault="0028575B" w:rsidP="0028575B">
      <w:pPr>
        <w:pStyle w:val="xxmsonormal"/>
      </w:pPr>
      <w:r>
        <w:rPr>
          <w:rFonts w:ascii="Tenorite" w:hAnsi="Tenorite"/>
          <w:sz w:val="22"/>
          <w:szCs w:val="22"/>
        </w:rPr>
        <w:t>Regarding rainwater harvesting, this was considered during the initial design stage and has been revisited following your comments. Having reviewed this in detail, we consider that it is not appropriate for the proposed development for the following reasons:</w:t>
      </w:r>
    </w:p>
    <w:p w14:paraId="2BA1558D" w14:textId="77777777" w:rsidR="0028575B" w:rsidRDefault="0028575B" w:rsidP="0028575B">
      <w:pPr>
        <w:pStyle w:val="xxmsolistparagraph"/>
        <w:numPr>
          <w:ilvl w:val="0"/>
          <w:numId w:val="1"/>
        </w:numPr>
        <w:rPr>
          <w:rFonts w:eastAsia="Times New Roman"/>
        </w:rPr>
      </w:pPr>
      <w:r>
        <w:rPr>
          <w:rFonts w:ascii="Tenorite" w:eastAsia="Times New Roman" w:hAnsi="Tenorite"/>
          <w:sz w:val="20"/>
          <w:szCs w:val="20"/>
        </w:rPr>
        <w:t>The high-rise nature of the building limits practical opportunities for re-use</w:t>
      </w:r>
    </w:p>
    <w:p w14:paraId="675BCA14" w14:textId="77777777" w:rsidR="0028575B" w:rsidRDefault="0028575B" w:rsidP="0028575B">
      <w:pPr>
        <w:pStyle w:val="xxmsolistparagraph"/>
        <w:numPr>
          <w:ilvl w:val="0"/>
          <w:numId w:val="1"/>
        </w:numPr>
        <w:rPr>
          <w:rFonts w:eastAsia="Times New Roman"/>
        </w:rPr>
      </w:pPr>
      <w:r>
        <w:rPr>
          <w:rFonts w:ascii="Tenorite" w:eastAsia="Times New Roman" w:hAnsi="Tenorite"/>
          <w:sz w:val="20"/>
          <w:szCs w:val="20"/>
        </w:rPr>
        <w:t>The site is constrained, with limited non-potable water demand</w:t>
      </w:r>
    </w:p>
    <w:p w14:paraId="47644286" w14:textId="77777777" w:rsidR="0028575B" w:rsidRDefault="0028575B" w:rsidP="0028575B">
      <w:pPr>
        <w:pStyle w:val="xxmsolistparagraph"/>
        <w:numPr>
          <w:ilvl w:val="0"/>
          <w:numId w:val="1"/>
        </w:numPr>
        <w:rPr>
          <w:rFonts w:eastAsia="Times New Roman"/>
        </w:rPr>
      </w:pPr>
      <w:r>
        <w:rPr>
          <w:rFonts w:ascii="Tenorite" w:eastAsia="Times New Roman" w:hAnsi="Tenorite"/>
          <w:sz w:val="20"/>
          <w:szCs w:val="20"/>
        </w:rPr>
        <w:t>Ongoing maintenance and management requirements would be complex</w:t>
      </w:r>
    </w:p>
    <w:p w14:paraId="6C58DFAD" w14:textId="77777777" w:rsidR="0028575B" w:rsidRDefault="0028575B" w:rsidP="0028575B">
      <w:pPr>
        <w:pStyle w:val="xxmsolistparagraph"/>
        <w:numPr>
          <w:ilvl w:val="0"/>
          <w:numId w:val="1"/>
        </w:numPr>
        <w:rPr>
          <w:rFonts w:eastAsia="Times New Roman"/>
        </w:rPr>
      </w:pPr>
      <w:r>
        <w:rPr>
          <w:rFonts w:ascii="Tenorite" w:eastAsia="Times New Roman" w:hAnsi="Tenorite"/>
          <w:sz w:val="20"/>
          <w:szCs w:val="20"/>
        </w:rPr>
        <w:t>There are significant practical and viability constraints associated with additional M&amp;E requirements</w:t>
      </w:r>
    </w:p>
    <w:p w14:paraId="2889D740" w14:textId="77777777" w:rsidR="0028575B" w:rsidRDefault="0028575B" w:rsidP="0028575B">
      <w:pPr>
        <w:pStyle w:val="xxmsolistparagraph"/>
        <w:numPr>
          <w:ilvl w:val="0"/>
          <w:numId w:val="1"/>
        </w:numPr>
        <w:rPr>
          <w:rFonts w:eastAsia="Times New Roman"/>
        </w:rPr>
      </w:pPr>
      <w:r>
        <w:rPr>
          <w:rFonts w:ascii="Tenorite" w:eastAsia="Times New Roman" w:hAnsi="Tenorite"/>
          <w:sz w:val="20"/>
          <w:szCs w:val="20"/>
        </w:rPr>
        <w:t>The overall volume of water that could be captured and reused would be limited and would not materially impact runoff rates.</w:t>
      </w:r>
    </w:p>
    <w:p w14:paraId="4B137F33" w14:textId="77777777" w:rsidR="0028575B" w:rsidRDefault="0028575B" w:rsidP="0028575B">
      <w:pPr>
        <w:pStyle w:val="xxmsonormal"/>
      </w:pPr>
      <w:r>
        <w:rPr>
          <w:rFonts w:ascii="Tenorite" w:hAnsi="Tenorite"/>
          <w:sz w:val="22"/>
          <w:szCs w:val="22"/>
        </w:rPr>
        <w:t xml:space="preserve">It is therefore unviable to include rainwater harvesting. </w:t>
      </w:r>
    </w:p>
    <w:p w14:paraId="4603B645" w14:textId="77777777" w:rsidR="0028575B" w:rsidRDefault="0028575B" w:rsidP="0028575B">
      <w:pPr>
        <w:pStyle w:val="xxmsonormal"/>
      </w:pPr>
      <w:r>
        <w:rPr>
          <w:rFonts w:ascii="Tenorite" w:hAnsi="Tenorite"/>
          <w:color w:val="156082"/>
          <w:sz w:val="22"/>
          <w:szCs w:val="22"/>
        </w:rPr>
        <w:t xml:space="preserve">LLFA COMMENTS: </w:t>
      </w:r>
    </w:p>
    <w:p w14:paraId="177460BE" w14:textId="77777777" w:rsidR="0028575B" w:rsidRDefault="0028575B" w:rsidP="0028575B">
      <w:pPr>
        <w:pStyle w:val="xxmsonormal"/>
      </w:pPr>
      <w:r>
        <w:rPr>
          <w:rFonts w:ascii="Tenorite" w:hAnsi="Tenorite"/>
          <w:i/>
          <w:iCs/>
          <w:color w:val="156082"/>
          <w:sz w:val="18"/>
          <w:szCs w:val="18"/>
        </w:rPr>
        <w:t>“The LLFA would also highlight the latest guidance on run off rates which is as follows:</w:t>
      </w:r>
    </w:p>
    <w:p w14:paraId="66B00D2C" w14:textId="77777777" w:rsidR="0028575B" w:rsidRDefault="0028575B" w:rsidP="0028575B">
      <w:pPr>
        <w:pStyle w:val="xxmsonormal"/>
      </w:pPr>
      <w:r>
        <w:rPr>
          <w:rFonts w:ascii="Tenorite" w:hAnsi="Tenorite"/>
          <w:i/>
          <w:iCs/>
          <w:color w:val="156082"/>
          <w:sz w:val="18"/>
          <w:szCs w:val="18"/>
        </w:rPr>
        <w:t> </w:t>
      </w:r>
    </w:p>
    <w:p w14:paraId="0AF63B03" w14:textId="77777777" w:rsidR="0028575B" w:rsidRDefault="0028575B" w:rsidP="0028575B">
      <w:pPr>
        <w:pStyle w:val="NormalWeb"/>
        <w:shd w:val="clear" w:color="auto" w:fill="FFFFFF"/>
        <w:spacing w:after="300"/>
      </w:pPr>
      <w:r>
        <w:rPr>
          <w:rFonts w:ascii="Tenorite" w:hAnsi="Tenorite"/>
          <w:i/>
          <w:iCs/>
          <w:color w:val="156082"/>
          <w:sz w:val="18"/>
          <w:szCs w:val="18"/>
        </w:rPr>
        <w:t>3.18 The peak allowable discharge rate from the development to surface waters or sewers for the 50% AEP event shall be limited to the equivalent 50% AEP greenfield runoff rate, or 3 l/s/ha, whichever is the greater.</w:t>
      </w:r>
    </w:p>
    <w:p w14:paraId="23429664" w14:textId="77777777" w:rsidR="0028575B" w:rsidRDefault="0028575B" w:rsidP="0028575B">
      <w:pPr>
        <w:pStyle w:val="NormalWeb"/>
        <w:shd w:val="clear" w:color="auto" w:fill="FFFFFF"/>
        <w:spacing w:after="300"/>
      </w:pPr>
      <w:r>
        <w:rPr>
          <w:rFonts w:ascii="Tenorite" w:hAnsi="Tenorite"/>
          <w:i/>
          <w:iCs/>
          <w:color w:val="156082"/>
          <w:sz w:val="18"/>
          <w:szCs w:val="18"/>
        </w:rPr>
        <w:lastRenderedPageBreak/>
        <w:t>3.19 Where the volume of runoff discharged from the development to surface waters or sewers for the 1% AEP, 6-hour rainfall event is greater than the volume of greenfield runoff for the same rainfall event, the peak allowable discharge rate from the development for the 1% AEP event shall be limited to the 50% AEP greenfield runoff rate or 3l/s/ha, whichever is the greater.</w:t>
      </w:r>
    </w:p>
    <w:p w14:paraId="4C904BED" w14:textId="77777777" w:rsidR="0028575B" w:rsidRDefault="0028575B" w:rsidP="0028575B">
      <w:pPr>
        <w:pStyle w:val="NormalWeb"/>
        <w:shd w:val="clear" w:color="auto" w:fill="FFFFFF"/>
        <w:spacing w:after="300"/>
      </w:pPr>
      <w:r>
        <w:rPr>
          <w:rFonts w:ascii="Tenorite" w:hAnsi="Tenorite"/>
          <w:i/>
          <w:iCs/>
          <w:color w:val="156082"/>
          <w:sz w:val="18"/>
          <w:szCs w:val="18"/>
        </w:rPr>
        <w:t>3.20 Where the volume of runoff discharged from the development to surface waters or sewers for the 1% AEP, 6-hour rainfall event is less than or equivalent to the volume of greenfield runoff for the same event, the peak allowable discharge rate from the development for the 1% AEP event shall be limited to the 1% AEP greenfield runoff rate or 3l/s/ha, whichever is the greater.</w:t>
      </w:r>
    </w:p>
    <w:p w14:paraId="56BD9585" w14:textId="77777777" w:rsidR="0028575B" w:rsidRDefault="0028575B" w:rsidP="0028575B">
      <w:pPr>
        <w:pStyle w:val="NormalWeb"/>
        <w:shd w:val="clear" w:color="auto" w:fill="FFFFFF"/>
        <w:spacing w:after="300"/>
      </w:pPr>
      <w:r>
        <w:rPr>
          <w:rFonts w:ascii="Tenorite" w:hAnsi="Tenorite"/>
          <w:i/>
          <w:iCs/>
          <w:color w:val="156082"/>
          <w:sz w:val="18"/>
          <w:szCs w:val="18"/>
        </w:rPr>
        <w:t>Note: runoff volume can be reduced so it is less than or equivalent to the volume of greenfield runoff through infiltration and interception methods which will also result in lower attenuation volumes.</w:t>
      </w:r>
    </w:p>
    <w:p w14:paraId="421DE1AA" w14:textId="77777777" w:rsidR="0028575B" w:rsidRDefault="0028575B" w:rsidP="0028575B">
      <w:pPr>
        <w:pStyle w:val="NormalWeb"/>
        <w:shd w:val="clear" w:color="auto" w:fill="FFFFFF"/>
        <w:spacing w:after="300"/>
      </w:pPr>
      <w:r>
        <w:rPr>
          <w:rFonts w:ascii="Tenorite" w:hAnsi="Tenorite"/>
          <w:i/>
          <w:iCs/>
          <w:color w:val="156082"/>
          <w:sz w:val="18"/>
          <w:szCs w:val="18"/>
        </w:rPr>
        <w:t>3.21 For previously developed sites a ‘relaxation factor’ shall be applied to the target 50% and 1% AEP greenfield runoff rates where evidence is provided that demonstrates why greenfield runoff or 3l/s/ha rates cannot be achieved and this is agreed with the approving body.</w:t>
      </w:r>
    </w:p>
    <w:p w14:paraId="0F670224" w14:textId="77777777" w:rsidR="0028575B" w:rsidRDefault="0028575B" w:rsidP="0028575B">
      <w:pPr>
        <w:pStyle w:val="NormalWeb"/>
        <w:shd w:val="clear" w:color="auto" w:fill="FFFFFF"/>
        <w:spacing w:after="300"/>
      </w:pPr>
      <w:r>
        <w:rPr>
          <w:rFonts w:ascii="Tenorite" w:hAnsi="Tenorite"/>
          <w:i/>
          <w:iCs/>
          <w:color w:val="156082"/>
          <w:sz w:val="18"/>
          <w:szCs w:val="18"/>
        </w:rPr>
        <w:t>3.21.1 This relaxation factor shall be no greater than 5 times the greenfield runoff rate.</w:t>
      </w:r>
    </w:p>
    <w:p w14:paraId="7DC9C836" w14:textId="77777777" w:rsidR="0028575B" w:rsidRDefault="0028575B" w:rsidP="0028575B">
      <w:pPr>
        <w:pStyle w:val="xxmsonormal"/>
      </w:pPr>
      <w:r>
        <w:rPr>
          <w:rFonts w:ascii="Tenorite" w:hAnsi="Tenorite"/>
          <w:i/>
          <w:iCs/>
          <w:color w:val="156082"/>
          <w:sz w:val="18"/>
          <w:szCs w:val="18"/>
        </w:rPr>
        <w:t>Although the applicant had previously proposed a strategy that reduced the surface water run from the existing discharge rate the proposal may need to be amended to reflect this latest guidance. The applicant will therefore need to calculate the equivalent greenfield run off rate for the site to establish whether the 8l/s is acceptable.”</w:t>
      </w:r>
    </w:p>
    <w:p w14:paraId="4112B51B" w14:textId="77777777" w:rsidR="0028575B" w:rsidRDefault="0028575B" w:rsidP="0028575B">
      <w:pPr>
        <w:pStyle w:val="xxmsonormal"/>
      </w:pPr>
      <w:r>
        <w:rPr>
          <w:rFonts w:ascii="Tenorite" w:hAnsi="Tenorite"/>
          <w:sz w:val="22"/>
          <w:szCs w:val="22"/>
        </w:rPr>
        <w:t> </w:t>
      </w:r>
    </w:p>
    <w:p w14:paraId="05BA9F75" w14:textId="77777777" w:rsidR="0028575B" w:rsidRDefault="0028575B" w:rsidP="0028575B">
      <w:pPr>
        <w:pStyle w:val="xxmsonormal"/>
      </w:pPr>
      <w:r>
        <w:rPr>
          <w:rFonts w:ascii="Tenorite" w:hAnsi="Tenorite"/>
          <w:sz w:val="22"/>
          <w:szCs w:val="22"/>
        </w:rPr>
        <w:t>HEXA comments:</w:t>
      </w:r>
    </w:p>
    <w:p w14:paraId="63840C64" w14:textId="77777777" w:rsidR="0028575B" w:rsidRDefault="0028575B" w:rsidP="0028575B">
      <w:pPr>
        <w:pStyle w:val="xxmsonormal"/>
      </w:pPr>
      <w:r>
        <w:rPr>
          <w:rFonts w:ascii="Tenorite" w:hAnsi="Tenorite"/>
          <w:sz w:val="22"/>
          <w:szCs w:val="22"/>
        </w:rPr>
        <w:t> </w:t>
      </w:r>
    </w:p>
    <w:p w14:paraId="5BDC3DB4" w14:textId="77777777" w:rsidR="0028575B" w:rsidRDefault="0028575B" w:rsidP="0028575B">
      <w:pPr>
        <w:pStyle w:val="xxmsonormal"/>
      </w:pPr>
      <w:r>
        <w:rPr>
          <w:rFonts w:ascii="Tenorite" w:hAnsi="Tenorite"/>
          <w:sz w:val="22"/>
          <w:szCs w:val="22"/>
        </w:rPr>
        <w:t xml:space="preserve">We acknowledge the updated guidance in relation to runoff rates however, as noted above, the planning application was submitted prior to the publication of the revised standards. We also note that previous LLFA correspondence confirmed that the proposed strategy, including the discharge rate, was acceptable in principle: </w:t>
      </w:r>
    </w:p>
    <w:p w14:paraId="2B381961" w14:textId="77777777" w:rsidR="0028575B" w:rsidRDefault="0028575B" w:rsidP="0028575B">
      <w:pPr>
        <w:pStyle w:val="xxmsonormal"/>
      </w:pPr>
      <w:r>
        <w:rPr>
          <w:rFonts w:ascii="Tenorite" w:hAnsi="Tenorite"/>
          <w:sz w:val="22"/>
          <w:szCs w:val="22"/>
        </w:rPr>
        <w:t> </w:t>
      </w:r>
    </w:p>
    <w:p w14:paraId="223262CD" w14:textId="77777777" w:rsidR="0028575B" w:rsidRDefault="0028575B" w:rsidP="0028575B">
      <w:pPr>
        <w:pStyle w:val="xxmsonormal"/>
      </w:pPr>
      <w:r>
        <w:rPr>
          <w:rFonts w:ascii="Tenorite" w:hAnsi="Tenorite"/>
          <w:sz w:val="22"/>
          <w:szCs w:val="22"/>
        </w:rPr>
        <w:t> </w:t>
      </w:r>
    </w:p>
    <w:p w14:paraId="02050DAC" w14:textId="77777777" w:rsidR="0028575B" w:rsidRDefault="0028575B" w:rsidP="0028575B">
      <w:pPr>
        <w:pStyle w:val="xxmsonormal"/>
      </w:pPr>
      <w:r>
        <w:rPr>
          <w:rFonts w:ascii="Tenorite" w:hAnsi="Tenorite"/>
          <w:sz w:val="22"/>
          <w:szCs w:val="22"/>
          <w:u w:val="single"/>
        </w:rPr>
        <w:t>LLFA response extract</w:t>
      </w:r>
    </w:p>
    <w:p w14:paraId="16EA1FA2" w14:textId="2FADA72A" w:rsidR="0028575B" w:rsidRDefault="0028575B" w:rsidP="0028575B">
      <w:pPr>
        <w:pStyle w:val="xxmsonormal"/>
      </w:pPr>
      <w:r>
        <w:rPr>
          <w:rFonts w:ascii="Tenorite" w:hAnsi="Tenorite"/>
          <w:noProof/>
          <w:sz w:val="22"/>
          <w:szCs w:val="22"/>
        </w:rPr>
        <w:drawing>
          <wp:inline distT="0" distB="0" distL="0" distR="0" wp14:anchorId="003520D2" wp14:editId="33F2C9F4">
            <wp:extent cx="5731510" cy="2072640"/>
            <wp:effectExtent l="0" t="0" r="2540" b="3810"/>
            <wp:docPr id="80898739" name="Picture 5" descr="A close up of a messag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898739" name="Picture 5" descr="A close up of a message&#10;&#10;AI-generated content may be incorrect."/>
                    <pic:cNvPicPr>
                      <a:picLocks noChangeAspect="1" noChangeArrowheads="1"/>
                    </pic:cNvPicPr>
                  </pic:nvPicPr>
                  <pic:blipFill>
                    <a:blip r:embed="rId5" r:link="rId6">
                      <a:extLst>
                        <a:ext uri="{28A0092B-C50C-407E-A947-70E740481C1C}">
                          <a14:useLocalDpi xmlns:a14="http://schemas.microsoft.com/office/drawing/2010/main" val="0"/>
                        </a:ext>
                      </a:extLst>
                    </a:blip>
                    <a:srcRect/>
                    <a:stretch>
                      <a:fillRect/>
                    </a:stretch>
                  </pic:blipFill>
                  <pic:spPr bwMode="auto">
                    <a:xfrm>
                      <a:off x="0" y="0"/>
                      <a:ext cx="5731510" cy="2072640"/>
                    </a:xfrm>
                    <a:prstGeom prst="rect">
                      <a:avLst/>
                    </a:prstGeom>
                    <a:noFill/>
                    <a:ln>
                      <a:noFill/>
                    </a:ln>
                  </pic:spPr>
                </pic:pic>
              </a:graphicData>
            </a:graphic>
          </wp:inline>
        </w:drawing>
      </w:r>
    </w:p>
    <w:p w14:paraId="2ECC3A69" w14:textId="77777777" w:rsidR="0028575B" w:rsidRDefault="0028575B" w:rsidP="0028575B">
      <w:pPr>
        <w:pStyle w:val="xxmsonormal"/>
      </w:pPr>
      <w:r>
        <w:rPr>
          <w:rFonts w:ascii="Tenorite" w:hAnsi="Tenorite"/>
          <w:sz w:val="22"/>
          <w:szCs w:val="22"/>
        </w:rPr>
        <w:t> </w:t>
      </w:r>
    </w:p>
    <w:p w14:paraId="6BE98D3B" w14:textId="77777777" w:rsidR="0028575B" w:rsidRDefault="0028575B" w:rsidP="0028575B">
      <w:pPr>
        <w:pStyle w:val="xxmsonormal"/>
      </w:pPr>
      <w:r>
        <w:rPr>
          <w:rFonts w:ascii="Tenorite" w:hAnsi="Tenorite"/>
          <w:sz w:val="22"/>
          <w:szCs w:val="22"/>
        </w:rPr>
        <w:t> </w:t>
      </w:r>
    </w:p>
    <w:p w14:paraId="79DC0E63" w14:textId="77777777" w:rsidR="0028575B" w:rsidRDefault="0028575B" w:rsidP="0028575B">
      <w:pPr>
        <w:pStyle w:val="xxmsonormal"/>
      </w:pPr>
      <w:r>
        <w:rPr>
          <w:rFonts w:ascii="Tenorite" w:hAnsi="Tenorite"/>
          <w:sz w:val="22"/>
          <w:szCs w:val="22"/>
        </w:rPr>
        <w:t>Notwithstanding this, we have reviewed the updated guidance, and the proposed drainage strategy is in accordance with the requirements of:</w:t>
      </w:r>
    </w:p>
    <w:p w14:paraId="0A20D2D8" w14:textId="77777777" w:rsidR="0028575B" w:rsidRDefault="0028575B" w:rsidP="0028575B">
      <w:pPr>
        <w:pStyle w:val="xxmsonormal"/>
      </w:pPr>
      <w:r>
        <w:rPr>
          <w:rFonts w:ascii="Tenorite" w:hAnsi="Tenorite"/>
          <w:sz w:val="22"/>
          <w:szCs w:val="22"/>
        </w:rPr>
        <w:t> </w:t>
      </w:r>
    </w:p>
    <w:p w14:paraId="28456B15" w14:textId="77777777" w:rsidR="0028575B" w:rsidRDefault="0028575B" w:rsidP="0028575B">
      <w:pPr>
        <w:pStyle w:val="xxmsonormal"/>
      </w:pPr>
      <w:r>
        <w:rPr>
          <w:rFonts w:ascii="Tenorite" w:hAnsi="Tenorite"/>
          <w:i/>
          <w:iCs/>
          <w:sz w:val="22"/>
          <w:szCs w:val="22"/>
        </w:rPr>
        <w:t xml:space="preserve">“3.20 Where the volume of runoff discharged from the development to surface waters or sewers for the 1% AEP, 6-hour rainfall event is less than or equivalent to the volume of greenfield runoff for the same event, the peak allowable discharge rate from the development for the 1% AEP event shall be limited to the 1% AEP greenfield runoff rate or 3l/s/ha, whichever is the greater.” </w:t>
      </w:r>
    </w:p>
    <w:p w14:paraId="0A29CA77" w14:textId="77777777" w:rsidR="0028575B" w:rsidRDefault="0028575B" w:rsidP="0028575B">
      <w:pPr>
        <w:pStyle w:val="xxmsonormal"/>
      </w:pPr>
      <w:r>
        <w:rPr>
          <w:rFonts w:ascii="Tenorite" w:hAnsi="Tenorite"/>
          <w:i/>
          <w:iCs/>
          <w:sz w:val="22"/>
          <w:szCs w:val="22"/>
        </w:rPr>
        <w:lastRenderedPageBreak/>
        <w:t> </w:t>
      </w:r>
    </w:p>
    <w:p w14:paraId="0048F5CD" w14:textId="77777777" w:rsidR="0028575B" w:rsidRDefault="0028575B" w:rsidP="0028575B">
      <w:pPr>
        <w:pStyle w:val="xxmsonormal"/>
      </w:pPr>
      <w:r>
        <w:rPr>
          <w:rFonts w:ascii="Tenorite" w:hAnsi="Tenorite"/>
          <w:sz w:val="22"/>
          <w:szCs w:val="22"/>
        </w:rPr>
        <w:t>The proposed design limits the discharge volume in accordance with 3.20, resulting in a restricted discharge rate of 8 l/s which is a significant reduction compared to the existing brownfield runoff rates.</w:t>
      </w:r>
    </w:p>
    <w:p w14:paraId="0A0A604A" w14:textId="77777777" w:rsidR="0028575B" w:rsidRDefault="0028575B" w:rsidP="0028575B">
      <w:pPr>
        <w:pStyle w:val="xxmsonormal"/>
      </w:pPr>
      <w:r>
        <w:rPr>
          <w:rFonts w:ascii="Tenorite" w:hAnsi="Tenorite"/>
          <w:sz w:val="22"/>
          <w:szCs w:val="22"/>
        </w:rPr>
        <w:t> </w:t>
      </w:r>
    </w:p>
    <w:p w14:paraId="4B1CADCE" w14:textId="77777777" w:rsidR="0028575B" w:rsidRDefault="0028575B" w:rsidP="0028575B">
      <w:pPr>
        <w:pStyle w:val="xxmsonormal"/>
      </w:pPr>
      <w:r>
        <w:rPr>
          <w:rFonts w:ascii="Tenorite" w:hAnsi="Tenorite"/>
          <w:sz w:val="22"/>
          <w:szCs w:val="22"/>
        </w:rPr>
        <w:t>Finally, given the previous acceptance of the strategy, we consider it would be unreasonable to make further amendments to the discharge rate.</w:t>
      </w:r>
    </w:p>
    <w:p w14:paraId="2644A586" w14:textId="77777777" w:rsidR="0028575B" w:rsidRDefault="0028575B" w:rsidP="0028575B">
      <w:pPr>
        <w:pStyle w:val="xxmsonormal"/>
      </w:pPr>
      <w:r>
        <w:rPr>
          <w:rFonts w:ascii="Tenorite" w:hAnsi="Tenorite"/>
          <w:sz w:val="22"/>
          <w:szCs w:val="22"/>
        </w:rPr>
        <w:t> </w:t>
      </w:r>
    </w:p>
    <w:p w14:paraId="328ECD3D" w14:textId="77777777" w:rsidR="0028575B" w:rsidRDefault="0028575B" w:rsidP="0028575B">
      <w:pPr>
        <w:pStyle w:val="xxmsonormal"/>
      </w:pPr>
      <w:r>
        <w:rPr>
          <w:rFonts w:ascii="Tenorite" w:hAnsi="Tenorite"/>
          <w:sz w:val="22"/>
          <w:szCs w:val="22"/>
        </w:rPr>
        <w:t xml:space="preserve">In addition, the discharge rate has been restricted as much as reasonably practicable. Any further reduction would be unviable due to the space constraints associated with the existing site and development objectives. </w:t>
      </w:r>
    </w:p>
    <w:p w14:paraId="2B64628C" w14:textId="77777777" w:rsidR="0028575B" w:rsidRDefault="0028575B" w:rsidP="0028575B">
      <w:pPr>
        <w:pStyle w:val="xxmsonormal"/>
      </w:pPr>
      <w:r>
        <w:rPr>
          <w:rFonts w:ascii="Tenorite" w:hAnsi="Tenorite"/>
        </w:rPr>
        <w:t> </w:t>
      </w:r>
    </w:p>
    <w:p w14:paraId="45254FFA" w14:textId="77777777" w:rsidR="0028575B" w:rsidRDefault="0028575B" w:rsidP="0028575B">
      <w:pPr>
        <w:pStyle w:val="xxmsonormal"/>
      </w:pPr>
      <w:r>
        <w:rPr>
          <w:rFonts w:ascii="Tenorite" w:hAnsi="Tenorite"/>
          <w:color w:val="156082"/>
          <w:sz w:val="22"/>
          <w:szCs w:val="22"/>
        </w:rPr>
        <w:t xml:space="preserve">LLFA COMMENTS: </w:t>
      </w:r>
    </w:p>
    <w:p w14:paraId="437A0FB9" w14:textId="77777777" w:rsidR="0028575B" w:rsidRDefault="0028575B" w:rsidP="0028575B">
      <w:pPr>
        <w:pStyle w:val="xxmsonormal"/>
      </w:pPr>
      <w:r>
        <w:rPr>
          <w:rFonts w:ascii="Tenorite" w:hAnsi="Tenorite"/>
          <w:i/>
          <w:iCs/>
          <w:color w:val="156082"/>
          <w:sz w:val="18"/>
          <w:szCs w:val="18"/>
        </w:rPr>
        <w:t xml:space="preserve">“It is also noted that the applicant has submitted a proposed adoption extent for the Norman Place </w:t>
      </w:r>
      <w:proofErr w:type="gramStart"/>
      <w:r>
        <w:rPr>
          <w:rFonts w:ascii="Tenorite" w:hAnsi="Tenorite"/>
          <w:i/>
          <w:iCs/>
          <w:color w:val="156082"/>
          <w:sz w:val="18"/>
          <w:szCs w:val="18"/>
        </w:rPr>
        <w:t>footway</w:t>
      </w:r>
      <w:proofErr w:type="gramEnd"/>
      <w:r>
        <w:rPr>
          <w:rFonts w:ascii="Tenorite" w:hAnsi="Tenorite"/>
          <w:i/>
          <w:iCs/>
          <w:color w:val="156082"/>
          <w:sz w:val="18"/>
          <w:szCs w:val="18"/>
        </w:rPr>
        <w:t xml:space="preserve"> and it is noted that a small section of the proposed private drainage and a private manhole would be located within the adoptable Highway extent which is not acceptable.  The drainage layout would therefore need to be revised however the LLFA would be happy for this to be dealt with by way of a condition.”</w:t>
      </w:r>
    </w:p>
    <w:p w14:paraId="3CBA073F" w14:textId="77777777" w:rsidR="0028575B" w:rsidRDefault="0028575B" w:rsidP="0028575B">
      <w:pPr>
        <w:pStyle w:val="xxmsonormal"/>
      </w:pPr>
      <w:r>
        <w:rPr>
          <w:rFonts w:ascii="Tenorite" w:hAnsi="Tenorite"/>
          <w:sz w:val="22"/>
          <w:szCs w:val="22"/>
        </w:rPr>
        <w:t> </w:t>
      </w:r>
    </w:p>
    <w:p w14:paraId="47B4C9F6" w14:textId="77777777" w:rsidR="0028575B" w:rsidRDefault="0028575B" w:rsidP="0028575B">
      <w:pPr>
        <w:pStyle w:val="xxmsonormal"/>
      </w:pPr>
      <w:r>
        <w:rPr>
          <w:rFonts w:ascii="Tenorite" w:hAnsi="Tenorite"/>
          <w:sz w:val="22"/>
          <w:szCs w:val="22"/>
        </w:rPr>
        <w:t>HEXA comments:</w:t>
      </w:r>
    </w:p>
    <w:p w14:paraId="7DB4C68B" w14:textId="77777777" w:rsidR="0028575B" w:rsidRDefault="0028575B" w:rsidP="0028575B">
      <w:pPr>
        <w:pStyle w:val="xxmsonormal"/>
      </w:pPr>
      <w:r>
        <w:rPr>
          <w:rFonts w:ascii="Tenorite" w:hAnsi="Tenorite"/>
          <w:sz w:val="22"/>
          <w:szCs w:val="22"/>
        </w:rPr>
        <w:t> </w:t>
      </w:r>
    </w:p>
    <w:p w14:paraId="1B31BD15" w14:textId="77777777" w:rsidR="0028575B" w:rsidRDefault="0028575B" w:rsidP="0028575B">
      <w:pPr>
        <w:pStyle w:val="xxmsonormal"/>
      </w:pPr>
      <w:r>
        <w:rPr>
          <w:rFonts w:ascii="Tenorite" w:hAnsi="Tenorite"/>
          <w:sz w:val="22"/>
          <w:szCs w:val="22"/>
        </w:rPr>
        <w:t>We are comfortable for this to be conditioned and can review further once the adoption extents are finalised, and the design progresses. We will look to avoid locating private drainage within the Highway wherever possible and any necessary requirements will be progressed as a Section 50 agreement.</w:t>
      </w:r>
    </w:p>
    <w:p w14:paraId="5E2F8866" w14:textId="77777777" w:rsidR="0028575B" w:rsidRDefault="0028575B" w:rsidP="0028575B">
      <w:pPr>
        <w:pStyle w:val="xxmsonormal"/>
      </w:pPr>
      <w:r>
        <w:rPr>
          <w:rFonts w:ascii="Tenorite" w:hAnsi="Tenorite"/>
        </w:rPr>
        <w:t> </w:t>
      </w:r>
    </w:p>
    <w:p w14:paraId="60908C9E" w14:textId="77777777" w:rsidR="0028575B" w:rsidRDefault="0028575B" w:rsidP="0028575B">
      <w:pPr>
        <w:pStyle w:val="xxmsonormal"/>
      </w:pPr>
      <w:r>
        <w:rPr>
          <w:rFonts w:ascii="Tenorite" w:hAnsi="Tenorite"/>
          <w:color w:val="156082"/>
          <w:sz w:val="22"/>
          <w:szCs w:val="22"/>
        </w:rPr>
        <w:t xml:space="preserve">LLFA COMMENTS: </w:t>
      </w:r>
    </w:p>
    <w:p w14:paraId="246F61E4" w14:textId="77777777" w:rsidR="0028575B" w:rsidRDefault="0028575B" w:rsidP="0028575B">
      <w:pPr>
        <w:pStyle w:val="xxmsonormal"/>
      </w:pPr>
      <w:r>
        <w:rPr>
          <w:rFonts w:ascii="Tenorite" w:hAnsi="Tenorite"/>
          <w:i/>
          <w:iCs/>
          <w:color w:val="156082"/>
          <w:sz w:val="18"/>
          <w:szCs w:val="18"/>
        </w:rPr>
        <w:t xml:space="preserve">“Although rain gardens are proposed at the ground floor level there would appear to be even more scope to connect into the landscaped areas in particular the new landscaped area along the western elevation and the numerous trees that are provided along the western and northern boundaries.  The applicant has stated that this would not be possible due to fire tender </w:t>
      </w:r>
      <w:proofErr w:type="gramStart"/>
      <w:r>
        <w:rPr>
          <w:rFonts w:ascii="Tenorite" w:hAnsi="Tenorite"/>
          <w:i/>
          <w:iCs/>
          <w:color w:val="156082"/>
          <w:sz w:val="18"/>
          <w:szCs w:val="18"/>
        </w:rPr>
        <w:t>access</w:t>
      </w:r>
      <w:proofErr w:type="gramEnd"/>
      <w:r>
        <w:rPr>
          <w:rFonts w:ascii="Tenorite" w:hAnsi="Tenorite"/>
          <w:i/>
          <w:iCs/>
          <w:color w:val="156082"/>
          <w:sz w:val="18"/>
          <w:szCs w:val="18"/>
        </w:rPr>
        <w:t xml:space="preserve"> but the swept path analysis seems to imply that a fire tender would not go near these areas.”</w:t>
      </w:r>
    </w:p>
    <w:p w14:paraId="600B2F29" w14:textId="77777777" w:rsidR="0028575B" w:rsidRDefault="0028575B" w:rsidP="0028575B">
      <w:pPr>
        <w:pStyle w:val="xxmsonormal"/>
      </w:pPr>
      <w:r>
        <w:rPr>
          <w:rFonts w:ascii="Tenorite" w:hAnsi="Tenorite"/>
          <w:sz w:val="22"/>
          <w:szCs w:val="22"/>
        </w:rPr>
        <w:t> </w:t>
      </w:r>
    </w:p>
    <w:p w14:paraId="281D0EBD" w14:textId="77777777" w:rsidR="0028575B" w:rsidRDefault="0028575B" w:rsidP="0028575B">
      <w:pPr>
        <w:pStyle w:val="xxmsonormal"/>
      </w:pPr>
      <w:r>
        <w:rPr>
          <w:rFonts w:ascii="Tenorite" w:hAnsi="Tenorite"/>
          <w:sz w:val="22"/>
          <w:szCs w:val="22"/>
        </w:rPr>
        <w:t>HEXA comments:</w:t>
      </w:r>
    </w:p>
    <w:p w14:paraId="7DCB3023" w14:textId="77777777" w:rsidR="0028575B" w:rsidRDefault="0028575B" w:rsidP="0028575B">
      <w:pPr>
        <w:pStyle w:val="xxmsonormal"/>
      </w:pPr>
      <w:r>
        <w:rPr>
          <w:rFonts w:ascii="Tenorite" w:hAnsi="Tenorite"/>
          <w:sz w:val="22"/>
          <w:szCs w:val="22"/>
        </w:rPr>
        <w:t> </w:t>
      </w:r>
    </w:p>
    <w:p w14:paraId="7702B9DB" w14:textId="77777777" w:rsidR="0028575B" w:rsidRDefault="0028575B" w:rsidP="0028575B">
      <w:pPr>
        <w:pStyle w:val="xxmsonormal"/>
      </w:pPr>
      <w:r>
        <w:rPr>
          <w:rFonts w:ascii="Tenorite" w:hAnsi="Tenorite"/>
          <w:sz w:val="22"/>
          <w:szCs w:val="22"/>
        </w:rPr>
        <w:t xml:space="preserve">While we acknowledge the suggestion to increase connectivity to landscaped areas, the design has been reviewed with the landscape architect at length. These reviews highlighted several constraints, including level changes, and spatial limitations associated with the requirements for the trees. These constraints limit the extent to which additional areas can be practically incorporated into the drainage strategy. The </w:t>
      </w:r>
      <w:proofErr w:type="spellStart"/>
      <w:r>
        <w:rPr>
          <w:rFonts w:ascii="Tenorite" w:hAnsi="Tenorite"/>
          <w:sz w:val="22"/>
          <w:szCs w:val="22"/>
        </w:rPr>
        <w:t>SuDS</w:t>
      </w:r>
      <w:proofErr w:type="spellEnd"/>
      <w:r>
        <w:rPr>
          <w:rFonts w:ascii="Tenorite" w:hAnsi="Tenorite"/>
          <w:sz w:val="22"/>
          <w:szCs w:val="22"/>
        </w:rPr>
        <w:t xml:space="preserve"> and tree pits have been integrated as shown on the proposed drainage strategy and Landscape Architects details.</w:t>
      </w:r>
    </w:p>
    <w:p w14:paraId="3EA0EC3D" w14:textId="77777777" w:rsidR="0028575B" w:rsidRDefault="0028575B" w:rsidP="0028575B">
      <w:pPr>
        <w:pStyle w:val="xxmsonormal"/>
      </w:pPr>
      <w:r>
        <w:rPr>
          <w:rFonts w:ascii="Tenorite" w:hAnsi="Tenorite"/>
        </w:rPr>
        <w:t> </w:t>
      </w:r>
    </w:p>
    <w:p w14:paraId="3E93A65E" w14:textId="77777777" w:rsidR="0028575B" w:rsidRDefault="0028575B" w:rsidP="0028575B">
      <w:pPr>
        <w:pStyle w:val="xxmsonormal"/>
      </w:pPr>
      <w:r>
        <w:rPr>
          <w:rFonts w:ascii="Tenorite" w:hAnsi="Tenorite"/>
          <w:color w:val="156082"/>
          <w:sz w:val="22"/>
          <w:szCs w:val="22"/>
        </w:rPr>
        <w:t>LLFA COMMENTS:</w:t>
      </w:r>
    </w:p>
    <w:p w14:paraId="4162458E" w14:textId="77777777" w:rsidR="0028575B" w:rsidRDefault="0028575B" w:rsidP="0028575B">
      <w:pPr>
        <w:pStyle w:val="xxmsonormal"/>
      </w:pPr>
      <w:r>
        <w:rPr>
          <w:rFonts w:ascii="Tenorite" w:hAnsi="Tenorite"/>
          <w:i/>
          <w:iCs/>
          <w:color w:val="156082"/>
          <w:sz w:val="18"/>
          <w:szCs w:val="18"/>
        </w:rPr>
        <w:t xml:space="preserve">“The proposed scheme included landscaped areas at terrace </w:t>
      </w:r>
      <w:proofErr w:type="gramStart"/>
      <w:r>
        <w:rPr>
          <w:rFonts w:ascii="Tenorite" w:hAnsi="Tenorite"/>
          <w:i/>
          <w:iCs/>
          <w:color w:val="156082"/>
          <w:sz w:val="18"/>
          <w:szCs w:val="18"/>
        </w:rPr>
        <w:t>level</w:t>
      </w:r>
      <w:proofErr w:type="gramEnd"/>
      <w:r>
        <w:rPr>
          <w:rFonts w:ascii="Tenorite" w:hAnsi="Tenorite"/>
          <w:i/>
          <w:iCs/>
          <w:color w:val="156082"/>
          <w:sz w:val="18"/>
          <w:szCs w:val="18"/>
        </w:rPr>
        <w:t xml:space="preserve"> and the maintenance and management plan makes reference to a green roof however, the drainage drawings do not illustrate a green roof or how the terrace level could in fact aid the reduction in surface water run off.”</w:t>
      </w:r>
    </w:p>
    <w:p w14:paraId="72133784" w14:textId="77777777" w:rsidR="0028575B" w:rsidRDefault="0028575B" w:rsidP="0028575B">
      <w:pPr>
        <w:pStyle w:val="xxmsonormal"/>
      </w:pPr>
      <w:r>
        <w:rPr>
          <w:rFonts w:ascii="Tenorite" w:hAnsi="Tenorite"/>
          <w:sz w:val="22"/>
          <w:szCs w:val="22"/>
        </w:rPr>
        <w:t> </w:t>
      </w:r>
    </w:p>
    <w:p w14:paraId="6645C879" w14:textId="77777777" w:rsidR="0028575B" w:rsidRDefault="0028575B" w:rsidP="0028575B">
      <w:pPr>
        <w:pStyle w:val="xxmsonormal"/>
      </w:pPr>
      <w:r>
        <w:rPr>
          <w:rFonts w:ascii="Tenorite" w:hAnsi="Tenorite"/>
          <w:sz w:val="22"/>
          <w:szCs w:val="22"/>
        </w:rPr>
        <w:t>HEXA comments:</w:t>
      </w:r>
    </w:p>
    <w:p w14:paraId="1E28BE2C" w14:textId="77777777" w:rsidR="0028575B" w:rsidRDefault="0028575B" w:rsidP="0028575B">
      <w:pPr>
        <w:pStyle w:val="xxmsonormal"/>
      </w:pPr>
      <w:r>
        <w:rPr>
          <w:rFonts w:ascii="Tenorite" w:hAnsi="Tenorite"/>
          <w:sz w:val="22"/>
          <w:szCs w:val="22"/>
        </w:rPr>
        <w:t> </w:t>
      </w:r>
    </w:p>
    <w:p w14:paraId="1C146D43" w14:textId="77777777" w:rsidR="0028575B" w:rsidRDefault="0028575B" w:rsidP="0028575B">
      <w:pPr>
        <w:pStyle w:val="xxmsonormal"/>
      </w:pPr>
      <w:r>
        <w:rPr>
          <w:rFonts w:ascii="Tenorite" w:hAnsi="Tenorite"/>
          <w:sz w:val="22"/>
          <w:szCs w:val="22"/>
        </w:rPr>
        <w:t>The proposed green roofs were highlighted on the latest drainage strategy submitted, drawing no. 700135-HEX-ZZ-ZZ-DR-C-9202. Furthermore, green roofs have been referenced within the body of the report (section 2.3.2).</w:t>
      </w:r>
    </w:p>
    <w:p w14:paraId="56B05D8F" w14:textId="77777777" w:rsidR="0028575B" w:rsidRDefault="0028575B" w:rsidP="0028575B">
      <w:pPr>
        <w:pStyle w:val="xxmsonormal"/>
      </w:pPr>
      <w:r>
        <w:rPr>
          <w:rFonts w:ascii="Tenorite" w:hAnsi="Tenorite"/>
          <w:sz w:val="22"/>
          <w:szCs w:val="22"/>
        </w:rPr>
        <w:t> </w:t>
      </w:r>
    </w:p>
    <w:p w14:paraId="470215F5" w14:textId="77777777" w:rsidR="0028575B" w:rsidRDefault="0028575B" w:rsidP="0028575B">
      <w:pPr>
        <w:pStyle w:val="xxmsonormal"/>
      </w:pPr>
      <w:r>
        <w:rPr>
          <w:rFonts w:ascii="Tenorite" w:hAnsi="Tenorite"/>
          <w:sz w:val="22"/>
          <w:szCs w:val="22"/>
        </w:rPr>
        <w:t>The proposed green roofs have also been highlighted on the landscaping drawing provided by Assael, drawing no. A4012E-ASA-XX-00-DR-L-0230.</w:t>
      </w:r>
    </w:p>
    <w:p w14:paraId="36113E22" w14:textId="77777777" w:rsidR="0028575B" w:rsidRDefault="0028575B" w:rsidP="0028575B">
      <w:pPr>
        <w:pStyle w:val="xxmsonormal"/>
      </w:pPr>
      <w:r>
        <w:rPr>
          <w:rFonts w:ascii="Tenorite" w:hAnsi="Tenorite"/>
          <w:sz w:val="22"/>
          <w:szCs w:val="22"/>
        </w:rPr>
        <w:lastRenderedPageBreak/>
        <w:t> </w:t>
      </w:r>
    </w:p>
    <w:p w14:paraId="4E8967EE" w14:textId="77777777" w:rsidR="0028575B" w:rsidRDefault="0028575B" w:rsidP="0028575B">
      <w:pPr>
        <w:pStyle w:val="xxmsonormal"/>
      </w:pPr>
      <w:r>
        <w:rPr>
          <w:rFonts w:ascii="Tenorite" w:hAnsi="Tenorite"/>
          <w:sz w:val="22"/>
          <w:szCs w:val="22"/>
        </w:rPr>
        <w:t xml:space="preserve">The green roofs on this project are limited to the areas shown where there will be regular daylight to ensure they remain functional long-term. </w:t>
      </w:r>
    </w:p>
    <w:p w14:paraId="0864FD8A" w14:textId="77777777" w:rsidR="0028575B" w:rsidRDefault="0028575B" w:rsidP="0028575B">
      <w:pPr>
        <w:pStyle w:val="xxmsonormal"/>
      </w:pPr>
      <w:r>
        <w:rPr>
          <w:rFonts w:ascii="Tenorite" w:hAnsi="Tenorite"/>
          <w:sz w:val="22"/>
          <w:szCs w:val="22"/>
        </w:rPr>
        <w:t> </w:t>
      </w:r>
    </w:p>
    <w:p w14:paraId="255F5613" w14:textId="77777777" w:rsidR="0028575B" w:rsidRDefault="0028575B" w:rsidP="0028575B">
      <w:pPr>
        <w:pStyle w:val="xxmsonormal"/>
      </w:pPr>
      <w:r>
        <w:rPr>
          <w:rFonts w:ascii="Tenorite" w:hAnsi="Tenorite"/>
          <w:sz w:val="22"/>
          <w:szCs w:val="22"/>
        </w:rPr>
        <w:t> </w:t>
      </w:r>
    </w:p>
    <w:p w14:paraId="5575E08E" w14:textId="77777777" w:rsidR="0028575B" w:rsidRDefault="0028575B" w:rsidP="0028575B">
      <w:pPr>
        <w:pStyle w:val="xxmsonormal"/>
      </w:pPr>
      <w:r>
        <w:rPr>
          <w:rFonts w:ascii="Tenorite" w:hAnsi="Tenorite"/>
          <w:sz w:val="22"/>
          <w:szCs w:val="22"/>
        </w:rPr>
        <w:t>Any questions on the above please ask.</w:t>
      </w:r>
    </w:p>
    <w:p w14:paraId="263496A2" w14:textId="77777777" w:rsidR="0028575B" w:rsidRDefault="0028575B" w:rsidP="0028575B">
      <w:pPr>
        <w:pStyle w:val="xxmsonormal"/>
      </w:pPr>
      <w:r>
        <w:rPr>
          <w:rFonts w:ascii="Tenorite" w:hAnsi="Tenorite"/>
          <w:sz w:val="22"/>
          <w:szCs w:val="22"/>
        </w:rPr>
        <w:t> </w:t>
      </w:r>
    </w:p>
    <w:p w14:paraId="4A837FAC" w14:textId="77777777" w:rsidR="0028575B" w:rsidRDefault="0028575B" w:rsidP="0028575B">
      <w:pPr>
        <w:pStyle w:val="xxmsonormal"/>
      </w:pPr>
      <w:r>
        <w:rPr>
          <w:rFonts w:ascii="Tenorite" w:hAnsi="Tenorite"/>
          <w:sz w:val="22"/>
          <w:szCs w:val="22"/>
        </w:rPr>
        <w:t>Kind regards,</w:t>
      </w:r>
    </w:p>
    <w:p w14:paraId="31C5B384" w14:textId="77777777" w:rsidR="0028575B" w:rsidRDefault="0028575B" w:rsidP="0028575B">
      <w:pPr>
        <w:pStyle w:val="xxmsonormal"/>
      </w:pPr>
      <w:r>
        <w:rPr>
          <w:rFonts w:ascii="Tenorite" w:hAnsi="Tenorite"/>
          <w:sz w:val="22"/>
          <w:szCs w:val="22"/>
        </w:rPr>
        <w:t> </w:t>
      </w:r>
    </w:p>
    <w:tbl>
      <w:tblPr>
        <w:tblW w:w="15000" w:type="dxa"/>
        <w:tblCellSpacing w:w="0" w:type="dxa"/>
        <w:tblCellMar>
          <w:left w:w="0" w:type="dxa"/>
          <w:right w:w="0" w:type="dxa"/>
        </w:tblCellMar>
        <w:tblLook w:val="04A0" w:firstRow="1" w:lastRow="0" w:firstColumn="1" w:lastColumn="0" w:noHBand="0" w:noVBand="1"/>
      </w:tblPr>
      <w:tblGrid>
        <w:gridCol w:w="15000"/>
      </w:tblGrid>
      <w:tr w:rsidR="0028575B" w14:paraId="6132E91C" w14:textId="77777777">
        <w:trPr>
          <w:tblCellSpacing w:w="0" w:type="dxa"/>
        </w:trPr>
        <w:tc>
          <w:tcPr>
            <w:tcW w:w="15000" w:type="dxa"/>
            <w:hideMark/>
          </w:tcPr>
          <w:p w14:paraId="0884941E" w14:textId="77777777" w:rsidR="0028575B" w:rsidRDefault="0028575B">
            <w:pPr>
              <w:spacing w:after="240"/>
              <w:rPr>
                <w:rFonts w:eastAsia="Times New Roman"/>
                <w:color w:val="587E8A"/>
                <w:sz w:val="18"/>
                <w:szCs w:val="18"/>
              </w:rPr>
            </w:pPr>
            <w:r>
              <w:rPr>
                <w:rFonts w:ascii="Tenorite" w:eastAsia="Times New Roman" w:hAnsi="Tenorite"/>
                <w:b/>
                <w:bCs/>
                <w:color w:val="212529"/>
                <w:spacing w:val="-5"/>
                <w:sz w:val="32"/>
                <w:szCs w:val="32"/>
              </w:rPr>
              <w:t>Luke Whitaker</w:t>
            </w:r>
            <w:r>
              <w:rPr>
                <w:rFonts w:eastAsia="Times New Roman"/>
                <w:b/>
                <w:bCs/>
                <w:color w:val="587E8A"/>
                <w:sz w:val="18"/>
                <w:szCs w:val="18"/>
              </w:rPr>
              <w:br/>
            </w:r>
            <w:r>
              <w:rPr>
                <w:rFonts w:ascii="Tenorite" w:eastAsia="Times New Roman" w:hAnsi="Tenorite"/>
                <w:b/>
                <w:bCs/>
                <w:color w:val="212529"/>
                <w:spacing w:val="-5"/>
              </w:rPr>
              <w:t>Senior Engineer</w:t>
            </w:r>
          </w:p>
        </w:tc>
      </w:tr>
      <w:tr w:rsidR="0028575B" w14:paraId="39ADA79A" w14:textId="77777777">
        <w:trPr>
          <w:tblCellSpacing w:w="0" w:type="dxa"/>
        </w:trPr>
        <w:tc>
          <w:tcPr>
            <w:tcW w:w="15000" w:type="dxa"/>
            <w:tcMar>
              <w:top w:w="0" w:type="dxa"/>
              <w:left w:w="0" w:type="dxa"/>
              <w:bottom w:w="375" w:type="dxa"/>
              <w:right w:w="0" w:type="dxa"/>
            </w:tcMar>
            <w:hideMark/>
          </w:tcPr>
          <w:p w14:paraId="7925C96F" w14:textId="77777777" w:rsidR="0028575B" w:rsidRDefault="0028575B">
            <w:pPr>
              <w:rPr>
                <w:rFonts w:eastAsia="Times New Roman"/>
              </w:rPr>
            </w:pPr>
            <w:hyperlink r:id="rId7" w:tooltip="https://hexaconsulting.co.uk" w:history="1">
              <w:r>
                <w:rPr>
                  <w:rStyle w:val="Hyperlink"/>
                  <w:rFonts w:ascii="Tenorite" w:eastAsia="Times New Roman" w:hAnsi="Tenorite"/>
                  <w:color w:val="000000"/>
                  <w:spacing w:val="-5"/>
                </w:rPr>
                <w:t>0113 302 3260</w:t>
              </w:r>
            </w:hyperlink>
            <w:r>
              <w:rPr>
                <w:rFonts w:ascii="Tenorite" w:eastAsia="Times New Roman" w:hAnsi="Tenorite"/>
                <w:spacing w:val="-5"/>
              </w:rPr>
              <w:t> </w:t>
            </w:r>
            <w:r>
              <w:rPr>
                <w:rFonts w:eastAsia="Times New Roman"/>
                <w:sz w:val="20"/>
                <w:szCs w:val="20"/>
              </w:rPr>
              <w:br/>
            </w:r>
            <w:hyperlink r:id="rId8" w:tooltip="https://hexaconsulting.co.uk" w:history="1">
              <w:r>
                <w:rPr>
                  <w:rStyle w:val="Hyperlink"/>
                  <w:rFonts w:ascii="Tenorite" w:eastAsia="Times New Roman" w:hAnsi="Tenorite"/>
                  <w:b/>
                  <w:bCs/>
                  <w:color w:val="FF3EB5"/>
                </w:rPr>
                <w:t>hexaconsulting.co.uk</w:t>
              </w:r>
            </w:hyperlink>
            <w:r>
              <w:rPr>
                <w:rFonts w:ascii="Tenorite" w:eastAsia="Times New Roman" w:hAnsi="Tenorite"/>
                <w:b/>
                <w:bCs/>
                <w:color w:val="FF3EB5"/>
              </w:rPr>
              <w:t> </w:t>
            </w:r>
          </w:p>
        </w:tc>
      </w:tr>
      <w:tr w:rsidR="0028575B" w14:paraId="62DB2AC2" w14:textId="77777777">
        <w:trPr>
          <w:tblCellSpacing w:w="0" w:type="dxa"/>
        </w:trPr>
        <w:tc>
          <w:tcPr>
            <w:tcW w:w="15000" w:type="dxa"/>
            <w:tcMar>
              <w:top w:w="0" w:type="dxa"/>
              <w:left w:w="0" w:type="dxa"/>
              <w:bottom w:w="375" w:type="dxa"/>
              <w:right w:w="0" w:type="dxa"/>
            </w:tcMar>
            <w:hideMark/>
          </w:tcPr>
          <w:p w14:paraId="56039796" w14:textId="32032E55" w:rsidR="0028575B" w:rsidRDefault="0028575B">
            <w:pPr>
              <w:rPr>
                <w:rFonts w:eastAsia="Times New Roman"/>
                <w:sz w:val="20"/>
                <w:szCs w:val="20"/>
              </w:rPr>
            </w:pPr>
            <w:r>
              <w:rPr>
                <w:rFonts w:eastAsia="Times New Roman"/>
                <w:noProof/>
                <w:color w:val="0000FF"/>
                <w:sz w:val="20"/>
                <w:szCs w:val="20"/>
              </w:rPr>
              <w:drawing>
                <wp:inline distT="0" distB="0" distL="0" distR="0" wp14:anchorId="1138C3AD" wp14:editId="0B4420BB">
                  <wp:extent cx="1836420" cy="449580"/>
                  <wp:effectExtent l="0" t="0" r="11430" b="7620"/>
                  <wp:docPr id="445704909" name="Picture 4" descr="A black background with white arrows&#10;&#10;AI-generated content may be incorrect.">
                    <a:hlinkClick xmlns:a="http://schemas.openxmlformats.org/drawingml/2006/main" r:id="rId9" tooltip="&quot;https://www.hexaconsulting.co.u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5704909" name="Picture 4" descr="A black background with white arrows&#10;&#10;AI-generated content may be incorrect.">
                            <a:hlinkClick r:id="rId9" tooltip="&quot;https://www.hexaconsulting.co.uk/&quot;"/>
                          </pic:cNvPr>
                          <pic:cNvPicPr>
                            <a:picLocks noChangeAspect="1" noChangeArrowheads="1"/>
                          </pic:cNvPicPr>
                        </pic:nvPicPr>
                        <pic:blipFill>
                          <a:blip r:embed="rId10" r:link="rId11" cstate="print">
                            <a:extLst>
                              <a:ext uri="{28A0092B-C50C-407E-A947-70E740481C1C}">
                                <a14:useLocalDpi xmlns:a14="http://schemas.microsoft.com/office/drawing/2010/main" val="0"/>
                              </a:ext>
                            </a:extLst>
                          </a:blip>
                          <a:srcRect/>
                          <a:stretch>
                            <a:fillRect/>
                          </a:stretch>
                        </pic:blipFill>
                        <pic:spPr bwMode="auto">
                          <a:xfrm>
                            <a:off x="0" y="0"/>
                            <a:ext cx="1836420" cy="449580"/>
                          </a:xfrm>
                          <a:prstGeom prst="rect">
                            <a:avLst/>
                          </a:prstGeom>
                          <a:noFill/>
                          <a:ln>
                            <a:noFill/>
                          </a:ln>
                        </pic:spPr>
                      </pic:pic>
                    </a:graphicData>
                  </a:graphic>
                </wp:inline>
              </w:drawing>
            </w:r>
          </w:p>
        </w:tc>
      </w:tr>
      <w:tr w:rsidR="0028575B" w14:paraId="59742146" w14:textId="77777777">
        <w:trPr>
          <w:tblCellSpacing w:w="0" w:type="dxa"/>
        </w:trPr>
        <w:tc>
          <w:tcPr>
            <w:tcW w:w="15000" w:type="dxa"/>
            <w:hideMark/>
          </w:tcPr>
          <w:p w14:paraId="0D044971" w14:textId="77777777" w:rsidR="0028575B" w:rsidRDefault="0028575B">
            <w:pPr>
              <w:pStyle w:val="xxmsonormal"/>
              <w:spacing w:after="240"/>
            </w:pPr>
            <w:r>
              <w:rPr>
                <w:rFonts w:ascii="Tenorite" w:hAnsi="Tenorite"/>
                <w:b/>
                <w:bCs/>
                <w:color w:val="FF3EB5"/>
                <w:sz w:val="28"/>
                <w:szCs w:val="28"/>
              </w:rPr>
              <w:t>/</w:t>
            </w:r>
            <w:r>
              <w:rPr>
                <w:rFonts w:ascii="Tenorite" w:hAnsi="Tenorite"/>
                <w:b/>
                <w:bCs/>
                <w:color w:val="FF3EB5"/>
                <w:sz w:val="20"/>
                <w:szCs w:val="20"/>
              </w:rPr>
              <w:t> </w:t>
            </w:r>
            <w:r>
              <w:rPr>
                <w:rFonts w:ascii="Tenorite" w:hAnsi="Tenorite"/>
                <w:b/>
                <w:bCs/>
              </w:rPr>
              <w:t>Hexa Consulting Ltd.</w:t>
            </w:r>
            <w:r>
              <w:rPr>
                <w:rFonts w:ascii="Tenorite" w:hAnsi="Tenorite"/>
                <w:b/>
                <w:bCs/>
                <w:spacing w:val="-7"/>
              </w:rPr>
              <w:t> </w:t>
            </w:r>
            <w:r>
              <w:rPr>
                <w:rFonts w:ascii="Tenorite" w:hAnsi="Tenorite"/>
                <w:spacing w:val="-7"/>
              </w:rPr>
              <w:t>Ground Floor, 31 The Calls, Leeds LS2 7EY</w:t>
            </w:r>
          </w:p>
          <w:p w14:paraId="78823C47" w14:textId="6CD216C2" w:rsidR="0028575B" w:rsidRDefault="0028575B">
            <w:pPr>
              <w:pStyle w:val="xxmsonormal"/>
              <w:spacing w:after="240"/>
            </w:pPr>
            <w:r>
              <w:rPr>
                <w:rFonts w:ascii="Tenorite" w:hAnsi="Tenorite"/>
                <w:noProof/>
                <w:color w:val="0000FF"/>
                <w:spacing w:val="-5"/>
              </w:rPr>
              <w:drawing>
                <wp:inline distT="0" distB="0" distL="0" distR="0" wp14:anchorId="49B77DD8" wp14:editId="0D8D92C4">
                  <wp:extent cx="281940" cy="281940"/>
                  <wp:effectExtent l="0" t="0" r="3810" b="3810"/>
                  <wp:docPr id="138817850" name="Picture 3" descr="A white letter on a black background&#10;&#10;AI-generated content may be incorrect.">
                    <a:hlinkClick xmlns:a="http://schemas.openxmlformats.org/drawingml/2006/main" r:id="rId12" tooltip="&quot;https://www.linkedin.com/company/hexa-consulting-ltd/&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817850" name="Picture 3" descr="A white letter on a black background&#10;&#10;AI-generated content may be incorrect.">
                            <a:hlinkClick r:id="rId12" tooltip="&quot;https://www.linkedin.com/company/hexa-consulting-ltd/&quot;"/>
                          </pic:cNvPr>
                          <pic:cNvPicPr>
                            <a:picLocks noChangeAspect="1" noChangeArrowheads="1"/>
                          </pic:cNvPicPr>
                        </pic:nvPicPr>
                        <pic:blipFill>
                          <a:blip r:embed="rId13" r:link="rId14" cstate="print">
                            <a:extLst>
                              <a:ext uri="{28A0092B-C50C-407E-A947-70E740481C1C}">
                                <a14:useLocalDpi xmlns:a14="http://schemas.microsoft.com/office/drawing/2010/main" val="0"/>
                              </a:ext>
                            </a:extLst>
                          </a:blip>
                          <a:srcRect/>
                          <a:stretch>
                            <a:fillRect/>
                          </a:stretch>
                        </pic:blipFill>
                        <pic:spPr bwMode="auto">
                          <a:xfrm>
                            <a:off x="0" y="0"/>
                            <a:ext cx="281940" cy="281940"/>
                          </a:xfrm>
                          <a:prstGeom prst="rect">
                            <a:avLst/>
                          </a:prstGeom>
                          <a:noFill/>
                          <a:ln>
                            <a:noFill/>
                          </a:ln>
                        </pic:spPr>
                      </pic:pic>
                    </a:graphicData>
                  </a:graphic>
                </wp:inline>
              </w:drawing>
            </w:r>
            <w:r>
              <w:rPr>
                <w:rFonts w:ascii="Tenorite" w:hAnsi="Tenorite"/>
                <w:spacing w:val="-5"/>
              </w:rPr>
              <w:t> </w:t>
            </w:r>
            <w:hyperlink r:id="rId15" w:tooltip="https://twitter.com/hexaconsulting" w:history="1">
              <w:r>
                <w:rPr>
                  <w:rFonts w:ascii="Tenorite" w:hAnsi="Tenorite"/>
                  <w:noProof/>
                  <w:color w:val="FFFFFF"/>
                  <w:spacing w:val="-5"/>
                </w:rPr>
                <w:drawing>
                  <wp:inline distT="0" distB="0" distL="0" distR="0" wp14:anchorId="1F639FF1" wp14:editId="23F51E06">
                    <wp:extent cx="281940" cy="281940"/>
                    <wp:effectExtent l="0" t="0" r="3810" b="3810"/>
                    <wp:docPr id="870682990" name="Picture 2" descr="A white x on a black background&#10;&#10;AI-generated content may be incorrect.">
                      <a:hlinkClick xmlns:a="http://schemas.openxmlformats.org/drawingml/2006/main" r:id="rId15" tooltip="&quot;https://twitter.com/hexaconsulting&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0682990" name="Picture 2" descr="A white x on a black background&#10;&#10;AI-generated content may be incorrect.">
                              <a:hlinkClick r:id="rId15" tooltip="&quot;https://twitter.com/hexaconsulting&quot;"/>
                            </pic:cNvPr>
                            <pic:cNvPicPr>
                              <a:picLocks noChangeAspect="1" noChangeArrowheads="1"/>
                            </pic:cNvPicPr>
                          </pic:nvPicPr>
                          <pic:blipFill>
                            <a:blip r:embed="rId16" r:link="rId17" cstate="print">
                              <a:extLst>
                                <a:ext uri="{28A0092B-C50C-407E-A947-70E740481C1C}">
                                  <a14:useLocalDpi xmlns:a14="http://schemas.microsoft.com/office/drawing/2010/main" val="0"/>
                                </a:ext>
                              </a:extLst>
                            </a:blip>
                            <a:srcRect/>
                            <a:stretch>
                              <a:fillRect/>
                            </a:stretch>
                          </pic:blipFill>
                          <pic:spPr bwMode="auto">
                            <a:xfrm>
                              <a:off x="0" y="0"/>
                              <a:ext cx="281940" cy="281940"/>
                            </a:xfrm>
                            <a:prstGeom prst="rect">
                              <a:avLst/>
                            </a:prstGeom>
                            <a:noFill/>
                            <a:ln>
                              <a:noFill/>
                            </a:ln>
                          </pic:spPr>
                        </pic:pic>
                      </a:graphicData>
                    </a:graphic>
                  </wp:inline>
                </w:drawing>
              </w:r>
              <w:r>
                <w:rPr>
                  <w:rStyle w:val="Hyperlink"/>
                  <w:rFonts w:ascii="Tenorite" w:hAnsi="Tenorite"/>
                  <w:color w:val="FFFFFF"/>
                  <w:spacing w:val="-5"/>
                </w:rPr>
                <w:t> </w:t>
              </w:r>
            </w:hyperlink>
            <w:r>
              <w:rPr>
                <w:rFonts w:ascii="Tenorite" w:hAnsi="Tenorite"/>
                <w:noProof/>
                <w:color w:val="FFFFFF"/>
                <w:spacing w:val="-5"/>
              </w:rPr>
              <w:drawing>
                <wp:inline distT="0" distB="0" distL="0" distR="0" wp14:anchorId="4BFBAFC0" wp14:editId="5F3589D2">
                  <wp:extent cx="281940" cy="281940"/>
                  <wp:effectExtent l="0" t="0" r="3810" b="3810"/>
                  <wp:docPr id="1513876857" name="Picture 1" descr="A white square logo with a black background&#10;&#10;AI-generated content may be incorrect.">
                    <a:hlinkClick xmlns:a="http://schemas.openxmlformats.org/drawingml/2006/main" r:id="rId18" tooltip="&quot;https://www.instagram.com/hexa_consulting/&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3876857" name="Picture 1" descr="A white square logo with a black background&#10;&#10;AI-generated content may be incorrect.">
                            <a:hlinkClick r:id="rId18" tooltip="&quot;https://www.instagram.com/hexa_consulting/&quot;"/>
                          </pic:cNvPr>
                          <pic:cNvPicPr>
                            <a:picLocks noChangeAspect="1" noChangeArrowheads="1"/>
                          </pic:cNvPicPr>
                        </pic:nvPicPr>
                        <pic:blipFill>
                          <a:blip r:embed="rId19" r:link="rId20" cstate="print">
                            <a:extLst>
                              <a:ext uri="{28A0092B-C50C-407E-A947-70E740481C1C}">
                                <a14:useLocalDpi xmlns:a14="http://schemas.microsoft.com/office/drawing/2010/main" val="0"/>
                              </a:ext>
                            </a:extLst>
                          </a:blip>
                          <a:srcRect/>
                          <a:stretch>
                            <a:fillRect/>
                          </a:stretch>
                        </pic:blipFill>
                        <pic:spPr bwMode="auto">
                          <a:xfrm>
                            <a:off x="0" y="0"/>
                            <a:ext cx="281940" cy="281940"/>
                          </a:xfrm>
                          <a:prstGeom prst="rect">
                            <a:avLst/>
                          </a:prstGeom>
                          <a:noFill/>
                          <a:ln>
                            <a:noFill/>
                          </a:ln>
                        </pic:spPr>
                      </pic:pic>
                    </a:graphicData>
                  </a:graphic>
                </wp:inline>
              </w:drawing>
            </w:r>
          </w:p>
          <w:p w14:paraId="374F73E4" w14:textId="77777777" w:rsidR="0028575B" w:rsidRDefault="0028575B">
            <w:pPr>
              <w:pStyle w:val="xxmsobodytext"/>
              <w:spacing w:before="0" w:beforeAutospacing="0" w:after="0" w:afterAutospacing="0"/>
              <w:jc w:val="both"/>
            </w:pPr>
            <w:r>
              <w:rPr>
                <w:rFonts w:ascii="Tenorite" w:hAnsi="Tenorite"/>
                <w:spacing w:val="-5"/>
                <w:sz w:val="16"/>
                <w:szCs w:val="16"/>
              </w:rPr>
              <w:t>We work flexibly at Hexa; I am sending this email at a time that suits me.</w:t>
            </w:r>
            <w:r>
              <w:rPr>
                <w:rFonts w:ascii="Tenorite" w:hAnsi="Tenorite"/>
                <w:spacing w:val="-5"/>
                <w:sz w:val="16"/>
                <w:szCs w:val="16"/>
              </w:rPr>
              <w:br/>
              <w:t>Please feel free not reading, responding or taking any action outside of your own working hours.</w:t>
            </w:r>
            <w:r>
              <w:rPr>
                <w:rFonts w:ascii="Tenorite" w:hAnsi="Tenorite"/>
                <w:spacing w:val="-5"/>
                <w:sz w:val="16"/>
                <w:szCs w:val="16"/>
              </w:rPr>
              <w:br/>
            </w:r>
            <w:r>
              <w:rPr>
                <w:rFonts w:ascii="Tenorite" w:hAnsi="Tenorite"/>
                <w:spacing w:val="-5"/>
                <w:sz w:val="16"/>
                <w:szCs w:val="16"/>
              </w:rPr>
              <w:br/>
              <w:t xml:space="preserve">Disclaimer: This email and its attachments may be confidential and are intended solely for the use of the individual to whom it is addressed. If you are not the intended recipient, please contact the author and delete it from your system. Any views or opinions expressed are solely those of the author and do not necessarily represent those of Hexa Consulting Limited. The sender does not accept liability for errors or omissions which arise </w:t>
            </w:r>
            <w:proofErr w:type="gramStart"/>
            <w:r>
              <w:rPr>
                <w:rFonts w:ascii="Tenorite" w:hAnsi="Tenorite"/>
                <w:spacing w:val="-5"/>
                <w:sz w:val="16"/>
                <w:szCs w:val="16"/>
              </w:rPr>
              <w:t>as a result of</w:t>
            </w:r>
            <w:proofErr w:type="gramEnd"/>
            <w:r>
              <w:rPr>
                <w:rFonts w:ascii="Tenorite" w:hAnsi="Tenorite"/>
                <w:spacing w:val="-5"/>
                <w:sz w:val="16"/>
                <w:szCs w:val="16"/>
              </w:rPr>
              <w:t xml:space="preserve"> e-mail transmission. Hexa Consulting Limited will not accept any responsibility for damage or loss of data </w:t>
            </w:r>
            <w:proofErr w:type="gramStart"/>
            <w:r>
              <w:rPr>
                <w:rFonts w:ascii="Tenorite" w:hAnsi="Tenorite"/>
                <w:spacing w:val="-5"/>
                <w:sz w:val="16"/>
                <w:szCs w:val="16"/>
              </w:rPr>
              <w:t>as a result of</w:t>
            </w:r>
            <w:proofErr w:type="gramEnd"/>
            <w:r>
              <w:rPr>
                <w:rFonts w:ascii="Tenorite" w:hAnsi="Tenorite"/>
                <w:spacing w:val="-5"/>
                <w:sz w:val="16"/>
                <w:szCs w:val="16"/>
              </w:rPr>
              <w:t xml:space="preserve"> transmitting a computer virus. The content of this email or any of its attachments may contain data that falls within the scope of the Data Protection Acts. Ensure therefore that any handling or processing of such data by you is fully compliant with the terms and provisions of the Data Protection Act 1998.</w:t>
            </w:r>
          </w:p>
          <w:p w14:paraId="7E1DD4A8" w14:textId="77777777" w:rsidR="0028575B" w:rsidRDefault="0028575B">
            <w:pPr>
              <w:pStyle w:val="NormalWeb"/>
              <w:jc w:val="both"/>
            </w:pPr>
            <w:r>
              <w:rPr>
                <w:rFonts w:ascii="Tenorite" w:hAnsi="Tenorite"/>
                <w:spacing w:val="-5"/>
                <w:sz w:val="16"/>
                <w:szCs w:val="16"/>
              </w:rPr>
              <w:br/>
              <w:t>Hexa Consulting Limited is a limited company registered in England and Wales. Company number: 11774368. Registered address: 31 </w:t>
            </w:r>
            <w:proofErr w:type="spellStart"/>
            <w:r>
              <w:rPr>
                <w:rFonts w:ascii="Tenorite" w:hAnsi="Tenorite"/>
                <w:spacing w:val="-5"/>
                <w:sz w:val="16"/>
                <w:szCs w:val="16"/>
              </w:rPr>
              <w:t>Warser</w:t>
            </w:r>
            <w:proofErr w:type="spellEnd"/>
            <w:r>
              <w:rPr>
                <w:rFonts w:ascii="Tenorite" w:hAnsi="Tenorite"/>
                <w:spacing w:val="-5"/>
                <w:sz w:val="16"/>
                <w:szCs w:val="16"/>
              </w:rPr>
              <w:t xml:space="preserve"> Gate, Nottingham NG1 1NU</w:t>
            </w:r>
          </w:p>
        </w:tc>
      </w:tr>
    </w:tbl>
    <w:p w14:paraId="5CB2C184" w14:textId="77777777" w:rsidR="008E6CEC" w:rsidRDefault="008E6CEC"/>
    <w:sectPr w:rsidR="008E6CEC">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Tenorite">
    <w:charset w:val="00"/>
    <w:family w:val="auto"/>
    <w:pitch w:val="variable"/>
    <w:sig w:usb0="80000003" w:usb1="00000001"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8F13C1"/>
    <w:multiLevelType w:val="multilevel"/>
    <w:tmpl w:val="0D1EB8CE"/>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num w:numId="1" w16cid:durableId="1223909903">
    <w:abstractNumId w:val="0"/>
    <w:lvlOverride w:ilvl="0"/>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8575B"/>
    <w:rsid w:val="000E2406"/>
    <w:rsid w:val="0028575B"/>
    <w:rsid w:val="008E6CEC"/>
    <w:rsid w:val="00B925C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0F8E79"/>
  <w15:chartTrackingRefBased/>
  <w15:docId w15:val="{21706F4A-3478-40C1-9D90-AE02BC4501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8575B"/>
    <w:pPr>
      <w:spacing w:after="0" w:line="240" w:lineRule="auto"/>
    </w:pPr>
    <w:rPr>
      <w:rFonts w:ascii="Aptos" w:hAnsi="Aptos" w:cs="Aptos"/>
      <w:kern w:val="0"/>
      <w:lang w:eastAsia="en-GB"/>
      <w14:ligatures w14:val="none"/>
    </w:rPr>
  </w:style>
  <w:style w:type="paragraph" w:styleId="Heading1">
    <w:name w:val="heading 1"/>
    <w:basedOn w:val="Normal"/>
    <w:next w:val="Normal"/>
    <w:link w:val="Heading1Char"/>
    <w:uiPriority w:val="9"/>
    <w:qFormat/>
    <w:rsid w:val="0028575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8575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8575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8575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8575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8575B"/>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8575B"/>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8575B"/>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8575B"/>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8575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8575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8575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8575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8575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8575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8575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8575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8575B"/>
    <w:rPr>
      <w:rFonts w:eastAsiaTheme="majorEastAsia" w:cstheme="majorBidi"/>
      <w:color w:val="272727" w:themeColor="text1" w:themeTint="D8"/>
    </w:rPr>
  </w:style>
  <w:style w:type="paragraph" w:styleId="Title">
    <w:name w:val="Title"/>
    <w:basedOn w:val="Normal"/>
    <w:next w:val="Normal"/>
    <w:link w:val="TitleChar"/>
    <w:uiPriority w:val="10"/>
    <w:qFormat/>
    <w:rsid w:val="0028575B"/>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8575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8575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8575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8575B"/>
    <w:pPr>
      <w:spacing w:before="160"/>
      <w:jc w:val="center"/>
    </w:pPr>
    <w:rPr>
      <w:i/>
      <w:iCs/>
      <w:color w:val="404040" w:themeColor="text1" w:themeTint="BF"/>
    </w:rPr>
  </w:style>
  <w:style w:type="character" w:customStyle="1" w:styleId="QuoteChar">
    <w:name w:val="Quote Char"/>
    <w:basedOn w:val="DefaultParagraphFont"/>
    <w:link w:val="Quote"/>
    <w:uiPriority w:val="29"/>
    <w:rsid w:val="0028575B"/>
    <w:rPr>
      <w:i/>
      <w:iCs/>
      <w:color w:val="404040" w:themeColor="text1" w:themeTint="BF"/>
    </w:rPr>
  </w:style>
  <w:style w:type="paragraph" w:styleId="ListParagraph">
    <w:name w:val="List Paragraph"/>
    <w:basedOn w:val="Normal"/>
    <w:uiPriority w:val="34"/>
    <w:qFormat/>
    <w:rsid w:val="0028575B"/>
    <w:pPr>
      <w:ind w:left="720"/>
      <w:contextualSpacing/>
    </w:pPr>
  </w:style>
  <w:style w:type="character" w:styleId="IntenseEmphasis">
    <w:name w:val="Intense Emphasis"/>
    <w:basedOn w:val="DefaultParagraphFont"/>
    <w:uiPriority w:val="21"/>
    <w:qFormat/>
    <w:rsid w:val="0028575B"/>
    <w:rPr>
      <w:i/>
      <w:iCs/>
      <w:color w:val="0F4761" w:themeColor="accent1" w:themeShade="BF"/>
    </w:rPr>
  </w:style>
  <w:style w:type="paragraph" w:styleId="IntenseQuote">
    <w:name w:val="Intense Quote"/>
    <w:basedOn w:val="Normal"/>
    <w:next w:val="Normal"/>
    <w:link w:val="IntenseQuoteChar"/>
    <w:uiPriority w:val="30"/>
    <w:qFormat/>
    <w:rsid w:val="0028575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8575B"/>
    <w:rPr>
      <w:i/>
      <w:iCs/>
      <w:color w:val="0F4761" w:themeColor="accent1" w:themeShade="BF"/>
    </w:rPr>
  </w:style>
  <w:style w:type="character" w:styleId="IntenseReference">
    <w:name w:val="Intense Reference"/>
    <w:basedOn w:val="DefaultParagraphFont"/>
    <w:uiPriority w:val="32"/>
    <w:qFormat/>
    <w:rsid w:val="0028575B"/>
    <w:rPr>
      <w:b/>
      <w:bCs/>
      <w:smallCaps/>
      <w:color w:val="0F4761" w:themeColor="accent1" w:themeShade="BF"/>
      <w:spacing w:val="5"/>
    </w:rPr>
  </w:style>
  <w:style w:type="character" w:styleId="Hyperlink">
    <w:name w:val="Hyperlink"/>
    <w:basedOn w:val="DefaultParagraphFont"/>
    <w:uiPriority w:val="99"/>
    <w:semiHidden/>
    <w:unhideWhenUsed/>
    <w:rsid w:val="0028575B"/>
    <w:rPr>
      <w:color w:val="0000FF"/>
      <w:u w:val="single"/>
    </w:rPr>
  </w:style>
  <w:style w:type="paragraph" w:styleId="NormalWeb">
    <w:name w:val="Normal (Web)"/>
    <w:basedOn w:val="Normal"/>
    <w:uiPriority w:val="99"/>
    <w:semiHidden/>
    <w:unhideWhenUsed/>
    <w:rsid w:val="0028575B"/>
  </w:style>
  <w:style w:type="paragraph" w:customStyle="1" w:styleId="xxmsonormal">
    <w:name w:val="x_x_msonormal"/>
    <w:basedOn w:val="Normal"/>
    <w:uiPriority w:val="99"/>
    <w:semiHidden/>
    <w:rsid w:val="0028575B"/>
    <w:rPr>
      <w:rFonts w:ascii="Times New Roman" w:hAnsi="Times New Roman" w:cs="Times New Roman"/>
    </w:rPr>
  </w:style>
  <w:style w:type="paragraph" w:customStyle="1" w:styleId="xxmsobodytext">
    <w:name w:val="x_x_msobodytext"/>
    <w:basedOn w:val="Normal"/>
    <w:uiPriority w:val="99"/>
    <w:semiHidden/>
    <w:rsid w:val="0028575B"/>
    <w:pPr>
      <w:spacing w:before="100" w:beforeAutospacing="1" w:after="100" w:afterAutospacing="1"/>
    </w:pPr>
    <w:rPr>
      <w:rFonts w:ascii="Times New Roman" w:hAnsi="Times New Roman" w:cs="Times New Roman"/>
    </w:rPr>
  </w:style>
  <w:style w:type="paragraph" w:customStyle="1" w:styleId="xxmsolistparagraph">
    <w:name w:val="x_x_msolistparagraph"/>
    <w:basedOn w:val="Normal"/>
    <w:uiPriority w:val="99"/>
    <w:semiHidden/>
    <w:rsid w:val="0028575B"/>
    <w:pPr>
      <w:ind w:left="720"/>
    </w:pPr>
    <w:rPr>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links.uk.defend.egress.com/Warning?crId=69c2758f9f3d133877032976&amp;Domain=lrg.co.uk&amp;Threat=eNpzrShJLcpLzAEADmkDRA%3D%3D&amp;Lang=en&amp;Base64Url=eNrLKCkpKLbS189IrUhMzs8rLs0pycxL10vO1yvN1gcAp4wK9Q%3D%3D&amp;@OriginalLink=hexaconsulting.co.uk" TargetMode="External"/><Relationship Id="rId13" Type="http://schemas.openxmlformats.org/officeDocument/2006/relationships/image" Target="media/image3.png"/><Relationship Id="rId18" Type="http://schemas.openxmlformats.org/officeDocument/2006/relationships/hyperlink" Target="https://links.uk.defend.egress.com/Warning?crId=69c2758f9f3d133877032976&amp;Domain=lrg.co.uk&amp;Threat=eNpzrShJLcpLzAEADmkDRA%3D%3D&amp;Lang=en&amp;Base64Url=eNoFwsEJACAIAMCN9N8yIREplEYaNn7cccT2gpiZIOpB49CCZgu5P6rN1O8M0YEfWj4QOw%3D%3D&amp;@OriginalLink=www.instagram.com" TargetMode="External"/><Relationship Id="rId3" Type="http://schemas.openxmlformats.org/officeDocument/2006/relationships/settings" Target="settings.xml"/><Relationship Id="rId21" Type="http://schemas.openxmlformats.org/officeDocument/2006/relationships/fontTable" Target="fontTable.xml"/><Relationship Id="rId7" Type="http://schemas.openxmlformats.org/officeDocument/2006/relationships/hyperlink" Target="https://links.uk.defend.egress.com/Warning?crId=69c2758f9f3d133877032976&amp;Domain=lrg.co.uk&amp;Threat=eNpzrShJLcpLzAEADmkDRA%3D%3D&amp;Lang=en&amp;Base64Url=eNrLKCkpKLbS189IrUhMzs8rLs0pycxL10vO1yvN1gcAp4wK9Q%3D%3D&amp;@OriginalLink=hexaconsulting.co.uk" TargetMode="External"/><Relationship Id="rId12" Type="http://schemas.openxmlformats.org/officeDocument/2006/relationships/hyperlink" Target="https://links.uk.defend.egress.com/Warning?crId=69c2758f9f3d133877032976&amp;Domain=lrg.co.uk&amp;Threat=eNpzrShJLcpLzAEADmkDRA%3D%3D&amp;Lang=en&amp;Base64Url=eNoNw0EKwCAMBMAX6d77G1GpoXEVTEn7ex2YZjbXBbh7VOFTizDm0XHOxB-tfinkwfWqCe-gVrABH-8UKA%3D%3D&amp;@OriginalLink=www.linkedin.com" TargetMode="External"/><Relationship Id="rId17" Type="http://schemas.openxmlformats.org/officeDocument/2006/relationships/image" Target="cid:hexa_email_x_34ec652e-3153-44cc-b06a-1538e326c746.png" TargetMode="External"/><Relationship Id="rId2" Type="http://schemas.openxmlformats.org/officeDocument/2006/relationships/styles" Target="styles.xml"/><Relationship Id="rId16" Type="http://schemas.openxmlformats.org/officeDocument/2006/relationships/image" Target="media/image4.png"/><Relationship Id="rId20" Type="http://schemas.openxmlformats.org/officeDocument/2006/relationships/image" Target="cid:hexa_email_instagram(1)_c3883556-8997-4da2-ad41-15b0bb85e55a.png" TargetMode="External"/><Relationship Id="rId1" Type="http://schemas.openxmlformats.org/officeDocument/2006/relationships/numbering" Target="numbering.xml"/><Relationship Id="rId6" Type="http://schemas.openxmlformats.org/officeDocument/2006/relationships/image" Target="cid:image001.png@01DCB6F4.4AD5E700" TargetMode="External"/><Relationship Id="rId11" Type="http://schemas.openxmlformats.org/officeDocument/2006/relationships/image" Target="cid:hexa_email_logo_2814db7d-0593-49a9-a929-93ba5e792108.png" TargetMode="External"/><Relationship Id="rId5" Type="http://schemas.openxmlformats.org/officeDocument/2006/relationships/image" Target="media/image1.png"/><Relationship Id="rId15" Type="http://schemas.openxmlformats.org/officeDocument/2006/relationships/hyperlink" Target="https://links.uk.defend.egress.com/Warning?crId=69c2758f9f3d133877032976&amp;Domain=lrg.co.uk&amp;Threat=eNpzrShJLcpLzAEADmkDRA%3D%3D&amp;Lang=en&amp;Base64Url=eNrLKCkpKLbS1y8pzywpSS3SS87P1c9IrUhMzs8rLs0pycxLBwDlXQ1n&amp;@OriginalLink=twitter.com" TargetMode="External"/><Relationship Id="rId10" Type="http://schemas.openxmlformats.org/officeDocument/2006/relationships/image" Target="media/image2.png"/><Relationship Id="rId19" Type="http://schemas.openxmlformats.org/officeDocument/2006/relationships/image" Target="media/image5.png"/><Relationship Id="rId4" Type="http://schemas.openxmlformats.org/officeDocument/2006/relationships/webSettings" Target="webSettings.xml"/><Relationship Id="rId9" Type="http://schemas.openxmlformats.org/officeDocument/2006/relationships/hyperlink" Target="https://links.uk.defend.egress.com/Warning?crId=69c2758f9f3d133877032976&amp;Domain=lrg.co.uk&amp;Threat=eNpzrShJLcpLzAEADmkDRA%3D%3D&amp;Lang=en&amp;Base64Url=eNrLKCkpKLbS1y8vL9fLSK1ITM7PKy7NKcnMS9dLztcrzdYHANgoDIg%3D&amp;@OriginalLink=www.hexaconsulting.co.uk" TargetMode="External"/><Relationship Id="rId14" Type="http://schemas.openxmlformats.org/officeDocument/2006/relationships/image" Target="cid:hexa_email_linkedin_462cc6f0-1953-428f-9ec2-b2435a1514d6.png" TargetMode="Externa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1699</Words>
  <Characters>9690</Characters>
  <Application>Microsoft Office Word</Application>
  <DocSecurity>0</DocSecurity>
  <Lines>80</Lines>
  <Paragraphs>22</Paragraphs>
  <ScaleCrop>false</ScaleCrop>
  <Company/>
  <LinksUpToDate>false</LinksUpToDate>
  <CharactersWithSpaces>11367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Jonathan Walton</dc:creator>
  <cp:keywords/>
  <dc:description/>
  <cp:lastModifiedBy>Jonathan Walton</cp:lastModifiedBy>
  <cp:revision>1</cp:revision>
  <dcterms:created xsi:type="dcterms:W3CDTF">2026-03-24T11:44:00Z</dcterms:created>
  <dcterms:modified xsi:type="dcterms:W3CDTF">2026-03-24T11:45:00Z</dcterms:modified>
</cp:coreProperties>
</file>