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3406DA" w14:textId="77777777" w:rsidR="00370CDA" w:rsidRDefault="00370CDA" w:rsidP="00370CDA">
      <w:pPr>
        <w:spacing w:after="240"/>
        <w:rPr>
          <w:rFonts w:ascii="Trebuchet MS" w:hAnsi="Trebuchet MS"/>
          <w:sz w:val="22"/>
          <w:szCs w:val="22"/>
        </w:rPr>
      </w:pPr>
      <w:r>
        <w:rPr>
          <w:rFonts w:ascii="Trebuchet MS" w:hAnsi="Trebuchet MS"/>
          <w:sz w:val="22"/>
          <w:szCs w:val="22"/>
        </w:rPr>
        <w:t>Planning Application Ref: PL/25/1835</w:t>
      </w:r>
      <w:r>
        <w:rPr>
          <w:rFonts w:ascii="Trebuchet MS" w:hAnsi="Trebuchet MS"/>
          <w:sz w:val="22"/>
          <w:szCs w:val="22"/>
        </w:rPr>
        <w:br/>
        <w:t>Officer: Catrin Davies</w:t>
      </w:r>
      <w:r>
        <w:rPr>
          <w:rFonts w:ascii="Trebuchet MS" w:hAnsi="Trebuchet MS"/>
          <w:sz w:val="22"/>
          <w:szCs w:val="22"/>
        </w:rPr>
        <w:br/>
        <w:t>Application Type: Full planning permission</w:t>
      </w:r>
      <w:r>
        <w:rPr>
          <w:rFonts w:ascii="Trebuchet MS" w:hAnsi="Trebuchet MS"/>
          <w:sz w:val="22"/>
          <w:szCs w:val="22"/>
        </w:rPr>
        <w:br/>
        <w:t>Address: 176 NORTHUMBERLAND AVENUE, READING, RG2 7PU</w:t>
      </w:r>
      <w:r>
        <w:rPr>
          <w:rFonts w:ascii="Trebuchet MS" w:hAnsi="Trebuchet MS"/>
          <w:sz w:val="22"/>
          <w:szCs w:val="22"/>
        </w:rPr>
        <w:br/>
        <w:t>Proposal: Proposed extensions and alterations to create 2 residential units (1-3bed and 1-4bed) with associated parking, cycle storage and refuse storage.</w:t>
      </w:r>
    </w:p>
    <w:p w14:paraId="18F7C9D1" w14:textId="77777777" w:rsidR="00370CDA" w:rsidRDefault="00370CDA" w:rsidP="00370CDA">
      <w:pPr>
        <w:rPr>
          <w:rFonts w:ascii="Trebuchet MS" w:hAnsi="Trebuchet MS"/>
          <w:sz w:val="22"/>
          <w:szCs w:val="22"/>
        </w:rPr>
      </w:pPr>
      <w:r>
        <w:rPr>
          <w:rFonts w:ascii="Trebuchet MS" w:hAnsi="Trebuchet MS"/>
          <w:sz w:val="22"/>
          <w:szCs w:val="22"/>
        </w:rPr>
        <w:t>The property is currently in residential use as two self</w:t>
      </w:r>
      <w:r>
        <w:rPr>
          <w:rFonts w:ascii="Trebuchet MS" w:hAnsi="Trebuchet MS"/>
          <w:sz w:val="22"/>
          <w:szCs w:val="22"/>
        </w:rPr>
        <w:noBreakHyphen/>
        <w:t>contained flats, comprising a 2</w:t>
      </w:r>
      <w:r>
        <w:rPr>
          <w:rFonts w:ascii="Trebuchet MS" w:hAnsi="Trebuchet MS"/>
          <w:sz w:val="22"/>
          <w:szCs w:val="22"/>
        </w:rPr>
        <w:noBreakHyphen/>
        <w:t>bedroom ground</w:t>
      </w:r>
      <w:r>
        <w:rPr>
          <w:rFonts w:ascii="Trebuchet MS" w:hAnsi="Trebuchet MS"/>
          <w:sz w:val="22"/>
          <w:szCs w:val="22"/>
        </w:rPr>
        <w:noBreakHyphen/>
        <w:t>floor unit and a 3</w:t>
      </w:r>
      <w:r>
        <w:rPr>
          <w:rFonts w:ascii="Trebuchet MS" w:hAnsi="Trebuchet MS"/>
          <w:sz w:val="22"/>
          <w:szCs w:val="22"/>
        </w:rPr>
        <w:noBreakHyphen/>
        <w:t>bedroom first</w:t>
      </w:r>
      <w:r>
        <w:rPr>
          <w:rFonts w:ascii="Trebuchet MS" w:hAnsi="Trebuchet MS"/>
          <w:sz w:val="22"/>
          <w:szCs w:val="22"/>
        </w:rPr>
        <w:noBreakHyphen/>
        <w:t>floor unit. The proposal seeks planning permission for substantial extensions and associated alterations to reconfigure and enlarge the existing accommodation. The scheme would provide two family</w:t>
      </w:r>
      <w:r>
        <w:rPr>
          <w:rFonts w:ascii="Trebuchet MS" w:hAnsi="Trebuchet MS"/>
          <w:sz w:val="22"/>
          <w:szCs w:val="22"/>
        </w:rPr>
        <w:noBreakHyphen/>
        <w:t>sized dwellings arranged as a 1–</w:t>
      </w:r>
      <w:proofErr w:type="gramStart"/>
      <w:r>
        <w:rPr>
          <w:rFonts w:ascii="Trebuchet MS" w:hAnsi="Trebuchet MS"/>
          <w:sz w:val="22"/>
          <w:szCs w:val="22"/>
        </w:rPr>
        <w:t>3 bedroom</w:t>
      </w:r>
      <w:proofErr w:type="gramEnd"/>
      <w:r>
        <w:rPr>
          <w:rFonts w:ascii="Trebuchet MS" w:hAnsi="Trebuchet MS"/>
          <w:sz w:val="22"/>
          <w:szCs w:val="22"/>
        </w:rPr>
        <w:t xml:space="preserve"> flat at ground</w:t>
      </w:r>
      <w:r>
        <w:rPr>
          <w:rFonts w:ascii="Trebuchet MS" w:hAnsi="Trebuchet MS"/>
          <w:sz w:val="22"/>
          <w:szCs w:val="22"/>
        </w:rPr>
        <w:noBreakHyphen/>
        <w:t>floor level and a 1–</w:t>
      </w:r>
      <w:proofErr w:type="gramStart"/>
      <w:r>
        <w:rPr>
          <w:rFonts w:ascii="Trebuchet MS" w:hAnsi="Trebuchet MS"/>
          <w:sz w:val="22"/>
          <w:szCs w:val="22"/>
        </w:rPr>
        <w:t>4 bedroom</w:t>
      </w:r>
      <w:proofErr w:type="gramEnd"/>
      <w:r>
        <w:rPr>
          <w:rFonts w:ascii="Trebuchet MS" w:hAnsi="Trebuchet MS"/>
          <w:sz w:val="22"/>
          <w:szCs w:val="22"/>
        </w:rPr>
        <w:t xml:space="preserve"> flat at first</w:t>
      </w:r>
      <w:r>
        <w:rPr>
          <w:rFonts w:ascii="Trebuchet MS" w:hAnsi="Trebuchet MS"/>
          <w:sz w:val="22"/>
          <w:szCs w:val="22"/>
        </w:rPr>
        <w:noBreakHyphen/>
        <w:t>floor level, thereby retaining the existing number of residential units (two dwellings) on the site.</w:t>
      </w:r>
    </w:p>
    <w:p w14:paraId="75060AA0" w14:textId="77777777" w:rsidR="00370CDA" w:rsidRDefault="00370CDA" w:rsidP="00370CDA">
      <w:pPr>
        <w:pStyle w:val="NormalWeb"/>
        <w:spacing w:line="300" w:lineRule="atLeast"/>
        <w:rPr>
          <w:rFonts w:ascii="Trebuchet MS" w:hAnsi="Trebuchet MS"/>
          <w:sz w:val="22"/>
          <w:szCs w:val="22"/>
        </w:rPr>
      </w:pPr>
      <w:r>
        <w:rPr>
          <w:rFonts w:ascii="Trebuchet MS" w:hAnsi="Trebuchet MS"/>
          <w:sz w:val="22"/>
          <w:szCs w:val="22"/>
        </w:rPr>
        <w:t xml:space="preserve">An application to redefine the boundaries between 176 and 176A was previously approved under reference </w:t>
      </w:r>
      <w:r>
        <w:rPr>
          <w:rStyle w:val="Strong"/>
          <w:rFonts w:ascii="Trebuchet MS" w:hAnsi="Trebuchet MS"/>
          <w:b w:val="0"/>
          <w:bCs w:val="0"/>
          <w:sz w:val="22"/>
          <w:szCs w:val="22"/>
        </w:rPr>
        <w:t>PL240307</w:t>
      </w:r>
      <w:r>
        <w:rPr>
          <w:rFonts w:ascii="Trebuchet MS" w:hAnsi="Trebuchet MS"/>
          <w:sz w:val="22"/>
          <w:szCs w:val="22"/>
        </w:rPr>
        <w:t>, establishing the site’s current plot arrangement.</w:t>
      </w:r>
    </w:p>
    <w:p w14:paraId="03D282B5" w14:textId="77777777" w:rsidR="00370CDA" w:rsidRDefault="00370CDA" w:rsidP="00370CDA">
      <w:pPr>
        <w:rPr>
          <w:rFonts w:ascii="Trebuchet MS" w:hAnsi="Trebuchet MS"/>
          <w:sz w:val="22"/>
          <w:szCs w:val="22"/>
        </w:rPr>
      </w:pPr>
      <w:r>
        <w:rPr>
          <w:rFonts w:ascii="Trebuchet MS" w:hAnsi="Trebuchet MS"/>
          <w:sz w:val="22"/>
          <w:szCs w:val="22"/>
          <w:lang w:eastAsia="en-GB"/>
        </w:rPr>
        <w:t xml:space="preserve">Local parking standards are set out in the RBC, Revised Parking Standards and Design Supplementary Planning Document (SPD) which </w:t>
      </w:r>
      <w:proofErr w:type="gramStart"/>
      <w:r>
        <w:rPr>
          <w:rFonts w:ascii="Trebuchet MS" w:hAnsi="Trebuchet MS"/>
          <w:sz w:val="22"/>
          <w:szCs w:val="22"/>
          <w:lang w:eastAsia="en-GB"/>
        </w:rPr>
        <w:t>takes into account</w:t>
      </w:r>
      <w:proofErr w:type="gramEnd"/>
      <w:r>
        <w:rPr>
          <w:rFonts w:ascii="Trebuchet MS" w:hAnsi="Trebuchet MS"/>
          <w:sz w:val="22"/>
          <w:szCs w:val="22"/>
          <w:lang w:eastAsia="en-GB"/>
        </w:rPr>
        <w:t xml:space="preserve"> the accessibility of the site. </w:t>
      </w:r>
      <w:r>
        <w:rPr>
          <w:rFonts w:ascii="Trebuchet MS" w:hAnsi="Trebuchet MS"/>
          <w:sz w:val="22"/>
          <w:szCs w:val="22"/>
        </w:rPr>
        <w:t xml:space="preserve">In line with the adopted parking standards, the 2 residential units would require 2no. parking spaces each (1no. space above the existing requirement). </w:t>
      </w:r>
    </w:p>
    <w:p w14:paraId="3DED007E" w14:textId="77777777" w:rsidR="00370CDA" w:rsidRDefault="00370CDA" w:rsidP="00370CDA">
      <w:pPr>
        <w:rPr>
          <w:rFonts w:ascii="Trebuchet MS" w:hAnsi="Trebuchet MS"/>
          <w:sz w:val="22"/>
          <w:szCs w:val="22"/>
        </w:rPr>
      </w:pPr>
    </w:p>
    <w:p w14:paraId="4838B817" w14:textId="77777777" w:rsidR="00370CDA" w:rsidRDefault="00370CDA" w:rsidP="00370CDA">
      <w:pPr>
        <w:spacing w:line="300" w:lineRule="atLeast"/>
        <w:rPr>
          <w:rFonts w:ascii="Trebuchet MS" w:hAnsi="Trebuchet MS"/>
          <w:sz w:val="22"/>
          <w:szCs w:val="22"/>
          <w:lang w:eastAsia="en-GB"/>
          <w14:ligatures w14:val="none"/>
        </w:rPr>
      </w:pPr>
      <w:r>
        <w:rPr>
          <w:rFonts w:ascii="Trebuchet MS" w:hAnsi="Trebuchet MS"/>
          <w:sz w:val="22"/>
          <w:szCs w:val="22"/>
          <w:lang w:eastAsia="en-GB"/>
          <w14:ligatures w14:val="none"/>
        </w:rPr>
        <w:t>The site benefits from a large area of hardstanding to the front, which currently accommodates on</w:t>
      </w:r>
      <w:r>
        <w:rPr>
          <w:rFonts w:ascii="Trebuchet MS" w:hAnsi="Trebuchet MS"/>
          <w:sz w:val="22"/>
          <w:szCs w:val="22"/>
          <w:lang w:eastAsia="en-GB"/>
          <w14:ligatures w14:val="none"/>
        </w:rPr>
        <w:noBreakHyphen/>
        <w:t xml:space="preserve">site parking. The hardstanding occupies </w:t>
      </w:r>
      <w:proofErr w:type="gramStart"/>
      <w:r>
        <w:rPr>
          <w:rFonts w:ascii="Trebuchet MS" w:hAnsi="Trebuchet MS"/>
          <w:sz w:val="22"/>
          <w:szCs w:val="22"/>
          <w:lang w:eastAsia="en-GB"/>
          <w14:ligatures w14:val="none"/>
        </w:rPr>
        <w:t>the majority of</w:t>
      </w:r>
      <w:proofErr w:type="gramEnd"/>
      <w:r>
        <w:rPr>
          <w:rFonts w:ascii="Trebuchet MS" w:hAnsi="Trebuchet MS"/>
          <w:sz w:val="22"/>
          <w:szCs w:val="22"/>
          <w:lang w:eastAsia="en-GB"/>
          <w14:ligatures w14:val="none"/>
        </w:rPr>
        <w:t xml:space="preserve"> the forecourt and provides 4no. off</w:t>
      </w:r>
      <w:r>
        <w:rPr>
          <w:rFonts w:ascii="Trebuchet MS" w:hAnsi="Trebuchet MS"/>
          <w:sz w:val="22"/>
          <w:szCs w:val="22"/>
          <w:lang w:eastAsia="en-GB"/>
          <w14:ligatures w14:val="none"/>
        </w:rPr>
        <w:noBreakHyphen/>
        <w:t>street parking spaces arranged at an angle to the highway, as indicated on the submitted site plan.</w:t>
      </w:r>
    </w:p>
    <w:p w14:paraId="42FB2DC9" w14:textId="77777777" w:rsidR="00370CDA" w:rsidRDefault="00370CDA" w:rsidP="00370CDA">
      <w:pPr>
        <w:spacing w:line="300" w:lineRule="atLeast"/>
        <w:rPr>
          <w:rFonts w:ascii="Trebuchet MS" w:hAnsi="Trebuchet MS"/>
          <w:sz w:val="22"/>
          <w:szCs w:val="22"/>
          <w:lang w:eastAsia="en-GB"/>
          <w14:ligatures w14:val="none"/>
        </w:rPr>
      </w:pPr>
    </w:p>
    <w:p w14:paraId="39185348" w14:textId="77777777" w:rsidR="00370CDA" w:rsidRDefault="00370CDA" w:rsidP="00370CDA">
      <w:pPr>
        <w:spacing w:line="300" w:lineRule="atLeast"/>
        <w:rPr>
          <w:rFonts w:ascii="Trebuchet MS" w:hAnsi="Trebuchet MS"/>
          <w:sz w:val="22"/>
          <w:szCs w:val="22"/>
          <w:lang w:eastAsia="en-GB"/>
          <w14:ligatures w14:val="none"/>
        </w:rPr>
      </w:pPr>
      <w:proofErr w:type="gramStart"/>
      <w:r>
        <w:rPr>
          <w:rFonts w:ascii="Trebuchet MS" w:hAnsi="Trebuchet MS"/>
          <w:sz w:val="22"/>
          <w:szCs w:val="22"/>
          <w:lang w:eastAsia="en-GB"/>
          <w14:ligatures w14:val="none"/>
        </w:rPr>
        <w:t>In order to</w:t>
      </w:r>
      <w:proofErr w:type="gramEnd"/>
      <w:r>
        <w:rPr>
          <w:rFonts w:ascii="Trebuchet MS" w:hAnsi="Trebuchet MS"/>
          <w:sz w:val="22"/>
          <w:szCs w:val="22"/>
          <w:lang w:eastAsia="en-GB"/>
          <w14:ligatures w14:val="none"/>
        </w:rPr>
        <w:t xml:space="preserve"> ensure the proposed parking layout </w:t>
      </w:r>
      <w:proofErr w:type="gramStart"/>
      <w:r>
        <w:rPr>
          <w:rFonts w:ascii="Trebuchet MS" w:hAnsi="Trebuchet MS"/>
          <w:sz w:val="22"/>
          <w:szCs w:val="22"/>
          <w:lang w:eastAsia="en-GB"/>
          <w14:ligatures w14:val="none"/>
        </w:rPr>
        <w:t>is capable of meeting</w:t>
      </w:r>
      <w:proofErr w:type="gramEnd"/>
      <w:r>
        <w:rPr>
          <w:rFonts w:ascii="Trebuchet MS" w:hAnsi="Trebuchet MS"/>
          <w:sz w:val="22"/>
          <w:szCs w:val="22"/>
          <w:lang w:eastAsia="en-GB"/>
          <w14:ligatures w14:val="none"/>
        </w:rPr>
        <w:t xml:space="preserve"> standard vehicle space dimensions and manoeuvring requirements, the applicant is requested to update the site plan illustrating the dimensions of the parking spaces and the aisle width to allow vehicles to reverse out. Parking bays are expected to measure 2.4</w:t>
      </w:r>
      <w:r>
        <w:rPr>
          <w:rFonts w:ascii="Arial" w:hAnsi="Arial" w:cs="Arial"/>
          <w:sz w:val="22"/>
          <w:szCs w:val="22"/>
          <w:lang w:eastAsia="en-GB"/>
          <w14:ligatures w14:val="none"/>
        </w:rPr>
        <w:t> </w:t>
      </w:r>
      <w:r>
        <w:rPr>
          <w:rFonts w:ascii="Trebuchet MS" w:hAnsi="Trebuchet MS"/>
          <w:sz w:val="22"/>
          <w:szCs w:val="22"/>
          <w:lang w:eastAsia="en-GB"/>
          <w14:ligatures w14:val="none"/>
        </w:rPr>
        <w:t>m × 4.8</w:t>
      </w:r>
      <w:r>
        <w:rPr>
          <w:rFonts w:ascii="Arial" w:hAnsi="Arial" w:cs="Arial"/>
          <w:sz w:val="22"/>
          <w:szCs w:val="22"/>
          <w:lang w:eastAsia="en-GB"/>
          <w14:ligatures w14:val="none"/>
        </w:rPr>
        <w:t> </w:t>
      </w:r>
      <w:r>
        <w:rPr>
          <w:rFonts w:ascii="Trebuchet MS" w:hAnsi="Trebuchet MS"/>
          <w:sz w:val="22"/>
          <w:szCs w:val="22"/>
          <w:lang w:eastAsia="en-GB"/>
          <w14:ligatures w14:val="none"/>
        </w:rPr>
        <w:t xml:space="preserve">m. The layout must ensure adequate circulation so vehicles can enter and exit spaces safely. </w:t>
      </w:r>
    </w:p>
    <w:p w14:paraId="753FD422" w14:textId="77777777" w:rsidR="00370CDA" w:rsidRDefault="00370CDA" w:rsidP="00370CDA">
      <w:pPr>
        <w:spacing w:line="300" w:lineRule="atLeast"/>
        <w:rPr>
          <w:rFonts w:ascii="Trebuchet MS" w:hAnsi="Trebuchet MS"/>
          <w:sz w:val="22"/>
          <w:szCs w:val="22"/>
          <w:lang w:eastAsia="en-GB"/>
          <w14:ligatures w14:val="none"/>
        </w:rPr>
      </w:pPr>
    </w:p>
    <w:p w14:paraId="2CBA1A88" w14:textId="77777777" w:rsidR="00370CDA" w:rsidRDefault="00370CDA" w:rsidP="00370CDA">
      <w:pPr>
        <w:rPr>
          <w:rFonts w:ascii="Trebuchet MS" w:hAnsi="Trebuchet MS"/>
          <w:sz w:val="22"/>
          <w:szCs w:val="22"/>
          <w:lang w:eastAsia="en-GB"/>
          <w14:ligatures w14:val="none"/>
        </w:rPr>
      </w:pPr>
      <w:r>
        <w:rPr>
          <w:rFonts w:ascii="Trebuchet MS" w:hAnsi="Trebuchet MS"/>
          <w:sz w:val="22"/>
          <w:szCs w:val="22"/>
        </w:rPr>
        <w:t xml:space="preserve">The Highway Authority objects to the development unless and until the information outlined above is supplied. </w:t>
      </w:r>
    </w:p>
    <w:p w14:paraId="7A98A8BF" w14:textId="77777777" w:rsidR="00370CDA" w:rsidRDefault="00370CDA" w:rsidP="00370CDA">
      <w:pPr>
        <w:spacing w:line="300" w:lineRule="atLeast"/>
        <w:rPr>
          <w:rFonts w:ascii="Trebuchet MS" w:hAnsi="Trebuchet MS"/>
          <w:sz w:val="22"/>
          <w:szCs w:val="22"/>
          <w:lang w:eastAsia="en-GB"/>
          <w14:ligatures w14:val="none"/>
        </w:rPr>
      </w:pPr>
    </w:p>
    <w:p w14:paraId="4D8EA351" w14:textId="77777777" w:rsidR="00370CDA" w:rsidRDefault="00370CDA" w:rsidP="00370CDA">
      <w:pPr>
        <w:rPr>
          <w:rFonts w:ascii="Trebuchet MS" w:hAnsi="Trebuchet MS"/>
          <w:b/>
          <w:bCs/>
          <w:i/>
          <w:iCs/>
          <w:sz w:val="22"/>
          <w:szCs w:val="22"/>
          <w:lang w:eastAsia="en-GB"/>
        </w:rPr>
      </w:pPr>
      <w:r>
        <w:rPr>
          <w:rFonts w:ascii="Trebuchet MS" w:hAnsi="Trebuchet MS"/>
          <w:b/>
          <w:bCs/>
          <w:i/>
          <w:iCs/>
          <w:sz w:val="22"/>
          <w:szCs w:val="22"/>
          <w:lang w:eastAsia="en-GB"/>
        </w:rPr>
        <w:t>Refusal reason</w:t>
      </w:r>
    </w:p>
    <w:p w14:paraId="741C450C" w14:textId="77777777" w:rsidR="00370CDA" w:rsidRDefault="00370CDA" w:rsidP="00370CDA">
      <w:pPr>
        <w:rPr>
          <w:rFonts w:ascii="Trebuchet MS" w:hAnsi="Trebuchet MS"/>
          <w:b/>
          <w:bCs/>
          <w:i/>
          <w:iCs/>
          <w:sz w:val="22"/>
          <w:szCs w:val="22"/>
          <w:lang w:eastAsia="en-GB"/>
        </w:rPr>
      </w:pPr>
    </w:p>
    <w:p w14:paraId="7B91C967" w14:textId="77777777" w:rsidR="00370CDA" w:rsidRDefault="00370CDA" w:rsidP="00370CDA">
      <w:pPr>
        <w:ind w:left="567"/>
        <w:jc w:val="both"/>
        <w:rPr>
          <w:rFonts w:ascii="Trebuchet MS" w:hAnsi="Trebuchet MS"/>
          <w:i/>
          <w:iCs/>
          <w:color w:val="000000"/>
          <w:sz w:val="22"/>
          <w:szCs w:val="22"/>
        </w:rPr>
      </w:pPr>
      <w:r>
        <w:rPr>
          <w:rFonts w:ascii="Trebuchet MS" w:hAnsi="Trebuchet MS"/>
          <w:i/>
          <w:iCs/>
          <w:sz w:val="22"/>
          <w:szCs w:val="22"/>
        </w:rPr>
        <w:t>“The applicant has failed to demonstrate that the proposed on-site parking provision and layout complies with the Local Planning Authority’s standards in respect of access arrangement and vehicle parking provision. This could have a detrimental impact on the functioning of the transport network through on-street parking, or unsafe vehicular manoeuvring at the access, compromising the safety of users of the transport network including pedestrians and cyclists</w:t>
      </w:r>
      <w:r>
        <w:rPr>
          <w:rFonts w:ascii="Trebuchet MS" w:hAnsi="Trebuchet MS"/>
          <w:i/>
          <w:iCs/>
          <w:color w:val="000000"/>
          <w:sz w:val="22"/>
          <w:szCs w:val="22"/>
        </w:rPr>
        <w:t>, contrary to Policies TR1 and TR3 of the Reading Borough Local Plan.”</w:t>
      </w:r>
    </w:p>
    <w:p w14:paraId="22E871ED" w14:textId="77777777" w:rsidR="00370CDA" w:rsidRDefault="00370CDA" w:rsidP="00370CDA">
      <w:pPr>
        <w:spacing w:line="300" w:lineRule="atLeast"/>
        <w:rPr>
          <w:rFonts w:ascii="Trebuchet MS" w:hAnsi="Trebuchet MS"/>
          <w:sz w:val="22"/>
          <w:szCs w:val="22"/>
          <w:lang w:eastAsia="en-GB"/>
          <w14:ligatures w14:val="none"/>
        </w:rPr>
      </w:pPr>
    </w:p>
    <w:p w14:paraId="5814C2F8" w14:textId="77777777" w:rsidR="00B361DA" w:rsidRDefault="00B361DA"/>
    <w:sectPr w:rsidR="00B361D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CDA"/>
    <w:rsid w:val="00370CDA"/>
    <w:rsid w:val="00751566"/>
    <w:rsid w:val="007F0D02"/>
    <w:rsid w:val="00B361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A1ECC"/>
  <w15:chartTrackingRefBased/>
  <w15:docId w15:val="{B51657D8-00B2-4140-8D36-D07C1C4D8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0CDA"/>
    <w:pPr>
      <w:spacing w:after="0" w:line="240" w:lineRule="auto"/>
    </w:pPr>
    <w:rPr>
      <w:rFonts w:ascii="Aptos" w:hAnsi="Aptos" w:cs="Aptos"/>
      <w:kern w:val="0"/>
    </w:rPr>
  </w:style>
  <w:style w:type="paragraph" w:styleId="Heading1">
    <w:name w:val="heading 1"/>
    <w:basedOn w:val="Normal"/>
    <w:next w:val="Normal"/>
    <w:link w:val="Heading1Char"/>
    <w:uiPriority w:val="9"/>
    <w:qFormat/>
    <w:rsid w:val="00370CD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rPr>
  </w:style>
  <w:style w:type="paragraph" w:styleId="Heading2">
    <w:name w:val="heading 2"/>
    <w:basedOn w:val="Normal"/>
    <w:next w:val="Normal"/>
    <w:link w:val="Heading2Char"/>
    <w:uiPriority w:val="9"/>
    <w:semiHidden/>
    <w:unhideWhenUsed/>
    <w:qFormat/>
    <w:rsid w:val="00370CD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rPr>
  </w:style>
  <w:style w:type="paragraph" w:styleId="Heading3">
    <w:name w:val="heading 3"/>
    <w:basedOn w:val="Normal"/>
    <w:next w:val="Normal"/>
    <w:link w:val="Heading3Char"/>
    <w:uiPriority w:val="9"/>
    <w:semiHidden/>
    <w:unhideWhenUsed/>
    <w:qFormat/>
    <w:rsid w:val="00370CDA"/>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rPr>
  </w:style>
  <w:style w:type="paragraph" w:styleId="Heading4">
    <w:name w:val="heading 4"/>
    <w:basedOn w:val="Normal"/>
    <w:next w:val="Normal"/>
    <w:link w:val="Heading4Char"/>
    <w:uiPriority w:val="9"/>
    <w:semiHidden/>
    <w:unhideWhenUsed/>
    <w:qFormat/>
    <w:rsid w:val="00370CDA"/>
    <w:pPr>
      <w:keepNext/>
      <w:keepLines/>
      <w:spacing w:before="80" w:after="40" w:line="278" w:lineRule="auto"/>
      <w:outlineLvl w:val="3"/>
    </w:pPr>
    <w:rPr>
      <w:rFonts w:asciiTheme="minorHAnsi" w:eastAsiaTheme="majorEastAsia" w:hAnsiTheme="minorHAnsi" w:cstheme="majorBidi"/>
      <w:i/>
      <w:iCs/>
      <w:color w:val="0F4761" w:themeColor="accent1" w:themeShade="BF"/>
      <w:kern w:val="2"/>
    </w:rPr>
  </w:style>
  <w:style w:type="paragraph" w:styleId="Heading5">
    <w:name w:val="heading 5"/>
    <w:basedOn w:val="Normal"/>
    <w:next w:val="Normal"/>
    <w:link w:val="Heading5Char"/>
    <w:uiPriority w:val="9"/>
    <w:semiHidden/>
    <w:unhideWhenUsed/>
    <w:qFormat/>
    <w:rsid w:val="00370CDA"/>
    <w:pPr>
      <w:keepNext/>
      <w:keepLines/>
      <w:spacing w:before="80" w:after="40" w:line="278" w:lineRule="auto"/>
      <w:outlineLvl w:val="4"/>
    </w:pPr>
    <w:rPr>
      <w:rFonts w:asciiTheme="minorHAnsi" w:eastAsiaTheme="majorEastAsia" w:hAnsiTheme="minorHAnsi" w:cstheme="majorBidi"/>
      <w:color w:val="0F4761" w:themeColor="accent1" w:themeShade="BF"/>
      <w:kern w:val="2"/>
    </w:rPr>
  </w:style>
  <w:style w:type="paragraph" w:styleId="Heading6">
    <w:name w:val="heading 6"/>
    <w:basedOn w:val="Normal"/>
    <w:next w:val="Normal"/>
    <w:link w:val="Heading6Char"/>
    <w:uiPriority w:val="9"/>
    <w:semiHidden/>
    <w:unhideWhenUsed/>
    <w:qFormat/>
    <w:rsid w:val="00370CDA"/>
    <w:pPr>
      <w:keepNext/>
      <w:keepLines/>
      <w:spacing w:before="40" w:line="278" w:lineRule="auto"/>
      <w:outlineLvl w:val="5"/>
    </w:pPr>
    <w:rPr>
      <w:rFonts w:asciiTheme="minorHAnsi" w:eastAsiaTheme="majorEastAsia" w:hAnsiTheme="minorHAnsi" w:cstheme="majorBidi"/>
      <w:i/>
      <w:iCs/>
      <w:color w:val="595959" w:themeColor="text1" w:themeTint="A6"/>
      <w:kern w:val="2"/>
    </w:rPr>
  </w:style>
  <w:style w:type="paragraph" w:styleId="Heading7">
    <w:name w:val="heading 7"/>
    <w:basedOn w:val="Normal"/>
    <w:next w:val="Normal"/>
    <w:link w:val="Heading7Char"/>
    <w:uiPriority w:val="9"/>
    <w:semiHidden/>
    <w:unhideWhenUsed/>
    <w:qFormat/>
    <w:rsid w:val="00370CDA"/>
    <w:pPr>
      <w:keepNext/>
      <w:keepLines/>
      <w:spacing w:before="40" w:line="278" w:lineRule="auto"/>
      <w:outlineLvl w:val="6"/>
    </w:pPr>
    <w:rPr>
      <w:rFonts w:asciiTheme="minorHAnsi" w:eastAsiaTheme="majorEastAsia" w:hAnsiTheme="minorHAnsi" w:cstheme="majorBidi"/>
      <w:color w:val="595959" w:themeColor="text1" w:themeTint="A6"/>
      <w:kern w:val="2"/>
    </w:rPr>
  </w:style>
  <w:style w:type="paragraph" w:styleId="Heading8">
    <w:name w:val="heading 8"/>
    <w:basedOn w:val="Normal"/>
    <w:next w:val="Normal"/>
    <w:link w:val="Heading8Char"/>
    <w:uiPriority w:val="9"/>
    <w:semiHidden/>
    <w:unhideWhenUsed/>
    <w:qFormat/>
    <w:rsid w:val="00370CDA"/>
    <w:pPr>
      <w:keepNext/>
      <w:keepLines/>
      <w:spacing w:line="278" w:lineRule="auto"/>
      <w:outlineLvl w:val="7"/>
    </w:pPr>
    <w:rPr>
      <w:rFonts w:asciiTheme="minorHAnsi" w:eastAsiaTheme="majorEastAsia" w:hAnsiTheme="minorHAnsi" w:cstheme="majorBidi"/>
      <w:i/>
      <w:iCs/>
      <w:color w:val="272727" w:themeColor="text1" w:themeTint="D8"/>
      <w:kern w:val="2"/>
    </w:rPr>
  </w:style>
  <w:style w:type="paragraph" w:styleId="Heading9">
    <w:name w:val="heading 9"/>
    <w:basedOn w:val="Normal"/>
    <w:next w:val="Normal"/>
    <w:link w:val="Heading9Char"/>
    <w:uiPriority w:val="9"/>
    <w:semiHidden/>
    <w:unhideWhenUsed/>
    <w:qFormat/>
    <w:rsid w:val="00370CDA"/>
    <w:pPr>
      <w:keepNext/>
      <w:keepLines/>
      <w:spacing w:line="278" w:lineRule="auto"/>
      <w:outlineLvl w:val="8"/>
    </w:pPr>
    <w:rPr>
      <w:rFonts w:asciiTheme="minorHAnsi" w:eastAsiaTheme="majorEastAsia" w:hAnsiTheme="minorHAnsi" w:cstheme="majorBidi"/>
      <w:color w:val="272727" w:themeColor="text1" w:themeTint="D8"/>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0C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0C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0C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0C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0C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0C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0C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0C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0CDA"/>
    <w:rPr>
      <w:rFonts w:eastAsiaTheme="majorEastAsia" w:cstheme="majorBidi"/>
      <w:color w:val="272727" w:themeColor="text1" w:themeTint="D8"/>
    </w:rPr>
  </w:style>
  <w:style w:type="paragraph" w:styleId="Title">
    <w:name w:val="Title"/>
    <w:basedOn w:val="Normal"/>
    <w:next w:val="Normal"/>
    <w:link w:val="TitleChar"/>
    <w:uiPriority w:val="10"/>
    <w:qFormat/>
    <w:rsid w:val="00370CD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0C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0CDA"/>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rPr>
  </w:style>
  <w:style w:type="character" w:customStyle="1" w:styleId="SubtitleChar">
    <w:name w:val="Subtitle Char"/>
    <w:basedOn w:val="DefaultParagraphFont"/>
    <w:link w:val="Subtitle"/>
    <w:uiPriority w:val="11"/>
    <w:rsid w:val="00370C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0CDA"/>
    <w:pPr>
      <w:spacing w:before="160" w:after="160" w:line="278" w:lineRule="auto"/>
      <w:jc w:val="center"/>
    </w:pPr>
    <w:rPr>
      <w:rFonts w:asciiTheme="minorHAnsi" w:hAnsiTheme="minorHAnsi" w:cstheme="minorBidi"/>
      <w:i/>
      <w:iCs/>
      <w:color w:val="404040" w:themeColor="text1" w:themeTint="BF"/>
      <w:kern w:val="2"/>
    </w:rPr>
  </w:style>
  <w:style w:type="character" w:customStyle="1" w:styleId="QuoteChar">
    <w:name w:val="Quote Char"/>
    <w:basedOn w:val="DefaultParagraphFont"/>
    <w:link w:val="Quote"/>
    <w:uiPriority w:val="29"/>
    <w:rsid w:val="00370CDA"/>
    <w:rPr>
      <w:i/>
      <w:iCs/>
      <w:color w:val="404040" w:themeColor="text1" w:themeTint="BF"/>
    </w:rPr>
  </w:style>
  <w:style w:type="paragraph" w:styleId="ListParagraph">
    <w:name w:val="List Paragraph"/>
    <w:basedOn w:val="Normal"/>
    <w:uiPriority w:val="34"/>
    <w:qFormat/>
    <w:rsid w:val="00370CDA"/>
    <w:pPr>
      <w:spacing w:after="160" w:line="278" w:lineRule="auto"/>
      <w:ind w:left="720"/>
      <w:contextualSpacing/>
    </w:pPr>
    <w:rPr>
      <w:rFonts w:asciiTheme="minorHAnsi" w:hAnsiTheme="minorHAnsi" w:cstheme="minorBidi"/>
      <w:kern w:val="2"/>
    </w:rPr>
  </w:style>
  <w:style w:type="character" w:styleId="IntenseEmphasis">
    <w:name w:val="Intense Emphasis"/>
    <w:basedOn w:val="DefaultParagraphFont"/>
    <w:uiPriority w:val="21"/>
    <w:qFormat/>
    <w:rsid w:val="00370CDA"/>
    <w:rPr>
      <w:i/>
      <w:iCs/>
      <w:color w:val="0F4761" w:themeColor="accent1" w:themeShade="BF"/>
    </w:rPr>
  </w:style>
  <w:style w:type="paragraph" w:styleId="IntenseQuote">
    <w:name w:val="Intense Quote"/>
    <w:basedOn w:val="Normal"/>
    <w:next w:val="Normal"/>
    <w:link w:val="IntenseQuoteChar"/>
    <w:uiPriority w:val="30"/>
    <w:qFormat/>
    <w:rsid w:val="00370CDA"/>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cstheme="minorBidi"/>
      <w:i/>
      <w:iCs/>
      <w:color w:val="0F4761" w:themeColor="accent1" w:themeShade="BF"/>
      <w:kern w:val="2"/>
    </w:rPr>
  </w:style>
  <w:style w:type="character" w:customStyle="1" w:styleId="IntenseQuoteChar">
    <w:name w:val="Intense Quote Char"/>
    <w:basedOn w:val="DefaultParagraphFont"/>
    <w:link w:val="IntenseQuote"/>
    <w:uiPriority w:val="30"/>
    <w:rsid w:val="00370CDA"/>
    <w:rPr>
      <w:i/>
      <w:iCs/>
      <w:color w:val="0F4761" w:themeColor="accent1" w:themeShade="BF"/>
    </w:rPr>
  </w:style>
  <w:style w:type="character" w:styleId="IntenseReference">
    <w:name w:val="Intense Reference"/>
    <w:basedOn w:val="DefaultParagraphFont"/>
    <w:uiPriority w:val="32"/>
    <w:qFormat/>
    <w:rsid w:val="00370CDA"/>
    <w:rPr>
      <w:b/>
      <w:bCs/>
      <w:smallCaps/>
      <w:color w:val="0F4761" w:themeColor="accent1" w:themeShade="BF"/>
      <w:spacing w:val="5"/>
    </w:rPr>
  </w:style>
  <w:style w:type="paragraph" w:styleId="NormalWeb">
    <w:name w:val="Normal (Web)"/>
    <w:basedOn w:val="Normal"/>
    <w:uiPriority w:val="99"/>
    <w:semiHidden/>
    <w:unhideWhenUsed/>
    <w:rsid w:val="00370CDA"/>
    <w:pPr>
      <w:spacing w:before="100" w:beforeAutospacing="1" w:after="100" w:afterAutospacing="1"/>
    </w:pPr>
    <w:rPr>
      <w:lang w:eastAsia="en-GB"/>
      <w14:ligatures w14:val="none"/>
    </w:rPr>
  </w:style>
  <w:style w:type="character" w:styleId="Strong">
    <w:name w:val="Strong"/>
    <w:basedOn w:val="DefaultParagraphFont"/>
    <w:uiPriority w:val="22"/>
    <w:qFormat/>
    <w:rsid w:val="00370CD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1484CED4637942831D6ED81BBCB403" ma:contentTypeVersion="21" ma:contentTypeDescription="Create a new document." ma:contentTypeScope="" ma:versionID="79dc65ac2de1bbd6984ec5e6dd2d40d2">
  <xsd:schema xmlns:xsd="http://www.w3.org/2001/XMLSchema" xmlns:xs="http://www.w3.org/2001/XMLSchema" xmlns:p="http://schemas.microsoft.com/office/2006/metadata/properties" xmlns:ns2="fcad44c5-711d-4cc8-8d15-9ffa5044bc28" xmlns:ns3="85257cab-393f-49f7-9d1e-3b45e853da0a" targetNamespace="http://schemas.microsoft.com/office/2006/metadata/properties" ma:root="true" ma:fieldsID="c846132b804f034a2abe46422d214b0d" ns2:_="" ns3:_="">
    <xsd:import namespace="fcad44c5-711d-4cc8-8d15-9ffa5044bc28"/>
    <xsd:import namespace="85257cab-393f-49f7-9d1e-3b45e853da0a"/>
    <xsd:element name="properties">
      <xsd:complexType>
        <xsd:sequence>
          <xsd:element name="documentManagement">
            <xsd:complexType>
              <xsd:all>
                <xsd:element ref="ns2:aeb104921df047118ccbbd9a4585473b" minOccurs="0"/>
                <xsd:element ref="ns3:TaxCatchAll" minOccurs="0"/>
                <xsd:element ref="ns2:a74d7df5b60b49b992ab3bc3ecbaa8cf" minOccurs="0"/>
                <xsd:element ref="ns2:MediaServiceMetadata" minOccurs="0"/>
                <xsd:element ref="ns2:MediaServiceFastMetadata"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ReviewDate"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d44c5-711d-4cc8-8d15-9ffa5044bc28" elementFormDefault="qualified">
    <xsd:import namespace="http://schemas.microsoft.com/office/2006/documentManagement/types"/>
    <xsd:import namespace="http://schemas.microsoft.com/office/infopath/2007/PartnerControls"/>
    <xsd:element name="aeb104921df047118ccbbd9a4585473b" ma:index="9" nillable="true" ma:taxonomy="true" ma:internalName="aeb104921df047118ccbbd9a4585473b" ma:taxonomyFieldName="OrgTeam" ma:displayName="Organisation Team" ma:default="1;#DEGNS - Planning - Planning|ba4f6050-4427-4bef-be35-91053e57b257" ma:fieldId="{aeb10492-1df0-4711-8ccb-bd9a4585473b}"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a74d7df5b60b49b992ab3bc3ecbaa8cf" ma:index="12" nillable="true" ma:taxonomy="true" ma:internalName="a74d7df5b60b49b992ab3bc3ecbaa8cf" ma:taxonomyFieldName="SecClass" ma:displayName="Classification" ma:default="2;#OFFICIAL|aacd4e4f-7705-433a-a4bc-60b6539b36de" ma:fieldId="{a74d7df5-b60b-49b9-92ab-3bc3ecbaa8cf}"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ReviewDate" ma:index="25" nillable="true" ma:displayName="Review Date" ma:description="date for review" ma:format="DateOnly" ma:internalName="ReviewDate">
      <xsd:simpleType>
        <xsd:restriction base="dms:DateTim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79a6928-edfd-4779-9bcd-e1259bfeb21b}"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eb104921df047118ccbbd9a4585473b xmlns="fcad44c5-711d-4cc8-8d15-9ffa5044bc28">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aeb104921df047118ccbbd9a4585473b>
    <a74d7df5b60b49b992ab3bc3ecbaa8cf xmlns="fcad44c5-711d-4cc8-8d15-9ffa5044bc2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a74d7df5b60b49b992ab3bc3ecbaa8cf>
    <ReviewDate xmlns="fcad44c5-711d-4cc8-8d15-9ffa5044bc28" xsi:nil="true"/>
    <TaxCatchAll xmlns="85257cab-393f-49f7-9d1e-3b45e853da0a">
      <Value>2</Value>
      <Value>1</Value>
    </TaxCatchAll>
    <lcf76f155ced4ddcb4097134ff3c332f xmlns="fcad44c5-711d-4cc8-8d15-9ffa5044bc2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B9D2F04-562A-4D98-8BA1-EBF77CA0F063}"/>
</file>

<file path=customXml/itemProps2.xml><?xml version="1.0" encoding="utf-8"?>
<ds:datastoreItem xmlns:ds="http://schemas.openxmlformats.org/officeDocument/2006/customXml" ds:itemID="{9A2B46E6-D004-4FBC-BBB3-2BC7088EE72A}"/>
</file>

<file path=customXml/itemProps3.xml><?xml version="1.0" encoding="utf-8"?>
<ds:datastoreItem xmlns:ds="http://schemas.openxmlformats.org/officeDocument/2006/customXml" ds:itemID="{CF218CAD-EA00-4A81-9C0C-B7CB5ADB35AB}"/>
</file>

<file path=docProps/app.xml><?xml version="1.0" encoding="utf-8"?>
<Properties xmlns="http://schemas.openxmlformats.org/officeDocument/2006/extended-properties" xmlns:vt="http://schemas.openxmlformats.org/officeDocument/2006/docPropsVTypes">
  <Template>Normal</Template>
  <TotalTime>1</TotalTime>
  <Pages>1</Pages>
  <Words>399</Words>
  <Characters>2321</Characters>
  <Application>Microsoft Office Word</Application>
  <DocSecurity>0</DocSecurity>
  <Lines>44</Lines>
  <Paragraphs>9</Paragraphs>
  <ScaleCrop>false</ScaleCrop>
  <Company/>
  <LinksUpToDate>false</LinksUpToDate>
  <CharactersWithSpaces>2712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Davies, Catrin</dc:creator>
  <cp:keywords/>
  <dc:description/>
  <cp:lastModifiedBy>Davies, Catrin</cp:lastModifiedBy>
  <cp:revision>2</cp:revision>
  <dcterms:created xsi:type="dcterms:W3CDTF">2026-03-25T08:46:00Z</dcterms:created>
  <dcterms:modified xsi:type="dcterms:W3CDTF">2026-03-25T08:47:00Z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0x010100CD1484CED4637942831D6ED81BBCB403</vt:lpwstr>
  </property>
  <property fmtid="{D5CDD505-2E9C-101B-9397-08002B2CF9AE}" pid="4" name="OrgTeam">
    <vt:lpwstr>1;#DEGNS - Planning - Planning|ba4f6050-4427-4bef-be35-91053e57b257</vt:lpwstr>
  </property>
  <property fmtid="{D5CDD505-2E9C-101B-9397-08002B2CF9AE}" pid="5" name="SecClass">
    <vt:lpwstr>2;#OFFICIAL|aacd4e4f-7705-433a-a4bc-60b6539b36de</vt:lpwstr>
  </property>
</Properties>
</file>