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AEF6" w14:textId="77777777" w:rsidR="008F6351" w:rsidRDefault="008F6351" w:rsidP="008F6351">
      <w:pPr>
        <w:rPr>
          <w:sz w:val="24"/>
          <w:szCs w:val="24"/>
        </w:rPr>
      </w:pPr>
      <w:r>
        <w:rPr>
          <w:sz w:val="24"/>
          <w:szCs w:val="24"/>
        </w:rPr>
        <w:t xml:space="preserve">The proposal seeks to reduce surface water run off to below the existing brownfield rate by way of attenuation tanks and storage within permeable paved areas.  This has been achieved however since the creation of the </w:t>
      </w:r>
      <w:proofErr w:type="spellStart"/>
      <w:r>
        <w:rPr>
          <w:sz w:val="24"/>
          <w:szCs w:val="24"/>
        </w:rPr>
        <w:t>SuDs</w:t>
      </w:r>
      <w:proofErr w:type="spellEnd"/>
      <w:r>
        <w:rPr>
          <w:sz w:val="24"/>
          <w:szCs w:val="24"/>
        </w:rPr>
        <w:t xml:space="preserve"> design strategy the National standards for sustainable drainage systems (</w:t>
      </w:r>
      <w:proofErr w:type="spellStart"/>
      <w:r>
        <w:rPr>
          <w:sz w:val="24"/>
          <w:szCs w:val="24"/>
        </w:rPr>
        <w:t>SuDS</w:t>
      </w:r>
      <w:proofErr w:type="spellEnd"/>
      <w:r>
        <w:rPr>
          <w:sz w:val="24"/>
          <w:szCs w:val="24"/>
        </w:rPr>
        <w:t>) was updated on 30th July 2025 and this states the following:</w:t>
      </w:r>
    </w:p>
    <w:p w14:paraId="613BE410" w14:textId="77777777" w:rsidR="008F6351" w:rsidRDefault="008F6351" w:rsidP="008F6351">
      <w:pPr>
        <w:rPr>
          <w:sz w:val="24"/>
          <w:szCs w:val="24"/>
        </w:rPr>
      </w:pPr>
    </w:p>
    <w:p w14:paraId="51A92BB4" w14:textId="77777777" w:rsidR="008F6351" w:rsidRDefault="008F6351" w:rsidP="008F6351">
      <w:pPr>
        <w:rPr>
          <w:i/>
          <w:iCs/>
          <w:sz w:val="24"/>
          <w:szCs w:val="24"/>
        </w:rPr>
      </w:pPr>
      <w:r>
        <w:rPr>
          <w:i/>
          <w:iCs/>
          <w:sz w:val="24"/>
          <w:szCs w:val="24"/>
        </w:rPr>
        <w:t>3.18 The peak allowable discharge rate from the development to surface waters or sewers for the 50% AEP event shall be limited to the equivalent 50% AEP greenfield runoff rate, or 3 l/s/ha, whichever is the greater.</w:t>
      </w:r>
    </w:p>
    <w:p w14:paraId="61FE75D3" w14:textId="77777777" w:rsidR="008F6351" w:rsidRDefault="008F6351" w:rsidP="008F6351">
      <w:pPr>
        <w:rPr>
          <w:i/>
          <w:iCs/>
          <w:sz w:val="24"/>
          <w:szCs w:val="24"/>
        </w:rPr>
      </w:pPr>
    </w:p>
    <w:p w14:paraId="79FB0CE5" w14:textId="77777777" w:rsidR="008F6351" w:rsidRDefault="008F6351" w:rsidP="008F6351">
      <w:pPr>
        <w:rPr>
          <w:i/>
          <w:iCs/>
          <w:sz w:val="24"/>
          <w:szCs w:val="24"/>
        </w:rPr>
      </w:pPr>
      <w:r>
        <w:rPr>
          <w:i/>
          <w:iCs/>
          <w:sz w:val="24"/>
          <w:szCs w:val="24"/>
        </w:rPr>
        <w:t>3.19 Where the volume of runoff discharged from the development to surface waters or sewers for the 1% AEP, 6-hour rainfall event is greater than the volume of greenfield runoff for the same rainfall event, the peak allowable discharge rate from the development for the 1% AEP event shall be limited to the 50% AEP greenfield runoff rate or 3l/s/ha, whichever is the greater.</w:t>
      </w:r>
    </w:p>
    <w:p w14:paraId="2F2AA6F4" w14:textId="77777777" w:rsidR="008F6351" w:rsidRDefault="008F6351" w:rsidP="008F6351">
      <w:pPr>
        <w:rPr>
          <w:i/>
          <w:iCs/>
          <w:sz w:val="24"/>
          <w:szCs w:val="24"/>
        </w:rPr>
      </w:pPr>
    </w:p>
    <w:p w14:paraId="12539890" w14:textId="77777777" w:rsidR="008F6351" w:rsidRDefault="008F6351" w:rsidP="008F6351">
      <w:pPr>
        <w:rPr>
          <w:i/>
          <w:iCs/>
          <w:sz w:val="24"/>
          <w:szCs w:val="24"/>
        </w:rPr>
      </w:pPr>
      <w:r>
        <w:rPr>
          <w:i/>
          <w:iCs/>
          <w:sz w:val="24"/>
          <w:szCs w:val="24"/>
        </w:rPr>
        <w:t>3.20 Where the volume of runoff discharged from the development to surface waters or sewers for the 1% AEP, 6-hour rainfall event is less than or equivalent to the volume of greenfield runoff for the same event, the peak allowable discharge rate from the development for the 1% AEP event shall be limited to the 1% AEP greenfield runoff rate or 3l/s/ha, whichever is the greater.</w:t>
      </w:r>
    </w:p>
    <w:p w14:paraId="2C108F73" w14:textId="77777777" w:rsidR="008F6351" w:rsidRDefault="008F6351" w:rsidP="008F6351">
      <w:pPr>
        <w:rPr>
          <w:i/>
          <w:iCs/>
          <w:sz w:val="24"/>
          <w:szCs w:val="24"/>
        </w:rPr>
      </w:pPr>
    </w:p>
    <w:p w14:paraId="125BFF07" w14:textId="77777777" w:rsidR="008F6351" w:rsidRDefault="008F6351" w:rsidP="008F6351">
      <w:pPr>
        <w:rPr>
          <w:i/>
          <w:iCs/>
          <w:sz w:val="24"/>
          <w:szCs w:val="24"/>
        </w:rPr>
      </w:pPr>
      <w:r>
        <w:rPr>
          <w:i/>
          <w:iCs/>
          <w:sz w:val="24"/>
          <w:szCs w:val="24"/>
        </w:rPr>
        <w:t>Note: runoff volume can be reduced so it is less than or equivalent to the volume of greenfield runoff through infiltration and interception methods which will also result in lower attenuation volumes.</w:t>
      </w:r>
    </w:p>
    <w:p w14:paraId="6E53779F" w14:textId="77777777" w:rsidR="008F6351" w:rsidRDefault="008F6351" w:rsidP="008F6351">
      <w:pPr>
        <w:rPr>
          <w:i/>
          <w:iCs/>
          <w:sz w:val="24"/>
          <w:szCs w:val="24"/>
        </w:rPr>
      </w:pPr>
    </w:p>
    <w:p w14:paraId="132104ED" w14:textId="77777777" w:rsidR="008F6351" w:rsidRDefault="008F6351" w:rsidP="008F6351">
      <w:pPr>
        <w:rPr>
          <w:i/>
          <w:iCs/>
          <w:sz w:val="24"/>
          <w:szCs w:val="24"/>
        </w:rPr>
      </w:pPr>
      <w:r>
        <w:rPr>
          <w:i/>
          <w:iCs/>
          <w:sz w:val="24"/>
          <w:szCs w:val="24"/>
        </w:rPr>
        <w:t>3.21 For previously developed sites a ‘relaxation factor’ shall be applied to the target 50% and 1% AEP greenfield runoff rates where evidence is provided that demonstrates why greenfield runoff or 3l/s/ha rates cannot be achieved and this is agreed with the approving body.</w:t>
      </w:r>
    </w:p>
    <w:p w14:paraId="74C6BCCE" w14:textId="77777777" w:rsidR="008F6351" w:rsidRDefault="008F6351" w:rsidP="008F6351">
      <w:pPr>
        <w:rPr>
          <w:i/>
          <w:iCs/>
          <w:sz w:val="24"/>
          <w:szCs w:val="24"/>
        </w:rPr>
      </w:pPr>
    </w:p>
    <w:p w14:paraId="07461A55" w14:textId="77777777" w:rsidR="008F6351" w:rsidRDefault="008F6351" w:rsidP="008F6351">
      <w:pPr>
        <w:rPr>
          <w:i/>
          <w:iCs/>
          <w:sz w:val="24"/>
          <w:szCs w:val="24"/>
        </w:rPr>
      </w:pPr>
      <w:r>
        <w:rPr>
          <w:i/>
          <w:iCs/>
          <w:sz w:val="24"/>
          <w:szCs w:val="24"/>
        </w:rPr>
        <w:t>3.21.1 This relaxation factor shall be no greater than 5 times the greenfield runoff rate.</w:t>
      </w:r>
    </w:p>
    <w:p w14:paraId="276CED25" w14:textId="77777777" w:rsidR="008F6351" w:rsidRDefault="008F6351" w:rsidP="008F6351">
      <w:pPr>
        <w:rPr>
          <w:sz w:val="24"/>
          <w:szCs w:val="24"/>
        </w:rPr>
      </w:pPr>
    </w:p>
    <w:p w14:paraId="18D27C1C" w14:textId="77777777" w:rsidR="008F6351" w:rsidRDefault="008F6351" w:rsidP="008F6351">
      <w:pPr>
        <w:rPr>
          <w:sz w:val="24"/>
          <w:szCs w:val="24"/>
        </w:rPr>
      </w:pPr>
      <w:r>
        <w:rPr>
          <w:sz w:val="24"/>
          <w:szCs w:val="24"/>
        </w:rPr>
        <w:t>Given the above the proposed drainage strategy would need to be updated to meet these new standards which would require a maximum discharge rate of 3 l/s for the development.</w:t>
      </w:r>
    </w:p>
    <w:p w14:paraId="5DF00594" w14:textId="77777777" w:rsidR="008F6351" w:rsidRDefault="008F6351" w:rsidP="008F6351">
      <w:pPr>
        <w:rPr>
          <w:sz w:val="24"/>
          <w:szCs w:val="24"/>
        </w:rPr>
      </w:pPr>
    </w:p>
    <w:p w14:paraId="5C12DC93" w14:textId="77777777" w:rsidR="008F6351" w:rsidRDefault="008F6351" w:rsidP="008F6351">
      <w:pPr>
        <w:rPr>
          <w:sz w:val="24"/>
          <w:szCs w:val="24"/>
        </w:rPr>
      </w:pPr>
      <w:r>
        <w:rPr>
          <w:sz w:val="24"/>
          <w:szCs w:val="24"/>
        </w:rPr>
        <w:t>In addition to the above it should be highlighted that the hierarchy for drainage schemes has been updated as part of the new National Standards and should be read as follows:</w:t>
      </w:r>
    </w:p>
    <w:p w14:paraId="5AA4DD20" w14:textId="77777777" w:rsidR="008F6351" w:rsidRDefault="008F6351" w:rsidP="008F6351">
      <w:pPr>
        <w:rPr>
          <w:sz w:val="24"/>
          <w:szCs w:val="24"/>
        </w:rPr>
      </w:pPr>
    </w:p>
    <w:p w14:paraId="01C3F9C8" w14:textId="77777777" w:rsidR="008F6351" w:rsidRDefault="008F6351" w:rsidP="008F6351">
      <w:pPr>
        <w:rPr>
          <w:i/>
          <w:iCs/>
          <w:sz w:val="24"/>
          <w:szCs w:val="24"/>
        </w:rPr>
      </w:pPr>
      <w:r>
        <w:rPr>
          <w:i/>
          <w:iCs/>
          <w:sz w:val="24"/>
          <w:szCs w:val="24"/>
        </w:rPr>
        <w:t>1.2 Runoff from the development shall be discharged to the following final destinations, to the maximum extent practicable, in accordance with the below hierarchy:</w:t>
      </w:r>
    </w:p>
    <w:p w14:paraId="56522960" w14:textId="77777777" w:rsidR="008F6351" w:rsidRDefault="008F6351" w:rsidP="008F6351">
      <w:pPr>
        <w:rPr>
          <w:i/>
          <w:iCs/>
          <w:sz w:val="24"/>
          <w:szCs w:val="24"/>
        </w:rPr>
      </w:pPr>
    </w:p>
    <w:p w14:paraId="290A18CD" w14:textId="77777777" w:rsidR="008F6351" w:rsidRDefault="008F6351" w:rsidP="008F6351">
      <w:pPr>
        <w:rPr>
          <w:i/>
          <w:iCs/>
          <w:sz w:val="24"/>
          <w:szCs w:val="24"/>
        </w:rPr>
      </w:pPr>
      <w:r>
        <w:rPr>
          <w:i/>
          <w:iCs/>
          <w:sz w:val="24"/>
          <w:szCs w:val="24"/>
        </w:rPr>
        <w:t>priority 1: collected for non-potable use</w:t>
      </w:r>
    </w:p>
    <w:p w14:paraId="0366418D" w14:textId="77777777" w:rsidR="008F6351" w:rsidRDefault="008F6351" w:rsidP="008F6351">
      <w:pPr>
        <w:rPr>
          <w:i/>
          <w:iCs/>
          <w:sz w:val="24"/>
          <w:szCs w:val="24"/>
        </w:rPr>
      </w:pPr>
      <w:r>
        <w:rPr>
          <w:i/>
          <w:iCs/>
          <w:sz w:val="24"/>
          <w:szCs w:val="24"/>
        </w:rPr>
        <w:t>priority 2: infiltrated to ground</w:t>
      </w:r>
    </w:p>
    <w:p w14:paraId="04ED5FDF" w14:textId="77777777" w:rsidR="008F6351" w:rsidRDefault="008F6351" w:rsidP="008F6351">
      <w:pPr>
        <w:rPr>
          <w:i/>
          <w:iCs/>
          <w:sz w:val="24"/>
          <w:szCs w:val="24"/>
        </w:rPr>
      </w:pPr>
      <w:r>
        <w:rPr>
          <w:i/>
          <w:iCs/>
          <w:sz w:val="24"/>
          <w:szCs w:val="24"/>
        </w:rPr>
        <w:t>priority 3: discharged to an above ground surface water body</w:t>
      </w:r>
    </w:p>
    <w:p w14:paraId="2183907B" w14:textId="77777777" w:rsidR="008F6351" w:rsidRDefault="008F6351" w:rsidP="008F6351">
      <w:pPr>
        <w:rPr>
          <w:i/>
          <w:iCs/>
          <w:sz w:val="24"/>
          <w:szCs w:val="24"/>
        </w:rPr>
      </w:pPr>
      <w:r>
        <w:rPr>
          <w:i/>
          <w:iCs/>
          <w:sz w:val="24"/>
          <w:szCs w:val="24"/>
        </w:rPr>
        <w:lastRenderedPageBreak/>
        <w:t>priority 4: discharged to a surface water sewer, or another piped surface water drainage system</w:t>
      </w:r>
    </w:p>
    <w:p w14:paraId="4F4A8770" w14:textId="77777777" w:rsidR="008F6351" w:rsidRDefault="008F6351" w:rsidP="008F6351">
      <w:pPr>
        <w:rPr>
          <w:i/>
          <w:iCs/>
          <w:sz w:val="24"/>
          <w:szCs w:val="24"/>
        </w:rPr>
      </w:pPr>
      <w:r>
        <w:rPr>
          <w:i/>
          <w:iCs/>
          <w:sz w:val="24"/>
          <w:szCs w:val="24"/>
        </w:rPr>
        <w:t>priority 5: discharged to a combined sewer</w:t>
      </w:r>
    </w:p>
    <w:p w14:paraId="793ABBD6" w14:textId="77777777" w:rsidR="008F6351" w:rsidRDefault="008F6351" w:rsidP="008F6351">
      <w:pPr>
        <w:rPr>
          <w:i/>
          <w:iCs/>
          <w:sz w:val="24"/>
          <w:szCs w:val="24"/>
        </w:rPr>
      </w:pPr>
    </w:p>
    <w:p w14:paraId="5D44ED03" w14:textId="77777777" w:rsidR="008F6351" w:rsidRDefault="008F6351" w:rsidP="008F6351">
      <w:pPr>
        <w:rPr>
          <w:i/>
          <w:iCs/>
          <w:sz w:val="24"/>
          <w:szCs w:val="24"/>
        </w:rPr>
      </w:pPr>
      <w:r>
        <w:rPr>
          <w:i/>
          <w:iCs/>
          <w:sz w:val="24"/>
          <w:szCs w:val="24"/>
        </w:rPr>
        <w:t>Note 1: priority 1 is the highest priority and priority 5 is the lowest.</w:t>
      </w:r>
    </w:p>
    <w:p w14:paraId="38457810" w14:textId="77777777" w:rsidR="008F6351" w:rsidRDefault="008F6351" w:rsidP="008F6351">
      <w:pPr>
        <w:rPr>
          <w:sz w:val="24"/>
          <w:szCs w:val="24"/>
        </w:rPr>
      </w:pPr>
    </w:p>
    <w:p w14:paraId="5C1BCDD6" w14:textId="77777777" w:rsidR="008F6351" w:rsidRDefault="008F6351" w:rsidP="008F6351">
      <w:pPr>
        <w:rPr>
          <w:sz w:val="24"/>
          <w:szCs w:val="24"/>
        </w:rPr>
      </w:pPr>
      <w:r>
        <w:rPr>
          <w:sz w:val="24"/>
          <w:szCs w:val="24"/>
        </w:rPr>
        <w:t xml:space="preserve">Further to the above it is noted that the drainage design has not taken account of Local Plan Policy EN18 which requires the drainage scheme to be landscape led and connect into the green network across the site however the proposal fails to connect into any of the landscape features across the site at all.  </w:t>
      </w:r>
    </w:p>
    <w:p w14:paraId="31B46448" w14:textId="77777777" w:rsidR="008F6351" w:rsidRDefault="008F6351" w:rsidP="008F6351">
      <w:pPr>
        <w:rPr>
          <w:sz w:val="24"/>
          <w:szCs w:val="24"/>
        </w:rPr>
      </w:pPr>
    </w:p>
    <w:p w14:paraId="7077FA51" w14:textId="77777777" w:rsidR="008F6351" w:rsidRDefault="008F6351" w:rsidP="008F6351">
      <w:pPr>
        <w:rPr>
          <w:sz w:val="24"/>
          <w:szCs w:val="24"/>
        </w:rPr>
      </w:pPr>
      <w:r>
        <w:rPr>
          <w:sz w:val="24"/>
          <w:szCs w:val="24"/>
        </w:rPr>
        <w:t xml:space="preserve">As a result of the applicant not addressing these fundamental requirements the LLFA has not reviewed the drainage layout in any great details given that it would necessitate a fundamental redesign </w:t>
      </w:r>
      <w:proofErr w:type="gramStart"/>
      <w:r>
        <w:rPr>
          <w:sz w:val="24"/>
          <w:szCs w:val="24"/>
        </w:rPr>
        <w:t>in order to</w:t>
      </w:r>
      <w:proofErr w:type="gramEnd"/>
      <w:r>
        <w:rPr>
          <w:sz w:val="24"/>
          <w:szCs w:val="24"/>
        </w:rPr>
        <w:t xml:space="preserve"> meet the required standards. </w:t>
      </w:r>
    </w:p>
    <w:p w14:paraId="45CADF4D" w14:textId="77777777" w:rsidR="008F6351" w:rsidRDefault="008F6351" w:rsidP="008F6351">
      <w:pPr>
        <w:rPr>
          <w:sz w:val="24"/>
          <w:szCs w:val="24"/>
        </w:rPr>
      </w:pPr>
    </w:p>
    <w:p w14:paraId="12E559C7" w14:textId="77777777" w:rsidR="008F6351" w:rsidRDefault="008F6351" w:rsidP="008F6351">
      <w:pPr>
        <w:rPr>
          <w:sz w:val="24"/>
          <w:szCs w:val="24"/>
        </w:rPr>
      </w:pPr>
      <w:r>
        <w:rPr>
          <w:sz w:val="24"/>
          <w:szCs w:val="24"/>
        </w:rPr>
        <w:t>Given the above highlights that the applicant has failed to comply with the required standards and Policies the LLFA objects to the proposal on the following grounds.</w:t>
      </w:r>
    </w:p>
    <w:p w14:paraId="03B1E1BE" w14:textId="77777777" w:rsidR="008F6351" w:rsidRDefault="008F6351" w:rsidP="008F6351">
      <w:pPr>
        <w:rPr>
          <w:sz w:val="24"/>
          <w:szCs w:val="24"/>
        </w:rPr>
      </w:pPr>
    </w:p>
    <w:p w14:paraId="5A2DDD36" w14:textId="77777777" w:rsidR="008F6351" w:rsidRDefault="008F6351" w:rsidP="008F6351">
      <w:pPr>
        <w:rPr>
          <w:sz w:val="24"/>
          <w:szCs w:val="24"/>
        </w:rPr>
      </w:pPr>
      <w:r>
        <w:rPr>
          <w:sz w:val="24"/>
          <w:szCs w:val="24"/>
        </w:rPr>
        <w:t>The submitted Sustainable Drainage Strategy has failed to demonstrate its acceptability in terms of sustainable drainage and attenuating localised flooding, contrary to Policy EN18 of the Reading Borough Local Plan 2019.</w:t>
      </w:r>
    </w:p>
    <w:p w14:paraId="45CA5DAB"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351"/>
    <w:rsid w:val="000364D5"/>
    <w:rsid w:val="00751566"/>
    <w:rsid w:val="008F6351"/>
    <w:rsid w:val="00B36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9A98"/>
  <w15:chartTrackingRefBased/>
  <w15:docId w15:val="{2F743967-BEF0-4CFE-8696-5DFFDE46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351"/>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8F635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8F635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8F635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8F635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rPr>
  </w:style>
  <w:style w:type="paragraph" w:styleId="Heading5">
    <w:name w:val="heading 5"/>
    <w:basedOn w:val="Normal"/>
    <w:next w:val="Normal"/>
    <w:link w:val="Heading5Char"/>
    <w:uiPriority w:val="9"/>
    <w:semiHidden/>
    <w:unhideWhenUsed/>
    <w:qFormat/>
    <w:rsid w:val="008F635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rPr>
  </w:style>
  <w:style w:type="paragraph" w:styleId="Heading6">
    <w:name w:val="heading 6"/>
    <w:basedOn w:val="Normal"/>
    <w:next w:val="Normal"/>
    <w:link w:val="Heading6Char"/>
    <w:uiPriority w:val="9"/>
    <w:semiHidden/>
    <w:unhideWhenUsed/>
    <w:qFormat/>
    <w:rsid w:val="008F635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rPr>
  </w:style>
  <w:style w:type="paragraph" w:styleId="Heading7">
    <w:name w:val="heading 7"/>
    <w:basedOn w:val="Normal"/>
    <w:next w:val="Normal"/>
    <w:link w:val="Heading7Char"/>
    <w:uiPriority w:val="9"/>
    <w:semiHidden/>
    <w:unhideWhenUsed/>
    <w:qFormat/>
    <w:rsid w:val="008F635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8F6351"/>
    <w:pPr>
      <w:keepNext/>
      <w:keepLines/>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8F6351"/>
    <w:pPr>
      <w:keepNext/>
      <w:keepLines/>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3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63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63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63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63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63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3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3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351"/>
    <w:rPr>
      <w:rFonts w:eastAsiaTheme="majorEastAsia" w:cstheme="majorBidi"/>
      <w:color w:val="272727" w:themeColor="text1" w:themeTint="D8"/>
    </w:rPr>
  </w:style>
  <w:style w:type="paragraph" w:styleId="Title">
    <w:name w:val="Title"/>
    <w:basedOn w:val="Normal"/>
    <w:next w:val="Normal"/>
    <w:link w:val="TitleChar"/>
    <w:uiPriority w:val="10"/>
    <w:qFormat/>
    <w:rsid w:val="008F63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3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35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8F63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351"/>
    <w:pPr>
      <w:spacing w:before="160" w:after="160" w:line="278" w:lineRule="auto"/>
      <w:jc w:val="center"/>
    </w:pPr>
    <w:rPr>
      <w:rFonts w:ascii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8F6351"/>
    <w:rPr>
      <w:i/>
      <w:iCs/>
      <w:color w:val="404040" w:themeColor="text1" w:themeTint="BF"/>
    </w:rPr>
  </w:style>
  <w:style w:type="paragraph" w:styleId="ListParagraph">
    <w:name w:val="List Paragraph"/>
    <w:basedOn w:val="Normal"/>
    <w:uiPriority w:val="34"/>
    <w:qFormat/>
    <w:rsid w:val="008F6351"/>
    <w:pPr>
      <w:spacing w:after="160" w:line="278" w:lineRule="auto"/>
      <w:ind w:left="720"/>
      <w:contextualSpacing/>
    </w:pPr>
    <w:rPr>
      <w:rFonts w:asciiTheme="minorHAnsi" w:hAnsiTheme="minorHAnsi" w:cstheme="minorBidi"/>
      <w:kern w:val="2"/>
      <w:sz w:val="24"/>
      <w:szCs w:val="24"/>
    </w:rPr>
  </w:style>
  <w:style w:type="character" w:styleId="IntenseEmphasis">
    <w:name w:val="Intense Emphasis"/>
    <w:basedOn w:val="DefaultParagraphFont"/>
    <w:uiPriority w:val="21"/>
    <w:qFormat/>
    <w:rsid w:val="008F6351"/>
    <w:rPr>
      <w:i/>
      <w:iCs/>
      <w:color w:val="0F4761" w:themeColor="accent1" w:themeShade="BF"/>
    </w:rPr>
  </w:style>
  <w:style w:type="paragraph" w:styleId="IntenseQuote">
    <w:name w:val="Intense Quote"/>
    <w:basedOn w:val="Normal"/>
    <w:next w:val="Normal"/>
    <w:link w:val="IntenseQuoteChar"/>
    <w:uiPriority w:val="30"/>
    <w:qFormat/>
    <w:rsid w:val="008F635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8F6351"/>
    <w:rPr>
      <w:i/>
      <w:iCs/>
      <w:color w:val="0F4761" w:themeColor="accent1" w:themeShade="BF"/>
    </w:rPr>
  </w:style>
  <w:style w:type="character" w:styleId="IntenseReference">
    <w:name w:val="Intense Reference"/>
    <w:basedOn w:val="DefaultParagraphFont"/>
    <w:uiPriority w:val="32"/>
    <w:qFormat/>
    <w:rsid w:val="008F63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1d0a805772049104aa4d48b29ff97339">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f4d133a19e6f952096d0ff94ae72af5"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AEB132EB-D20A-4B15-ACE9-6A9B30D1FD1B}"/>
</file>

<file path=customXml/itemProps2.xml><?xml version="1.0" encoding="utf-8"?>
<ds:datastoreItem xmlns:ds="http://schemas.openxmlformats.org/officeDocument/2006/customXml" ds:itemID="{190D85B3-928F-42C9-AEC7-40919748986A}"/>
</file>

<file path=customXml/itemProps3.xml><?xml version="1.0" encoding="utf-8"?>
<ds:datastoreItem xmlns:ds="http://schemas.openxmlformats.org/officeDocument/2006/customXml" ds:itemID="{FAFEEF99-B4F5-477A-91D6-CC4CF78C82DA}"/>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3152</Characters>
  <Application>Microsoft Office Word</Application>
  <DocSecurity>0</DocSecurity>
  <Lines>68</Lines>
  <Paragraphs>29</Paragraphs>
  <ScaleCrop>false</ScaleCrop>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2025-11-14T15:56:00Z</dcterms:created>
  <dcterms:modified xsi:type="dcterms:W3CDTF">2025-11-14T15:57:00Z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ies>
</file>