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120DA" w14:textId="77777777" w:rsidR="00770ADD" w:rsidRDefault="00770ADD"/>
    <w:p w14:paraId="3425FB4C" w14:textId="77777777" w:rsidR="00770ADD" w:rsidRDefault="00770ADD"/>
    <w:p w14:paraId="58C8A524" w14:textId="6D962568" w:rsidR="0057545E" w:rsidRDefault="0057545E">
      <w:r>
        <w:t>29/09/2025</w:t>
      </w:r>
    </w:p>
    <w:p w14:paraId="057E39A9" w14:textId="6D9A7007" w:rsidR="0057545E" w:rsidRDefault="0057545E">
      <w:r w:rsidRPr="0057545E">
        <w:t xml:space="preserve">Planning Application Ref: </w:t>
      </w:r>
      <w:r>
        <w:tab/>
      </w:r>
      <w:r>
        <w:tab/>
      </w:r>
      <w:r>
        <w:tab/>
      </w:r>
      <w:r w:rsidRPr="0057545E">
        <w:t>PL/25/1204</w:t>
      </w:r>
      <w:r w:rsidRPr="0057545E">
        <w:br/>
        <w:t xml:space="preserve">Officer: </w:t>
      </w:r>
      <w:r>
        <w:tab/>
      </w:r>
      <w:r>
        <w:tab/>
      </w:r>
      <w:r>
        <w:tab/>
      </w:r>
      <w:r>
        <w:tab/>
      </w:r>
      <w:r>
        <w:tab/>
      </w:r>
      <w:r w:rsidRPr="0057545E">
        <w:t>Anthony Scholes</w:t>
      </w:r>
      <w:r w:rsidRPr="0057545E">
        <w:br/>
        <w:t xml:space="preserve">Application Type: </w:t>
      </w:r>
      <w:r>
        <w:tab/>
      </w:r>
      <w:r>
        <w:tab/>
      </w:r>
      <w:r>
        <w:tab/>
      </w:r>
      <w:r>
        <w:tab/>
      </w:r>
      <w:r w:rsidRPr="0057545E">
        <w:t xml:space="preserve">Prior approval Part 3 Class MA: Commercial, </w:t>
      </w:r>
      <w:r>
        <w:tab/>
      </w:r>
    </w:p>
    <w:p w14:paraId="6B845266" w14:textId="77777777" w:rsidR="0057545E" w:rsidRDefault="0057545E" w:rsidP="0057545E">
      <w:pPr>
        <w:ind w:left="3600" w:firstLine="720"/>
      </w:pPr>
      <w:r w:rsidRPr="0057545E">
        <w:t xml:space="preserve">business and service </w:t>
      </w:r>
      <w:proofErr w:type="gramStart"/>
      <w:r w:rsidRPr="0057545E">
        <w:t>uses</w:t>
      </w:r>
      <w:proofErr w:type="gramEnd"/>
      <w:r w:rsidRPr="0057545E">
        <w:t xml:space="preserve"> to dwellinghouses</w:t>
      </w:r>
    </w:p>
    <w:p w14:paraId="547A2997" w14:textId="77777777" w:rsidR="0057545E" w:rsidRDefault="0057545E" w:rsidP="0057545E">
      <w:r w:rsidRPr="0057545E">
        <w:t xml:space="preserve">Address: </w:t>
      </w:r>
      <w:r>
        <w:tab/>
      </w:r>
      <w:r>
        <w:tab/>
      </w:r>
      <w:r>
        <w:tab/>
      </w:r>
      <w:r>
        <w:tab/>
      </w:r>
      <w:r>
        <w:tab/>
      </w:r>
      <w:r w:rsidRPr="0057545E">
        <w:t>20 TUDOR ROAD, READING, RG1 1NH</w:t>
      </w:r>
      <w:r w:rsidRPr="0057545E">
        <w:br/>
        <w:t>Proposal:</w:t>
      </w:r>
      <w:r>
        <w:tab/>
      </w:r>
      <w:r>
        <w:tab/>
      </w:r>
      <w:r>
        <w:tab/>
      </w:r>
      <w:r>
        <w:tab/>
      </w:r>
      <w:r>
        <w:tab/>
      </w:r>
      <w:r w:rsidRPr="0057545E">
        <w:t xml:space="preserve">Change of use from Class E (offices) to C3 </w:t>
      </w:r>
    </w:p>
    <w:p w14:paraId="295D7AA9" w14:textId="023762B1" w:rsidR="0057545E" w:rsidRDefault="0057545E" w:rsidP="0057545E">
      <w:pPr>
        <w:ind w:left="4320"/>
      </w:pPr>
      <w:r w:rsidRPr="0057545E">
        <w:t>(dwelling houses) to comprise 58 flats (28x 1b1p 26x 1b2p 4x 2b3p) flats with associated car and cycle parking. Prior Notification under Class MA, Part 3 of Schedule 2 of the Town and Country Planning (General Permitted Development) Order 2015.</w:t>
      </w:r>
    </w:p>
    <w:p w14:paraId="0F664365" w14:textId="77777777" w:rsidR="0057545E" w:rsidRDefault="0057545E" w:rsidP="0057545E"/>
    <w:p w14:paraId="2B6D7F83" w14:textId="48DA2E6A" w:rsidR="0057545E" w:rsidRDefault="0057545E" w:rsidP="0057545E">
      <w:r>
        <w:t xml:space="preserve">Previous </w:t>
      </w:r>
      <w:r w:rsidR="005A7F94">
        <w:t>application</w:t>
      </w:r>
      <w:r>
        <w:t xml:space="preserve"> for this site - </w:t>
      </w:r>
      <w:r w:rsidRPr="001900FD">
        <w:t>PL/25/</w:t>
      </w:r>
      <w:r w:rsidR="00640BB8" w:rsidRPr="001900FD">
        <w:t>0929</w:t>
      </w:r>
      <w:r w:rsidR="00640BB8">
        <w:t xml:space="preserve"> -</w:t>
      </w:r>
      <w:r w:rsidR="00ED7CB8">
        <w:t xml:space="preserve"> REFUSED</w:t>
      </w:r>
    </w:p>
    <w:p w14:paraId="70B34E51" w14:textId="77777777" w:rsidR="0057545E" w:rsidRDefault="0057545E" w:rsidP="0057545E"/>
    <w:p w14:paraId="5F1568B5" w14:textId="5534E5C0" w:rsidR="005A7F94" w:rsidRDefault="0057545E" w:rsidP="0057545E">
      <w:pPr>
        <w:jc w:val="both"/>
      </w:pPr>
      <w:r w:rsidRPr="00AA09F3">
        <w:t xml:space="preserve">The site at the junction of Tudor Road and Caversham Road and is within Zone 2, the primary core area but on the periphery of the central core area which lies at the heart of Reading Borough, consisting primarily of retail and commercial office developments with good transport hubs.  Extensive parking restrictions are in place around the site. </w:t>
      </w:r>
      <w:r>
        <w:t xml:space="preserve">This application is for change of use from Class E to </w:t>
      </w:r>
      <w:r w:rsidR="005A7F94">
        <w:t xml:space="preserve">58 residential units comprising of </w:t>
      </w:r>
      <w:r w:rsidR="00F2509F">
        <w:t>58</w:t>
      </w:r>
      <w:r w:rsidR="005A7F94">
        <w:t xml:space="preserve"> x </w:t>
      </w:r>
      <w:proofErr w:type="gramStart"/>
      <w:r w:rsidR="005A7F94">
        <w:t>2 bedroom</w:t>
      </w:r>
      <w:proofErr w:type="gramEnd"/>
      <w:r w:rsidR="005A7F94">
        <w:t xml:space="preserve"> Units.  </w:t>
      </w:r>
    </w:p>
    <w:p w14:paraId="73B78FC4" w14:textId="77777777" w:rsidR="005A7F94" w:rsidRDefault="005A7F94" w:rsidP="0057545E">
      <w:pPr>
        <w:jc w:val="both"/>
      </w:pPr>
    </w:p>
    <w:p w14:paraId="29E054DE" w14:textId="14A3E8AF" w:rsidR="0057545E" w:rsidRPr="00236CDA" w:rsidRDefault="0057545E" w:rsidP="0057545E">
      <w:pPr>
        <w:jc w:val="both"/>
      </w:pPr>
      <w:r>
        <w:t xml:space="preserve"> </w:t>
      </w:r>
      <w:r w:rsidRPr="00236CDA">
        <w:t>In accordance with the adopted Parking SPD, the development would require the following parking provision.</w:t>
      </w:r>
      <w:r w:rsidR="005A7F94">
        <w:t xml:space="preserve">  </w:t>
      </w:r>
      <w:r w:rsidR="009777A7">
        <w:t>G</w:t>
      </w:r>
      <w:r w:rsidR="005A7F94">
        <w:t>iven the site is on the border of Zone 1 and close to the town centre Reading main station and access to all main bus routes, Zone 1 parking standards can be applied in this instance.</w:t>
      </w:r>
    </w:p>
    <w:p w14:paraId="1E2496CD" w14:textId="77777777" w:rsidR="0057545E" w:rsidRPr="009F52EE" w:rsidRDefault="0057545E" w:rsidP="0057545E">
      <w:pPr>
        <w:jc w:val="both"/>
        <w:rPr>
          <w:rFonts w:ascii="Arial" w:hAnsi="Arial" w:cs="Arial"/>
        </w:rPr>
      </w:pPr>
    </w:p>
    <w:tbl>
      <w:tblPr>
        <w:tblStyle w:val="TableGrid"/>
        <w:tblW w:w="0" w:type="auto"/>
        <w:tblLook w:val="04A0" w:firstRow="1" w:lastRow="0" w:firstColumn="1" w:lastColumn="0" w:noHBand="0" w:noVBand="1"/>
      </w:tblPr>
      <w:tblGrid>
        <w:gridCol w:w="2799"/>
        <w:gridCol w:w="941"/>
        <w:gridCol w:w="1121"/>
        <w:gridCol w:w="1088"/>
      </w:tblGrid>
      <w:tr w:rsidR="005A7F94" w:rsidRPr="009F52EE" w14:paraId="2DA98C07" w14:textId="77777777" w:rsidTr="00EE509B">
        <w:tc>
          <w:tcPr>
            <w:tcW w:w="2799" w:type="dxa"/>
          </w:tcPr>
          <w:p w14:paraId="7CB9FB41" w14:textId="77777777" w:rsidR="005A7F94" w:rsidRPr="009F52EE" w:rsidRDefault="005A7F94" w:rsidP="00EE509B">
            <w:pPr>
              <w:jc w:val="both"/>
              <w:rPr>
                <w:rFonts w:ascii="Arial" w:hAnsi="Arial" w:cs="Arial"/>
              </w:rPr>
            </w:pPr>
            <w:r w:rsidRPr="009F52EE">
              <w:rPr>
                <w:rFonts w:ascii="Arial" w:hAnsi="Arial" w:cs="Arial"/>
              </w:rPr>
              <w:t>Size of Units</w:t>
            </w:r>
          </w:p>
        </w:tc>
        <w:tc>
          <w:tcPr>
            <w:tcW w:w="941" w:type="dxa"/>
          </w:tcPr>
          <w:p w14:paraId="05E8E314" w14:textId="77777777" w:rsidR="005A7F94" w:rsidRPr="009F52EE" w:rsidRDefault="005A7F94" w:rsidP="00EE509B">
            <w:pPr>
              <w:jc w:val="both"/>
              <w:rPr>
                <w:rFonts w:ascii="Arial" w:hAnsi="Arial" w:cs="Arial"/>
              </w:rPr>
            </w:pPr>
            <w:r w:rsidRPr="009F52EE">
              <w:rPr>
                <w:rFonts w:ascii="Arial" w:hAnsi="Arial" w:cs="Arial"/>
              </w:rPr>
              <w:t>No of units</w:t>
            </w:r>
          </w:p>
        </w:tc>
        <w:tc>
          <w:tcPr>
            <w:tcW w:w="1121" w:type="dxa"/>
          </w:tcPr>
          <w:p w14:paraId="525C307C" w14:textId="77777777" w:rsidR="005A7F94" w:rsidRPr="006A483A" w:rsidRDefault="005A7F94" w:rsidP="00EE509B">
            <w:pPr>
              <w:jc w:val="both"/>
              <w:rPr>
                <w:rFonts w:ascii="Arial" w:hAnsi="Arial" w:cs="Arial"/>
              </w:rPr>
            </w:pPr>
            <w:r w:rsidRPr="006A483A">
              <w:rPr>
                <w:rFonts w:ascii="Arial" w:hAnsi="Arial" w:cs="Arial"/>
              </w:rPr>
              <w:t>Required Provision Per Unit Zone 1</w:t>
            </w:r>
          </w:p>
        </w:tc>
        <w:tc>
          <w:tcPr>
            <w:tcW w:w="1088" w:type="dxa"/>
          </w:tcPr>
          <w:p w14:paraId="35BCE40F" w14:textId="77777777" w:rsidR="005A7F94" w:rsidRPr="006A483A" w:rsidRDefault="005A7F94" w:rsidP="00EE509B">
            <w:pPr>
              <w:jc w:val="both"/>
              <w:rPr>
                <w:rFonts w:ascii="Arial" w:hAnsi="Arial" w:cs="Arial"/>
                <w:b/>
                <w:bCs/>
              </w:rPr>
            </w:pPr>
            <w:r w:rsidRPr="006A483A">
              <w:rPr>
                <w:rFonts w:ascii="Arial" w:hAnsi="Arial" w:cs="Arial"/>
                <w:b/>
                <w:bCs/>
              </w:rPr>
              <w:t>Zone 1 Total</w:t>
            </w:r>
          </w:p>
        </w:tc>
      </w:tr>
      <w:tr w:rsidR="005A7F94" w:rsidRPr="009F52EE" w14:paraId="59AC3CB9" w14:textId="77777777" w:rsidTr="00EE509B">
        <w:tc>
          <w:tcPr>
            <w:tcW w:w="2799" w:type="dxa"/>
          </w:tcPr>
          <w:p w14:paraId="5C6DA78E" w14:textId="77777777" w:rsidR="005A7F94" w:rsidRPr="009F52EE" w:rsidRDefault="005A7F94" w:rsidP="00EE509B">
            <w:pPr>
              <w:jc w:val="both"/>
              <w:rPr>
                <w:rFonts w:ascii="Arial" w:hAnsi="Arial" w:cs="Arial"/>
              </w:rPr>
            </w:pPr>
            <w:r w:rsidRPr="009F52EE">
              <w:rPr>
                <w:rFonts w:ascii="Arial" w:hAnsi="Arial" w:cs="Arial"/>
              </w:rPr>
              <w:t>1 &amp; 2 bed units</w:t>
            </w:r>
          </w:p>
        </w:tc>
        <w:tc>
          <w:tcPr>
            <w:tcW w:w="941" w:type="dxa"/>
          </w:tcPr>
          <w:p w14:paraId="75C1E992" w14:textId="1FA3941C" w:rsidR="005A7F94" w:rsidRPr="009F52EE" w:rsidRDefault="005A7F94" w:rsidP="00EE509B">
            <w:pPr>
              <w:jc w:val="both"/>
              <w:rPr>
                <w:rFonts w:ascii="Arial" w:hAnsi="Arial" w:cs="Arial"/>
              </w:rPr>
            </w:pPr>
            <w:r>
              <w:rPr>
                <w:rFonts w:ascii="Arial" w:hAnsi="Arial" w:cs="Arial"/>
              </w:rPr>
              <w:t>58</w:t>
            </w:r>
          </w:p>
        </w:tc>
        <w:tc>
          <w:tcPr>
            <w:tcW w:w="1121" w:type="dxa"/>
          </w:tcPr>
          <w:p w14:paraId="2B2A70F7" w14:textId="77777777" w:rsidR="005A7F94" w:rsidRPr="006A483A" w:rsidRDefault="005A7F94" w:rsidP="00EE509B">
            <w:pPr>
              <w:jc w:val="both"/>
              <w:rPr>
                <w:rFonts w:ascii="Arial" w:hAnsi="Arial" w:cs="Arial"/>
              </w:rPr>
            </w:pPr>
            <w:r w:rsidRPr="006A483A">
              <w:rPr>
                <w:rFonts w:ascii="Arial" w:hAnsi="Arial" w:cs="Arial"/>
              </w:rPr>
              <w:t>0.5</w:t>
            </w:r>
          </w:p>
        </w:tc>
        <w:tc>
          <w:tcPr>
            <w:tcW w:w="1088" w:type="dxa"/>
          </w:tcPr>
          <w:p w14:paraId="163C6F00" w14:textId="218DC9C4" w:rsidR="005A7F94" w:rsidRPr="006A483A" w:rsidRDefault="005A7F94" w:rsidP="00EE509B">
            <w:pPr>
              <w:jc w:val="both"/>
              <w:rPr>
                <w:rFonts w:ascii="Arial" w:hAnsi="Arial" w:cs="Arial"/>
              </w:rPr>
            </w:pPr>
            <w:r w:rsidRPr="006A483A">
              <w:rPr>
                <w:rFonts w:ascii="Arial" w:hAnsi="Arial" w:cs="Arial"/>
              </w:rPr>
              <w:t>29</w:t>
            </w:r>
          </w:p>
        </w:tc>
      </w:tr>
      <w:tr w:rsidR="005A7F94" w:rsidRPr="009F52EE" w14:paraId="68B51736" w14:textId="77777777" w:rsidTr="00EE509B">
        <w:tc>
          <w:tcPr>
            <w:tcW w:w="2799" w:type="dxa"/>
          </w:tcPr>
          <w:p w14:paraId="3FA26258" w14:textId="77777777" w:rsidR="005A7F94" w:rsidRPr="009F52EE" w:rsidRDefault="005A7F94" w:rsidP="00EE509B">
            <w:pPr>
              <w:jc w:val="both"/>
              <w:rPr>
                <w:rFonts w:ascii="Arial" w:hAnsi="Arial" w:cs="Arial"/>
              </w:rPr>
            </w:pPr>
          </w:p>
        </w:tc>
        <w:tc>
          <w:tcPr>
            <w:tcW w:w="941" w:type="dxa"/>
          </w:tcPr>
          <w:p w14:paraId="53A39B57" w14:textId="77777777" w:rsidR="005A7F94" w:rsidRPr="009F52EE" w:rsidRDefault="005A7F94" w:rsidP="00EE509B">
            <w:pPr>
              <w:jc w:val="both"/>
              <w:rPr>
                <w:rFonts w:ascii="Arial" w:hAnsi="Arial" w:cs="Arial"/>
              </w:rPr>
            </w:pPr>
          </w:p>
        </w:tc>
        <w:tc>
          <w:tcPr>
            <w:tcW w:w="1121" w:type="dxa"/>
          </w:tcPr>
          <w:p w14:paraId="468B3C7C" w14:textId="77777777" w:rsidR="005A7F94" w:rsidRPr="006A483A" w:rsidRDefault="005A7F94" w:rsidP="00EE509B">
            <w:pPr>
              <w:jc w:val="both"/>
              <w:rPr>
                <w:rFonts w:ascii="Arial" w:hAnsi="Arial" w:cs="Arial"/>
              </w:rPr>
            </w:pPr>
          </w:p>
        </w:tc>
        <w:tc>
          <w:tcPr>
            <w:tcW w:w="1088" w:type="dxa"/>
          </w:tcPr>
          <w:p w14:paraId="669C3FC1" w14:textId="77777777" w:rsidR="005A7F94" w:rsidRPr="006A483A" w:rsidRDefault="005A7F94" w:rsidP="00EE509B">
            <w:pPr>
              <w:jc w:val="both"/>
              <w:rPr>
                <w:rFonts w:ascii="Arial" w:hAnsi="Arial" w:cs="Arial"/>
              </w:rPr>
            </w:pPr>
          </w:p>
        </w:tc>
      </w:tr>
      <w:tr w:rsidR="005A7F94" w:rsidRPr="009F52EE" w14:paraId="6E6E846A" w14:textId="77777777" w:rsidTr="00EE509B">
        <w:tc>
          <w:tcPr>
            <w:tcW w:w="2799" w:type="dxa"/>
          </w:tcPr>
          <w:p w14:paraId="06486603" w14:textId="427E88DB" w:rsidR="005A7F94" w:rsidRPr="009F52EE" w:rsidRDefault="005A7F94" w:rsidP="00EE509B">
            <w:pPr>
              <w:jc w:val="both"/>
              <w:rPr>
                <w:rFonts w:ascii="Arial" w:hAnsi="Arial" w:cs="Arial"/>
              </w:rPr>
            </w:pPr>
          </w:p>
        </w:tc>
        <w:tc>
          <w:tcPr>
            <w:tcW w:w="941" w:type="dxa"/>
          </w:tcPr>
          <w:p w14:paraId="227E2A14" w14:textId="77777777" w:rsidR="005A7F94" w:rsidRPr="009F52EE" w:rsidRDefault="005A7F94" w:rsidP="00EE509B">
            <w:pPr>
              <w:jc w:val="both"/>
              <w:rPr>
                <w:rFonts w:ascii="Arial" w:hAnsi="Arial" w:cs="Arial"/>
              </w:rPr>
            </w:pPr>
          </w:p>
        </w:tc>
        <w:tc>
          <w:tcPr>
            <w:tcW w:w="1121" w:type="dxa"/>
          </w:tcPr>
          <w:p w14:paraId="5D210274" w14:textId="3AA0B64D" w:rsidR="005A7F94" w:rsidRPr="006A483A" w:rsidRDefault="005A7F94" w:rsidP="00EE509B">
            <w:pPr>
              <w:jc w:val="both"/>
              <w:rPr>
                <w:rFonts w:ascii="Arial" w:hAnsi="Arial" w:cs="Arial"/>
              </w:rPr>
            </w:pPr>
          </w:p>
        </w:tc>
        <w:tc>
          <w:tcPr>
            <w:tcW w:w="1088" w:type="dxa"/>
          </w:tcPr>
          <w:p w14:paraId="5667F707" w14:textId="45CBE86F" w:rsidR="005A7F94" w:rsidRPr="006A483A" w:rsidRDefault="005A7F94" w:rsidP="00EE509B">
            <w:pPr>
              <w:jc w:val="both"/>
              <w:rPr>
                <w:rFonts w:ascii="Arial" w:hAnsi="Arial" w:cs="Arial"/>
              </w:rPr>
            </w:pPr>
          </w:p>
        </w:tc>
      </w:tr>
      <w:tr w:rsidR="005A7F94" w:rsidRPr="009F52EE" w14:paraId="7677809B" w14:textId="77777777" w:rsidTr="00EE509B">
        <w:tc>
          <w:tcPr>
            <w:tcW w:w="2799" w:type="dxa"/>
          </w:tcPr>
          <w:p w14:paraId="20DAC4A8" w14:textId="77777777" w:rsidR="005A7F94" w:rsidRPr="009F52EE" w:rsidRDefault="005A7F94" w:rsidP="00EE509B">
            <w:pPr>
              <w:pStyle w:val="NoSpacing"/>
              <w:jc w:val="both"/>
              <w:rPr>
                <w:rFonts w:ascii="Arial" w:hAnsi="Arial" w:cs="Arial"/>
                <w:lang w:eastAsia="en-US"/>
              </w:rPr>
            </w:pPr>
            <w:r w:rsidRPr="009F52EE">
              <w:rPr>
                <w:rFonts w:ascii="Arial" w:hAnsi="Arial" w:cs="Arial"/>
                <w:lang w:eastAsia="en-US"/>
              </w:rPr>
              <w:t xml:space="preserve">Total required </w:t>
            </w:r>
          </w:p>
        </w:tc>
        <w:tc>
          <w:tcPr>
            <w:tcW w:w="941" w:type="dxa"/>
          </w:tcPr>
          <w:p w14:paraId="03B7151C" w14:textId="77777777" w:rsidR="005A7F94" w:rsidRPr="009F52EE" w:rsidRDefault="005A7F94" w:rsidP="00EE509B">
            <w:pPr>
              <w:jc w:val="both"/>
              <w:rPr>
                <w:rFonts w:ascii="Arial" w:hAnsi="Arial" w:cs="Arial"/>
              </w:rPr>
            </w:pPr>
          </w:p>
        </w:tc>
        <w:tc>
          <w:tcPr>
            <w:tcW w:w="1121" w:type="dxa"/>
          </w:tcPr>
          <w:p w14:paraId="21B18FDE" w14:textId="77777777" w:rsidR="005A7F94" w:rsidRPr="006A483A" w:rsidRDefault="005A7F94" w:rsidP="00EE509B">
            <w:pPr>
              <w:jc w:val="both"/>
              <w:rPr>
                <w:rFonts w:ascii="Arial" w:hAnsi="Arial" w:cs="Arial"/>
              </w:rPr>
            </w:pPr>
          </w:p>
        </w:tc>
        <w:tc>
          <w:tcPr>
            <w:tcW w:w="1088" w:type="dxa"/>
          </w:tcPr>
          <w:p w14:paraId="33E8F012" w14:textId="6486929B" w:rsidR="005A7F94" w:rsidRPr="006A483A" w:rsidRDefault="005A7F94" w:rsidP="00EE509B">
            <w:pPr>
              <w:jc w:val="both"/>
              <w:rPr>
                <w:rFonts w:ascii="Arial" w:hAnsi="Arial" w:cs="Arial"/>
              </w:rPr>
            </w:pPr>
            <w:r w:rsidRPr="006A483A">
              <w:rPr>
                <w:rFonts w:ascii="Arial" w:hAnsi="Arial" w:cs="Arial"/>
              </w:rPr>
              <w:t>29</w:t>
            </w:r>
          </w:p>
        </w:tc>
      </w:tr>
    </w:tbl>
    <w:p w14:paraId="618DAA2D" w14:textId="77777777" w:rsidR="0057545E" w:rsidRDefault="0057545E" w:rsidP="0057545E"/>
    <w:p w14:paraId="22F82031" w14:textId="2FF8A379" w:rsidR="001B3897" w:rsidRDefault="004622FE" w:rsidP="0057545E">
      <w:pPr>
        <w:jc w:val="both"/>
      </w:pPr>
      <w:r>
        <w:t>It should be noted that the s</w:t>
      </w:r>
      <w:r w:rsidR="001B3897">
        <w:t xml:space="preserve">ubmitted Planning Statement relates to </w:t>
      </w:r>
      <w:r>
        <w:t xml:space="preserve">the previous application which was for 70 residential units and not the 58 proposed under this application. </w:t>
      </w:r>
    </w:p>
    <w:p w14:paraId="7274F1CD" w14:textId="77777777" w:rsidR="001B3897" w:rsidRDefault="001B3897" w:rsidP="0057545E">
      <w:pPr>
        <w:jc w:val="both"/>
      </w:pPr>
    </w:p>
    <w:p w14:paraId="6185A15E" w14:textId="77777777" w:rsidR="00427C98" w:rsidRDefault="0057545E" w:rsidP="0057545E">
      <w:pPr>
        <w:jc w:val="both"/>
      </w:pPr>
      <w:r>
        <w:t xml:space="preserve">Submitted </w:t>
      </w:r>
      <w:r w:rsidR="003D7618">
        <w:t xml:space="preserve">proposed ground floor plan </w:t>
      </w:r>
      <w:r w:rsidR="0052441A">
        <w:t xml:space="preserve">drawing </w:t>
      </w:r>
      <w:r w:rsidR="0052441A" w:rsidRPr="0052441A">
        <w:t xml:space="preserve">32508 /P012 </w:t>
      </w:r>
      <w:r w:rsidR="003D7618">
        <w:t xml:space="preserve"> </w:t>
      </w:r>
      <w:r>
        <w:t xml:space="preserve"> illustrate a total </w:t>
      </w:r>
      <w:r w:rsidR="00592179">
        <w:t>37</w:t>
      </w:r>
      <w:r>
        <w:t xml:space="preserve"> parking spaces located at ground level within an existing car park area</w:t>
      </w:r>
      <w:r w:rsidR="00427C98">
        <w:t xml:space="preserve"> This is inn excess of Zone 1 requirements.</w:t>
      </w:r>
    </w:p>
    <w:p w14:paraId="505CE81E" w14:textId="77777777" w:rsidR="00427C98" w:rsidRDefault="00427C98" w:rsidP="0057545E">
      <w:pPr>
        <w:jc w:val="both"/>
      </w:pPr>
    </w:p>
    <w:p w14:paraId="0B152628" w14:textId="3ABAD23D" w:rsidR="00F36AE0" w:rsidRDefault="0057545E" w:rsidP="0057545E">
      <w:pPr>
        <w:jc w:val="both"/>
      </w:pPr>
      <w:r>
        <w:t>For developments u</w:t>
      </w:r>
      <w:r w:rsidRPr="006C47BE">
        <w:t>p to 200 spaces</w:t>
      </w:r>
      <w:r>
        <w:t xml:space="preserve">, </w:t>
      </w:r>
      <w:r w:rsidRPr="006C47BE">
        <w:t>3 disabled spaces or 5% of total capacity,</w:t>
      </w:r>
      <w:r>
        <w:t xml:space="preserve"> </w:t>
      </w:r>
      <w:r w:rsidRPr="006C47BE">
        <w:t>whichever is greater</w:t>
      </w:r>
      <w:r>
        <w:t xml:space="preserve"> should be provided.  This application seeks to provide 2 disabled spaces which is deemed acceptable. </w:t>
      </w:r>
      <w:r w:rsidR="00F36AE0">
        <w:t xml:space="preserve">  </w:t>
      </w:r>
      <w:r w:rsidR="00427C98">
        <w:t>However,</w:t>
      </w:r>
      <w:r w:rsidR="00F36AE0">
        <w:t xml:space="preserve"> it is noted that a door </w:t>
      </w:r>
      <w:r w:rsidR="00CD772D">
        <w:t>open</w:t>
      </w:r>
      <w:r w:rsidR="00F36AE0">
        <w:t xml:space="preserve"> into </w:t>
      </w:r>
      <w:r w:rsidR="008813B1">
        <w:t xml:space="preserve">electric charging bay No </w:t>
      </w:r>
      <w:r w:rsidR="00CD772D">
        <w:t>22 as shown below.</w:t>
      </w:r>
      <w:r w:rsidR="0017635B">
        <w:t xml:space="preserve">  A vehicle parked in his bat would obstruct access to the bay and vice versa</w:t>
      </w:r>
    </w:p>
    <w:p w14:paraId="041C53A6" w14:textId="7844323B" w:rsidR="00CD772D" w:rsidRDefault="00CD772D" w:rsidP="0057545E">
      <w:pPr>
        <w:jc w:val="both"/>
      </w:pPr>
      <w:r w:rsidRPr="00CD772D">
        <w:rPr>
          <w:noProof/>
        </w:rPr>
        <w:drawing>
          <wp:inline distT="0" distB="0" distL="0" distR="0" wp14:anchorId="7A5DA807" wp14:editId="5EDD1BD1">
            <wp:extent cx="4093698" cy="1366078"/>
            <wp:effectExtent l="0" t="0" r="2540" b="5715"/>
            <wp:docPr id="636121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7726" cy="1367422"/>
                    </a:xfrm>
                    <a:prstGeom prst="rect">
                      <a:avLst/>
                    </a:prstGeom>
                    <a:noFill/>
                    <a:ln>
                      <a:noFill/>
                    </a:ln>
                  </pic:spPr>
                </pic:pic>
              </a:graphicData>
            </a:graphic>
          </wp:inline>
        </w:drawing>
      </w:r>
    </w:p>
    <w:p w14:paraId="12C66188" w14:textId="0889287A" w:rsidR="0057545E" w:rsidRDefault="0057545E" w:rsidP="0057545E">
      <w:pPr>
        <w:jc w:val="both"/>
      </w:pPr>
      <w:r>
        <w:t>No changes to the existing access</w:t>
      </w:r>
      <w:r w:rsidR="00640BB8">
        <w:t xml:space="preserve"> arrangements </w:t>
      </w:r>
      <w:r>
        <w:t>are proposed</w:t>
      </w:r>
      <w:r w:rsidR="00592179">
        <w:t>.</w:t>
      </w:r>
    </w:p>
    <w:p w14:paraId="49F66DA9" w14:textId="77777777" w:rsidR="00770ADD" w:rsidRDefault="00770ADD" w:rsidP="0057545E">
      <w:pPr>
        <w:jc w:val="both"/>
      </w:pPr>
    </w:p>
    <w:p w14:paraId="76F87912" w14:textId="77777777" w:rsidR="00770ADD" w:rsidRDefault="00770ADD" w:rsidP="0057545E">
      <w:pPr>
        <w:jc w:val="both"/>
      </w:pPr>
    </w:p>
    <w:p w14:paraId="61E3A1BD" w14:textId="77777777" w:rsidR="00770ADD" w:rsidRDefault="00770ADD" w:rsidP="0057545E">
      <w:pPr>
        <w:jc w:val="both"/>
      </w:pPr>
    </w:p>
    <w:p w14:paraId="222FD743" w14:textId="77777777" w:rsidR="00770ADD" w:rsidRDefault="00770ADD" w:rsidP="0057545E">
      <w:pPr>
        <w:jc w:val="both"/>
      </w:pPr>
    </w:p>
    <w:p w14:paraId="69B2A2F3" w14:textId="77777777" w:rsidR="00770ADD" w:rsidRDefault="00770ADD" w:rsidP="0057545E">
      <w:pPr>
        <w:jc w:val="both"/>
      </w:pPr>
    </w:p>
    <w:p w14:paraId="0E4DF87F" w14:textId="77777777" w:rsidR="00770ADD" w:rsidRDefault="00770ADD" w:rsidP="0057545E">
      <w:pPr>
        <w:jc w:val="both"/>
      </w:pPr>
    </w:p>
    <w:p w14:paraId="2A1FB233" w14:textId="77777777" w:rsidR="0057545E" w:rsidRDefault="0057545E" w:rsidP="0057545E">
      <w:pPr>
        <w:pStyle w:val="Default"/>
        <w:jc w:val="both"/>
        <w:rPr>
          <w:rFonts w:ascii="Trebuchet MS" w:hAnsi="Trebuchet MS" w:cs="Arial"/>
          <w:sz w:val="22"/>
          <w:szCs w:val="22"/>
        </w:rPr>
      </w:pPr>
    </w:p>
    <w:p w14:paraId="1D041005" w14:textId="77777777" w:rsidR="0057545E" w:rsidRPr="00F103EF" w:rsidRDefault="0057545E" w:rsidP="0057545E">
      <w:pPr>
        <w:pStyle w:val="Default"/>
        <w:jc w:val="both"/>
        <w:rPr>
          <w:rFonts w:asciiTheme="minorHAnsi" w:eastAsiaTheme="minorHAnsi" w:hAnsiTheme="minorHAnsi" w:cstheme="minorBidi"/>
          <w:color w:val="auto"/>
          <w:sz w:val="22"/>
          <w:szCs w:val="22"/>
          <w:lang w:eastAsia="en-US"/>
        </w:rPr>
      </w:pPr>
      <w:r w:rsidRPr="00F103EF">
        <w:rPr>
          <w:rFonts w:asciiTheme="minorHAnsi" w:eastAsiaTheme="minorHAnsi" w:hAnsiTheme="minorHAnsi" w:cstheme="minorBidi"/>
          <w:color w:val="auto"/>
          <w:sz w:val="22"/>
          <w:szCs w:val="22"/>
          <w:lang w:eastAsia="en-US"/>
        </w:rPr>
        <w:t xml:space="preserve">The Councils Residential Permit Parking Scheme operates in this area, therefore under the Borough’s current parking standards, this proposal would generate additional pressure for parking in the area, if this application is approved there should be an assumption that any future occupants of the proposed dwellings will not be issued with resident or visitor parking permits, this will ensure that the development does not harm the existing amenities of the neighbouring residential properties by adding to the already high level of on street car parking in the area.  </w:t>
      </w:r>
    </w:p>
    <w:p w14:paraId="3FE750DB" w14:textId="77777777" w:rsidR="0057545E" w:rsidRPr="00F103EF" w:rsidRDefault="0057545E" w:rsidP="0057545E">
      <w:pPr>
        <w:pStyle w:val="Default"/>
        <w:jc w:val="both"/>
        <w:rPr>
          <w:rFonts w:asciiTheme="minorHAnsi" w:eastAsiaTheme="minorHAnsi" w:hAnsiTheme="minorHAnsi" w:cstheme="minorBidi"/>
          <w:color w:val="auto"/>
          <w:sz w:val="22"/>
          <w:szCs w:val="22"/>
          <w:lang w:eastAsia="en-US"/>
        </w:rPr>
      </w:pPr>
    </w:p>
    <w:p w14:paraId="2815AE83" w14:textId="77777777" w:rsidR="0057545E" w:rsidRPr="00F103EF" w:rsidRDefault="0057545E" w:rsidP="0057545E">
      <w:pPr>
        <w:jc w:val="both"/>
      </w:pPr>
      <w:r w:rsidRPr="00F103EF">
        <w:t xml:space="preserve">In line with the Council’s adopted Parking Standards and Design SPD, each of the </w:t>
      </w:r>
      <w:proofErr w:type="gramStart"/>
      <w:r w:rsidRPr="00F103EF">
        <w:t>1 and 2 bedroom</w:t>
      </w:r>
      <w:proofErr w:type="gramEnd"/>
      <w:r w:rsidRPr="00F103EF">
        <w:t xml:space="preserve"> unit should be provided with 0.5 secure cycle parking, however under GPD we would not comment on this. </w:t>
      </w:r>
    </w:p>
    <w:p w14:paraId="62D49FF8" w14:textId="77777777" w:rsidR="0057545E" w:rsidRPr="00F103EF" w:rsidRDefault="0057545E" w:rsidP="0057545E">
      <w:pPr>
        <w:jc w:val="both"/>
      </w:pPr>
    </w:p>
    <w:p w14:paraId="1209D8C5" w14:textId="77777777" w:rsidR="0057545E" w:rsidRPr="00F103EF" w:rsidRDefault="0057545E" w:rsidP="0057545E">
      <w:pPr>
        <w:jc w:val="both"/>
      </w:pPr>
      <w:r w:rsidRPr="00F103EF">
        <w:t xml:space="preserve">Bin storage should comply with Manual for Streets and British Standard 5906: 2005 for Waste Management in Buildings and should be located no further than 10m from the access point of the site to avoid the stationing of service vehicles on the carriageway for excessive periods.  It is recommended that the Councils Waste Management team be contacted to ensure the correct capacity of bins is provided.  </w:t>
      </w:r>
    </w:p>
    <w:p w14:paraId="1ECDB1B8" w14:textId="77777777" w:rsidR="0057545E" w:rsidRPr="00F103EF" w:rsidRDefault="0057545E" w:rsidP="0057545E">
      <w:pPr>
        <w:pStyle w:val="Default"/>
        <w:jc w:val="both"/>
        <w:rPr>
          <w:rFonts w:asciiTheme="minorHAnsi" w:eastAsiaTheme="minorHAnsi" w:hAnsiTheme="minorHAnsi" w:cstheme="minorBidi"/>
          <w:color w:val="auto"/>
          <w:sz w:val="22"/>
          <w:szCs w:val="22"/>
          <w:lang w:eastAsia="en-US"/>
        </w:rPr>
      </w:pPr>
    </w:p>
    <w:p w14:paraId="0FB86688" w14:textId="77777777" w:rsidR="0057545E" w:rsidRDefault="0057545E" w:rsidP="0057545E">
      <w:pPr>
        <w:pStyle w:val="PlainText"/>
        <w:jc w:val="both"/>
        <w:rPr>
          <w:rFonts w:asciiTheme="minorHAnsi" w:hAnsiTheme="minorHAnsi"/>
          <w:szCs w:val="22"/>
        </w:rPr>
      </w:pPr>
      <w:r w:rsidRPr="00F103EF">
        <w:rPr>
          <w:rFonts w:asciiTheme="minorHAnsi" w:hAnsiTheme="minorHAnsi"/>
          <w:szCs w:val="22"/>
        </w:rPr>
        <w:t>There are no Transport objections to this permitted development application.</w:t>
      </w:r>
    </w:p>
    <w:p w14:paraId="30421AA4" w14:textId="77777777" w:rsidR="0057545E" w:rsidRDefault="0057545E" w:rsidP="0057545E">
      <w:pPr>
        <w:pStyle w:val="PlainText"/>
        <w:jc w:val="both"/>
        <w:rPr>
          <w:rFonts w:asciiTheme="minorHAnsi" w:hAnsiTheme="minorHAnsi"/>
          <w:szCs w:val="22"/>
        </w:rPr>
      </w:pPr>
    </w:p>
    <w:p w14:paraId="7304D7FF" w14:textId="77777777" w:rsidR="0057545E" w:rsidRDefault="0057545E" w:rsidP="0057545E">
      <w:pPr>
        <w:ind w:left="11" w:hanging="11"/>
        <w:jc w:val="both"/>
        <w:rPr>
          <w:rFonts w:ascii="Trebuchet MS" w:hAnsi="Trebuchet MS" w:cs="Arial"/>
          <w:b/>
        </w:rPr>
      </w:pPr>
      <w:r w:rsidRPr="00DE4E5C">
        <w:rPr>
          <w:rFonts w:ascii="Trebuchet MS" w:hAnsi="Trebuchet MS" w:cs="Arial"/>
          <w:b/>
        </w:rPr>
        <w:t>IF3</w:t>
      </w:r>
      <w:r w:rsidRPr="00DE4E5C">
        <w:rPr>
          <w:rFonts w:ascii="Trebuchet MS" w:hAnsi="Trebuchet MS" w:cs="Arial"/>
          <w:b/>
        </w:rPr>
        <w:tab/>
        <w:t>Highways</w:t>
      </w:r>
    </w:p>
    <w:p w14:paraId="1BDF4A59" w14:textId="77777777" w:rsidR="0057545E" w:rsidRPr="00DE4E5C" w:rsidRDefault="0057545E" w:rsidP="0057545E">
      <w:pPr>
        <w:ind w:right="29"/>
        <w:jc w:val="both"/>
        <w:rPr>
          <w:rFonts w:ascii="Trebuchet MS" w:hAnsi="Trebuchet MS"/>
          <w:b/>
        </w:rPr>
      </w:pPr>
      <w:r w:rsidRPr="00DE4E5C">
        <w:rPr>
          <w:rFonts w:ascii="Trebuchet MS" w:hAnsi="Trebuchet MS"/>
          <w:b/>
        </w:rPr>
        <w:t>I13</w:t>
      </w:r>
      <w:r w:rsidRPr="00DE4E5C">
        <w:rPr>
          <w:rFonts w:ascii="Trebuchet MS" w:hAnsi="Trebuchet MS"/>
          <w:b/>
        </w:rPr>
        <w:tab/>
        <w:t xml:space="preserve">Parking Permits  </w:t>
      </w:r>
    </w:p>
    <w:p w14:paraId="603403C8" w14:textId="77777777" w:rsidR="0057545E" w:rsidRDefault="0057545E" w:rsidP="0057545E">
      <w:pPr>
        <w:pStyle w:val="PlainText"/>
        <w:jc w:val="both"/>
        <w:rPr>
          <w:rFonts w:asciiTheme="minorHAnsi" w:hAnsiTheme="minorHAnsi"/>
          <w:szCs w:val="22"/>
        </w:rPr>
      </w:pPr>
    </w:p>
    <w:p w14:paraId="46820C7D" w14:textId="77777777" w:rsidR="0057545E" w:rsidRDefault="0057545E" w:rsidP="0057545E">
      <w:pPr>
        <w:pStyle w:val="PlainText"/>
        <w:jc w:val="both"/>
        <w:rPr>
          <w:rFonts w:asciiTheme="minorHAnsi" w:hAnsiTheme="minorHAnsi"/>
          <w:szCs w:val="22"/>
        </w:rPr>
      </w:pPr>
    </w:p>
    <w:p w14:paraId="0625E26B" w14:textId="77777777" w:rsidR="0057545E" w:rsidRPr="00C95B05" w:rsidRDefault="0057545E" w:rsidP="0057545E">
      <w:pPr>
        <w:pStyle w:val="PlainText"/>
        <w:jc w:val="both"/>
        <w:rPr>
          <w:rFonts w:asciiTheme="minorHAnsi" w:hAnsiTheme="minorHAnsi"/>
          <w:b/>
          <w:bCs/>
          <w:szCs w:val="22"/>
        </w:rPr>
      </w:pPr>
      <w:r w:rsidRPr="00C95B05">
        <w:rPr>
          <w:rFonts w:asciiTheme="minorHAnsi" w:hAnsiTheme="minorHAnsi"/>
          <w:b/>
          <w:bCs/>
          <w:szCs w:val="22"/>
        </w:rPr>
        <w:t>N. Hussain</w:t>
      </w:r>
    </w:p>
    <w:p w14:paraId="3DCB67C1" w14:textId="766BCF86" w:rsidR="0057545E" w:rsidRDefault="0057545E" w:rsidP="0057545E">
      <w:r w:rsidRPr="00C95B05">
        <w:rPr>
          <w:b/>
          <w:bCs/>
        </w:rPr>
        <w:t>Transport Development Control Advisor</w:t>
      </w:r>
    </w:p>
    <w:sectPr w:rsidR="0057545E" w:rsidSect="00770ADD">
      <w:pgSz w:w="11906" w:h="16838"/>
      <w:pgMar w:top="232" w:right="1440" w:bottom="23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712B7" w14:textId="77777777" w:rsidR="00770ADD" w:rsidRDefault="00770ADD" w:rsidP="00770ADD">
      <w:r>
        <w:separator/>
      </w:r>
    </w:p>
  </w:endnote>
  <w:endnote w:type="continuationSeparator" w:id="0">
    <w:p w14:paraId="196A63B1" w14:textId="77777777" w:rsidR="00770ADD" w:rsidRDefault="00770ADD" w:rsidP="00770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2C816" w14:textId="77777777" w:rsidR="00770ADD" w:rsidRDefault="00770ADD" w:rsidP="00770ADD">
      <w:r>
        <w:separator/>
      </w:r>
    </w:p>
  </w:footnote>
  <w:footnote w:type="continuationSeparator" w:id="0">
    <w:p w14:paraId="65332336" w14:textId="77777777" w:rsidR="00770ADD" w:rsidRDefault="00770ADD" w:rsidP="00770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9C6DC4"/>
    <w:multiLevelType w:val="hybridMultilevel"/>
    <w:tmpl w:val="6ED8E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7859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45E"/>
    <w:rsid w:val="0017635B"/>
    <w:rsid w:val="001B3897"/>
    <w:rsid w:val="003D7618"/>
    <w:rsid w:val="00427C98"/>
    <w:rsid w:val="004622FE"/>
    <w:rsid w:val="0052441A"/>
    <w:rsid w:val="0057545E"/>
    <w:rsid w:val="00592179"/>
    <w:rsid w:val="005A7F94"/>
    <w:rsid w:val="00640BB8"/>
    <w:rsid w:val="006A483A"/>
    <w:rsid w:val="006D0F65"/>
    <w:rsid w:val="00770ADD"/>
    <w:rsid w:val="008813B1"/>
    <w:rsid w:val="009777A7"/>
    <w:rsid w:val="00A35727"/>
    <w:rsid w:val="00CD772D"/>
    <w:rsid w:val="00D04AD4"/>
    <w:rsid w:val="00E050A8"/>
    <w:rsid w:val="00ED7CB8"/>
    <w:rsid w:val="00F2509F"/>
    <w:rsid w:val="00F36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66E9F"/>
  <w15:chartTrackingRefBased/>
  <w15:docId w15:val="{A6811983-1ACC-4437-B9E6-C8FDF53C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4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4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4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4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45E"/>
    <w:rPr>
      <w:rFonts w:eastAsiaTheme="majorEastAsia" w:cstheme="majorBidi"/>
      <w:color w:val="272727" w:themeColor="text1" w:themeTint="D8"/>
    </w:rPr>
  </w:style>
  <w:style w:type="paragraph" w:styleId="Title">
    <w:name w:val="Title"/>
    <w:basedOn w:val="Normal"/>
    <w:next w:val="Normal"/>
    <w:link w:val="TitleChar"/>
    <w:uiPriority w:val="10"/>
    <w:qFormat/>
    <w:rsid w:val="005754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45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4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545E"/>
    <w:rPr>
      <w:i/>
      <w:iCs/>
      <w:color w:val="404040" w:themeColor="text1" w:themeTint="BF"/>
    </w:rPr>
  </w:style>
  <w:style w:type="paragraph" w:styleId="ListParagraph">
    <w:name w:val="List Paragraph"/>
    <w:basedOn w:val="Normal"/>
    <w:uiPriority w:val="34"/>
    <w:qFormat/>
    <w:rsid w:val="0057545E"/>
    <w:pPr>
      <w:ind w:left="720"/>
      <w:contextualSpacing/>
    </w:pPr>
  </w:style>
  <w:style w:type="character" w:styleId="IntenseEmphasis">
    <w:name w:val="Intense Emphasis"/>
    <w:basedOn w:val="DefaultParagraphFont"/>
    <w:uiPriority w:val="21"/>
    <w:qFormat/>
    <w:rsid w:val="0057545E"/>
    <w:rPr>
      <w:i/>
      <w:iCs/>
      <w:color w:val="0F4761" w:themeColor="accent1" w:themeShade="BF"/>
    </w:rPr>
  </w:style>
  <w:style w:type="paragraph" w:styleId="IntenseQuote">
    <w:name w:val="Intense Quote"/>
    <w:basedOn w:val="Normal"/>
    <w:next w:val="Normal"/>
    <w:link w:val="IntenseQuoteChar"/>
    <w:uiPriority w:val="30"/>
    <w:qFormat/>
    <w:rsid w:val="00575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45E"/>
    <w:rPr>
      <w:i/>
      <w:iCs/>
      <w:color w:val="0F4761" w:themeColor="accent1" w:themeShade="BF"/>
    </w:rPr>
  </w:style>
  <w:style w:type="character" w:styleId="IntenseReference">
    <w:name w:val="Intense Reference"/>
    <w:basedOn w:val="DefaultParagraphFont"/>
    <w:uiPriority w:val="32"/>
    <w:qFormat/>
    <w:rsid w:val="0057545E"/>
    <w:rPr>
      <w:b/>
      <w:bCs/>
      <w:smallCaps/>
      <w:color w:val="0F4761" w:themeColor="accent1" w:themeShade="BF"/>
      <w:spacing w:val="5"/>
    </w:rPr>
  </w:style>
  <w:style w:type="table" w:styleId="TableGrid">
    <w:name w:val="Table Grid"/>
    <w:basedOn w:val="TableNormal"/>
    <w:uiPriority w:val="39"/>
    <w:rsid w:val="00575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7545E"/>
    <w:rPr>
      <w:rFonts w:ascii="Calibri" w:hAnsi="Calibri" w:cs="Calibri"/>
      <w:lang w:eastAsia="en-GB"/>
    </w:rPr>
  </w:style>
  <w:style w:type="paragraph" w:styleId="PlainText">
    <w:name w:val="Plain Text"/>
    <w:basedOn w:val="Normal"/>
    <w:link w:val="PlainTextChar"/>
    <w:uiPriority w:val="99"/>
    <w:unhideWhenUsed/>
    <w:rsid w:val="0057545E"/>
    <w:rPr>
      <w:rFonts w:ascii="Calibri" w:hAnsi="Calibri"/>
      <w:szCs w:val="21"/>
    </w:rPr>
  </w:style>
  <w:style w:type="character" w:customStyle="1" w:styleId="PlainTextChar">
    <w:name w:val="Plain Text Char"/>
    <w:basedOn w:val="DefaultParagraphFont"/>
    <w:link w:val="PlainText"/>
    <w:uiPriority w:val="99"/>
    <w:rsid w:val="0057545E"/>
    <w:rPr>
      <w:rFonts w:ascii="Calibri" w:hAnsi="Calibri"/>
      <w:szCs w:val="21"/>
    </w:rPr>
  </w:style>
  <w:style w:type="paragraph" w:customStyle="1" w:styleId="Default">
    <w:name w:val="Default"/>
    <w:rsid w:val="0057545E"/>
    <w:pPr>
      <w:autoSpaceDE w:val="0"/>
      <w:autoSpaceDN w:val="0"/>
      <w:adjustRightInd w:val="0"/>
    </w:pPr>
    <w:rPr>
      <w:rFonts w:ascii="Gadugi" w:eastAsia="Times New Roman" w:hAnsi="Gadugi" w:cs="Gadugi"/>
      <w:color w:val="000000"/>
      <w:sz w:val="24"/>
      <w:szCs w:val="24"/>
      <w:lang w:eastAsia="en-GB"/>
    </w:rPr>
  </w:style>
  <w:style w:type="paragraph" w:styleId="Header">
    <w:name w:val="header"/>
    <w:basedOn w:val="Normal"/>
    <w:link w:val="HeaderChar"/>
    <w:uiPriority w:val="99"/>
    <w:unhideWhenUsed/>
    <w:rsid w:val="00770ADD"/>
    <w:pPr>
      <w:tabs>
        <w:tab w:val="center" w:pos="4513"/>
        <w:tab w:val="right" w:pos="9026"/>
      </w:tabs>
    </w:pPr>
  </w:style>
  <w:style w:type="character" w:customStyle="1" w:styleId="HeaderChar">
    <w:name w:val="Header Char"/>
    <w:basedOn w:val="DefaultParagraphFont"/>
    <w:link w:val="Header"/>
    <w:uiPriority w:val="99"/>
    <w:rsid w:val="00770ADD"/>
  </w:style>
  <w:style w:type="paragraph" w:styleId="Footer">
    <w:name w:val="footer"/>
    <w:basedOn w:val="Normal"/>
    <w:link w:val="FooterChar"/>
    <w:uiPriority w:val="99"/>
    <w:unhideWhenUsed/>
    <w:rsid w:val="00770ADD"/>
    <w:pPr>
      <w:tabs>
        <w:tab w:val="center" w:pos="4513"/>
        <w:tab w:val="right" w:pos="9026"/>
      </w:tabs>
    </w:pPr>
  </w:style>
  <w:style w:type="character" w:customStyle="1" w:styleId="FooterChar">
    <w:name w:val="Footer Char"/>
    <w:basedOn w:val="DefaultParagraphFont"/>
    <w:link w:val="Footer"/>
    <w:uiPriority w:val="99"/>
    <w:rsid w:val="00770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18</cp:revision>
  <dcterms:created xsi:type="dcterms:W3CDTF">2025-09-29T16:12:00Z</dcterms:created>
  <dcterms:modified xsi:type="dcterms:W3CDTF">2025-09-29T16:47:00Z</dcterms:modified>
</cp:coreProperties>
</file>