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AEAF1" w14:textId="77777777" w:rsidR="00A373F2" w:rsidRDefault="00791930" w:rsidP="00791930">
      <w:pPr>
        <w:pStyle w:val="BodyA"/>
        <w:ind w:left="-851"/>
      </w:pPr>
      <w:r>
        <w:rPr>
          <w:noProof/>
        </w:rPr>
        <w:drawing>
          <wp:inline distT="0" distB="0" distL="0" distR="0" wp14:anchorId="317AEBB2" wp14:editId="59ECA8A1">
            <wp:extent cx="7614920" cy="1822450"/>
            <wp:effectExtent l="0" t="0" r="5080" b="6350"/>
            <wp:docPr id="1073741825" name="officeArt object" descr="GFLH"/>
            <wp:cNvGraphicFramePr/>
            <a:graphic xmlns:a="http://schemas.openxmlformats.org/drawingml/2006/main">
              <a:graphicData uri="http://schemas.openxmlformats.org/drawingml/2006/picture">
                <pic:pic xmlns:pic="http://schemas.openxmlformats.org/drawingml/2006/picture">
                  <pic:nvPicPr>
                    <pic:cNvPr id="1073741825" name="GFLH" descr="GFLH"/>
                    <pic:cNvPicPr>
                      <a:picLocks noChangeAspect="1"/>
                    </pic:cNvPicPr>
                  </pic:nvPicPr>
                  <pic:blipFill>
                    <a:blip r:embed="rId7"/>
                    <a:stretch>
                      <a:fillRect/>
                    </a:stretch>
                  </pic:blipFill>
                  <pic:spPr>
                    <a:xfrm>
                      <a:off x="0" y="0"/>
                      <a:ext cx="7616851" cy="1822912"/>
                    </a:xfrm>
                    <a:prstGeom prst="rect">
                      <a:avLst/>
                    </a:prstGeom>
                    <a:ln w="12700" cap="flat">
                      <a:noFill/>
                      <a:miter lim="400000"/>
                    </a:ln>
                    <a:effectLst/>
                  </pic:spPr>
                </pic:pic>
              </a:graphicData>
            </a:graphic>
          </wp:inline>
        </w:drawing>
      </w:r>
    </w:p>
    <w:p w14:paraId="317AEAF2" w14:textId="77777777" w:rsidR="00A373F2" w:rsidRDefault="00791930">
      <w:pPr>
        <w:pStyle w:val="BodyA"/>
        <w:ind w:right="1110"/>
        <w:jc w:val="center"/>
        <w:rPr>
          <w:rFonts w:ascii="Arial" w:eastAsia="Arial" w:hAnsi="Arial" w:cs="Arial"/>
          <w:b/>
          <w:bCs/>
          <w:sz w:val="36"/>
          <w:szCs w:val="36"/>
          <w:lang w:val="en-US"/>
        </w:rPr>
      </w:pPr>
      <w:r>
        <w:rPr>
          <w:rFonts w:ascii="Arial" w:hAnsi="Arial"/>
          <w:b/>
          <w:bCs/>
          <w:sz w:val="36"/>
          <w:szCs w:val="36"/>
          <w:lang w:val="en-US"/>
        </w:rPr>
        <w:t>DESIGN AND ACCESS STATEMENT FOR:</w:t>
      </w:r>
    </w:p>
    <w:p w14:paraId="317AEAF3" w14:textId="77777777" w:rsidR="00A373F2" w:rsidRDefault="00A373F2">
      <w:pPr>
        <w:pStyle w:val="BodyA"/>
        <w:ind w:right="1110"/>
        <w:jc w:val="center"/>
        <w:rPr>
          <w:sz w:val="36"/>
          <w:szCs w:val="36"/>
        </w:rPr>
      </w:pPr>
    </w:p>
    <w:p w14:paraId="317AEAF4" w14:textId="77777777" w:rsidR="00A373F2" w:rsidRDefault="00791930">
      <w:pPr>
        <w:pStyle w:val="BodyA"/>
        <w:ind w:right="1110"/>
        <w:jc w:val="center"/>
        <w:rPr>
          <w:rFonts w:ascii="Arial" w:eastAsia="Arial" w:hAnsi="Arial" w:cs="Arial"/>
          <w:sz w:val="36"/>
          <w:szCs w:val="36"/>
        </w:rPr>
      </w:pPr>
      <w:r>
        <w:rPr>
          <w:rFonts w:ascii="Arial" w:hAnsi="Arial"/>
          <w:b/>
          <w:bCs/>
          <w:sz w:val="36"/>
          <w:szCs w:val="36"/>
          <w:lang w:val="en-US"/>
        </w:rPr>
        <w:t>ERECTION OF 2 BED DETACHED BUNGALOW</w:t>
      </w:r>
    </w:p>
    <w:p w14:paraId="317AEAF5" w14:textId="77777777" w:rsidR="00A373F2" w:rsidRDefault="00791930">
      <w:pPr>
        <w:pStyle w:val="BodyA"/>
        <w:spacing w:after="0"/>
        <w:ind w:right="1110"/>
        <w:jc w:val="center"/>
        <w:rPr>
          <w:rFonts w:ascii="Arial" w:eastAsia="Arial" w:hAnsi="Arial" w:cs="Arial"/>
          <w:b/>
          <w:bCs/>
          <w:sz w:val="40"/>
          <w:szCs w:val="40"/>
        </w:rPr>
      </w:pPr>
      <w:r>
        <w:rPr>
          <w:rFonts w:ascii="Arial" w:hAnsi="Arial"/>
          <w:b/>
          <w:bCs/>
          <w:sz w:val="36"/>
          <w:szCs w:val="36"/>
          <w:lang w:val="en-US"/>
        </w:rPr>
        <w:t>110 NORCOT ROAD, TILEHURST, READING, RG30 6BT</w:t>
      </w:r>
    </w:p>
    <w:p w14:paraId="317AEAF6" w14:textId="77777777" w:rsidR="00A373F2" w:rsidRDefault="00A373F2">
      <w:pPr>
        <w:pStyle w:val="BodyA"/>
        <w:ind w:right="1110"/>
        <w:rPr>
          <w:rFonts w:ascii="Arial" w:eastAsia="Arial" w:hAnsi="Arial" w:cs="Arial"/>
          <w:b/>
          <w:bCs/>
          <w:sz w:val="40"/>
          <w:szCs w:val="40"/>
        </w:rPr>
      </w:pPr>
    </w:p>
    <w:p w14:paraId="317AEAF7" w14:textId="77777777" w:rsidR="00A373F2" w:rsidRDefault="00791930">
      <w:pPr>
        <w:pStyle w:val="Default"/>
        <w:ind w:right="1394"/>
        <w:jc w:val="both"/>
        <w:rPr>
          <w:b/>
          <w:bCs/>
        </w:rPr>
      </w:pPr>
      <w:r>
        <w:rPr>
          <w:b/>
          <w:bCs/>
        </w:rPr>
        <w:t>To be read in conjunction with:</w:t>
      </w:r>
    </w:p>
    <w:p w14:paraId="317AEAF8" w14:textId="77777777" w:rsidR="00A373F2" w:rsidRDefault="00A373F2">
      <w:pPr>
        <w:pStyle w:val="Default"/>
        <w:ind w:right="1394"/>
        <w:jc w:val="both"/>
        <w:rPr>
          <w:b/>
          <w:bCs/>
        </w:rPr>
      </w:pPr>
    </w:p>
    <w:p w14:paraId="317AEAF9" w14:textId="77777777" w:rsidR="00A373F2" w:rsidRDefault="00791930">
      <w:pPr>
        <w:pStyle w:val="Default"/>
        <w:ind w:right="1394"/>
        <w:jc w:val="both"/>
      </w:pPr>
      <w:r>
        <w:t>01 Existing Plans &amp; Elevations &amp; Location Plan</w:t>
      </w:r>
    </w:p>
    <w:p w14:paraId="317AEAFA" w14:textId="77777777" w:rsidR="00A373F2" w:rsidRDefault="00791930">
      <w:pPr>
        <w:pStyle w:val="Default"/>
        <w:ind w:right="1394"/>
        <w:jc w:val="both"/>
      </w:pPr>
      <w:r>
        <w:t>02 Proposed Plans &amp; Elevations &amp; Site Block Plan</w:t>
      </w:r>
    </w:p>
    <w:p w14:paraId="317AEAFB" w14:textId="77777777" w:rsidR="00A373F2" w:rsidRDefault="00791930">
      <w:pPr>
        <w:pStyle w:val="Default"/>
        <w:ind w:right="1394"/>
        <w:jc w:val="both"/>
      </w:pPr>
      <w:r>
        <w:t>03 Landscape Plan</w:t>
      </w:r>
    </w:p>
    <w:p w14:paraId="317AEAFC" w14:textId="77777777" w:rsidR="00A373F2" w:rsidRDefault="00791930">
      <w:pPr>
        <w:pStyle w:val="Default"/>
        <w:ind w:right="1394"/>
        <w:jc w:val="both"/>
      </w:pPr>
      <w:r>
        <w:t>04 Construction Site Plan</w:t>
      </w:r>
    </w:p>
    <w:p w14:paraId="317AEAFE" w14:textId="478DB343" w:rsidR="00A373F2" w:rsidRDefault="00791930" w:rsidP="00791930">
      <w:pPr>
        <w:pStyle w:val="Default"/>
        <w:ind w:right="1394"/>
        <w:jc w:val="both"/>
      </w:pPr>
      <w:r>
        <w:t>CMS Construction Method Statement</w:t>
      </w:r>
    </w:p>
    <w:p w14:paraId="239619FD" w14:textId="7756708B" w:rsidR="007F06FA" w:rsidRDefault="007F06FA" w:rsidP="00791930">
      <w:pPr>
        <w:pStyle w:val="Default"/>
        <w:ind w:right="1394"/>
        <w:jc w:val="both"/>
      </w:pPr>
      <w:r>
        <w:t>05 Viability assessments f</w:t>
      </w:r>
      <w:r w:rsidR="00AA0B7B">
        <w:t xml:space="preserve">rom </w:t>
      </w:r>
      <w:r w:rsidR="00E064B5">
        <w:t xml:space="preserve">Sansome &amp; George and </w:t>
      </w:r>
      <w:r w:rsidR="00953563">
        <w:t>Lansley’s</w:t>
      </w:r>
      <w:r w:rsidR="00B01F3E">
        <w:t xml:space="preserve"> Estate Agents </w:t>
      </w:r>
    </w:p>
    <w:p w14:paraId="317AEAFF" w14:textId="27609F0B" w:rsidR="00A373F2" w:rsidRPr="00FD0CE2" w:rsidRDefault="00953563">
      <w:pPr>
        <w:pStyle w:val="BodyA"/>
        <w:ind w:right="1110"/>
        <w:rPr>
          <w:rFonts w:ascii="Arial" w:eastAsia="Arial" w:hAnsi="Arial" w:cs="Arial"/>
        </w:rPr>
      </w:pPr>
      <w:r w:rsidRPr="00FD0CE2">
        <w:rPr>
          <w:rFonts w:ascii="Arial" w:eastAsia="Arial" w:hAnsi="Arial" w:cs="Arial"/>
        </w:rPr>
        <w:t>06 Sustainability</w:t>
      </w:r>
      <w:r w:rsidR="00FD0CE2" w:rsidRPr="00FD0CE2">
        <w:rPr>
          <w:rFonts w:ascii="Arial" w:eastAsia="Arial" w:hAnsi="Arial" w:cs="Arial"/>
        </w:rPr>
        <w:t xml:space="preserve"> SAP report provided </w:t>
      </w:r>
    </w:p>
    <w:p w14:paraId="78772D70" w14:textId="77777777" w:rsidR="00791930" w:rsidRDefault="00791930">
      <w:pPr>
        <w:pStyle w:val="BodyA"/>
        <w:ind w:right="1110"/>
        <w:rPr>
          <w:rFonts w:ascii="Arial" w:eastAsia="Arial" w:hAnsi="Arial" w:cs="Arial"/>
          <w:b/>
          <w:bCs/>
        </w:rPr>
      </w:pPr>
    </w:p>
    <w:p w14:paraId="01712823" w14:textId="77777777" w:rsidR="00791930" w:rsidRDefault="00791930">
      <w:pPr>
        <w:pStyle w:val="BodyA"/>
        <w:ind w:right="1110"/>
        <w:rPr>
          <w:rFonts w:ascii="Arial" w:eastAsia="Arial" w:hAnsi="Arial" w:cs="Arial"/>
          <w:b/>
          <w:bCs/>
        </w:rPr>
      </w:pPr>
    </w:p>
    <w:p w14:paraId="1DFCA5F4" w14:textId="77777777" w:rsidR="00791930" w:rsidRDefault="00791930">
      <w:pPr>
        <w:pStyle w:val="BodyA"/>
        <w:ind w:right="1110"/>
        <w:rPr>
          <w:rFonts w:ascii="Arial" w:eastAsia="Arial" w:hAnsi="Arial" w:cs="Arial"/>
          <w:b/>
          <w:bCs/>
        </w:rPr>
      </w:pPr>
    </w:p>
    <w:p w14:paraId="78321216" w14:textId="77777777" w:rsidR="00791930" w:rsidRDefault="00791930">
      <w:pPr>
        <w:pStyle w:val="BodyA"/>
        <w:ind w:right="1110"/>
        <w:rPr>
          <w:rFonts w:ascii="Arial" w:eastAsia="Arial" w:hAnsi="Arial" w:cs="Arial"/>
          <w:b/>
          <w:bCs/>
        </w:rPr>
      </w:pPr>
    </w:p>
    <w:p w14:paraId="1C897FFE" w14:textId="77777777" w:rsidR="00791930" w:rsidRDefault="00791930">
      <w:pPr>
        <w:pStyle w:val="BodyA"/>
        <w:ind w:right="1110"/>
        <w:rPr>
          <w:rFonts w:ascii="Arial" w:eastAsia="Arial" w:hAnsi="Arial" w:cs="Arial"/>
          <w:b/>
          <w:bCs/>
        </w:rPr>
      </w:pPr>
    </w:p>
    <w:p w14:paraId="32273B35" w14:textId="77777777" w:rsidR="00791930" w:rsidRDefault="00791930">
      <w:pPr>
        <w:pStyle w:val="BodyA"/>
        <w:ind w:right="1110"/>
        <w:rPr>
          <w:rFonts w:ascii="Arial" w:eastAsia="Arial" w:hAnsi="Arial" w:cs="Arial"/>
          <w:b/>
          <w:bCs/>
        </w:rPr>
      </w:pPr>
    </w:p>
    <w:p w14:paraId="613F7D5E" w14:textId="77777777" w:rsidR="00791930" w:rsidRDefault="00791930">
      <w:pPr>
        <w:pStyle w:val="BodyA"/>
        <w:ind w:right="1110"/>
        <w:rPr>
          <w:rFonts w:ascii="Arial" w:eastAsia="Arial" w:hAnsi="Arial" w:cs="Arial"/>
          <w:b/>
          <w:bCs/>
        </w:rPr>
      </w:pPr>
    </w:p>
    <w:p w14:paraId="72C83A5C" w14:textId="77777777" w:rsidR="00791930" w:rsidRDefault="00791930">
      <w:pPr>
        <w:pStyle w:val="BodyA"/>
        <w:ind w:right="1110"/>
        <w:rPr>
          <w:rFonts w:ascii="Arial" w:eastAsia="Arial" w:hAnsi="Arial" w:cs="Arial"/>
          <w:b/>
          <w:bCs/>
        </w:rPr>
      </w:pPr>
    </w:p>
    <w:p w14:paraId="7BDD05CF" w14:textId="77777777" w:rsidR="00791930" w:rsidRDefault="00791930">
      <w:pPr>
        <w:pStyle w:val="BodyA"/>
        <w:ind w:right="1110"/>
        <w:rPr>
          <w:rFonts w:ascii="Arial" w:eastAsia="Arial" w:hAnsi="Arial" w:cs="Arial"/>
          <w:b/>
          <w:bCs/>
        </w:rPr>
      </w:pPr>
    </w:p>
    <w:p w14:paraId="2B655B57" w14:textId="77777777" w:rsidR="00791930" w:rsidRDefault="00791930">
      <w:pPr>
        <w:pStyle w:val="BodyA"/>
        <w:ind w:right="1110"/>
        <w:rPr>
          <w:rFonts w:ascii="Arial" w:eastAsia="Arial" w:hAnsi="Arial" w:cs="Arial"/>
          <w:b/>
          <w:bCs/>
        </w:rPr>
      </w:pPr>
    </w:p>
    <w:p w14:paraId="163FF97F" w14:textId="77777777" w:rsidR="00791930" w:rsidRDefault="00791930">
      <w:pPr>
        <w:pStyle w:val="BodyA"/>
        <w:ind w:right="1110"/>
        <w:rPr>
          <w:rFonts w:ascii="Arial" w:eastAsia="Arial" w:hAnsi="Arial" w:cs="Arial"/>
          <w:b/>
          <w:bCs/>
        </w:rPr>
      </w:pPr>
    </w:p>
    <w:p w14:paraId="25F9B815" w14:textId="77777777" w:rsidR="00791930" w:rsidRDefault="00791930">
      <w:pPr>
        <w:pStyle w:val="BodyA"/>
        <w:ind w:right="1110"/>
        <w:rPr>
          <w:rFonts w:ascii="Arial" w:eastAsia="Arial" w:hAnsi="Arial" w:cs="Arial"/>
          <w:b/>
          <w:bCs/>
        </w:rPr>
      </w:pPr>
    </w:p>
    <w:p w14:paraId="442819FC" w14:textId="77777777" w:rsidR="00791930" w:rsidRDefault="00791930">
      <w:pPr>
        <w:pStyle w:val="BodyA"/>
        <w:ind w:right="1110"/>
        <w:rPr>
          <w:rFonts w:ascii="Arial" w:eastAsia="Arial" w:hAnsi="Arial" w:cs="Arial"/>
          <w:b/>
          <w:bCs/>
        </w:rPr>
      </w:pPr>
    </w:p>
    <w:p w14:paraId="430E2509" w14:textId="77777777" w:rsidR="00791930" w:rsidRDefault="00791930">
      <w:pPr>
        <w:pStyle w:val="BodyA"/>
        <w:ind w:right="1110"/>
        <w:rPr>
          <w:rFonts w:ascii="Arial" w:eastAsia="Arial" w:hAnsi="Arial" w:cs="Arial"/>
          <w:b/>
          <w:bCs/>
        </w:rPr>
      </w:pPr>
    </w:p>
    <w:p w14:paraId="3DCD111F" w14:textId="28490A10" w:rsidR="00791930" w:rsidRPr="00791930" w:rsidRDefault="00791930" w:rsidP="00791930">
      <w:pPr>
        <w:pStyle w:val="BodyA"/>
        <w:numPr>
          <w:ilvl w:val="0"/>
          <w:numId w:val="5"/>
        </w:numPr>
        <w:ind w:right="1110"/>
        <w:jc w:val="center"/>
        <w:rPr>
          <w:rFonts w:ascii="Arial" w:eastAsia="Arial" w:hAnsi="Arial" w:cs="Arial"/>
          <w:b/>
          <w:bCs/>
        </w:rPr>
      </w:pPr>
    </w:p>
    <w:p w14:paraId="317AEB01" w14:textId="77777777" w:rsidR="00A373F2" w:rsidRDefault="00791930">
      <w:pPr>
        <w:pStyle w:val="Default"/>
        <w:ind w:right="1394"/>
        <w:jc w:val="both"/>
        <w:rPr>
          <w:b/>
          <w:bCs/>
        </w:rPr>
      </w:pPr>
      <w:r>
        <w:rPr>
          <w:b/>
          <w:bCs/>
        </w:rPr>
        <w:t xml:space="preserve">Planning Policies </w:t>
      </w:r>
    </w:p>
    <w:p w14:paraId="317AEB02" w14:textId="77777777" w:rsidR="00A373F2" w:rsidRDefault="00A373F2">
      <w:pPr>
        <w:pStyle w:val="Default"/>
        <w:ind w:right="1394"/>
        <w:jc w:val="both"/>
      </w:pPr>
    </w:p>
    <w:p w14:paraId="317AEB03" w14:textId="77777777" w:rsidR="00A373F2" w:rsidRDefault="00791930">
      <w:pPr>
        <w:pStyle w:val="Default"/>
        <w:spacing w:after="240"/>
      </w:pPr>
      <w: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w:t>
      </w:r>
      <w:proofErr w:type="spellStart"/>
      <w:r>
        <w:t>favour</w:t>
      </w:r>
      <w:proofErr w:type="spellEnd"/>
      <w:r>
        <w:t xml:space="preserve"> of sustainable development'. </w:t>
      </w:r>
    </w:p>
    <w:p w14:paraId="317AEB04" w14:textId="77777777" w:rsidR="00A373F2" w:rsidRDefault="00791930">
      <w:pPr>
        <w:pStyle w:val="Default"/>
        <w:spacing w:after="240"/>
      </w:pPr>
      <w:r>
        <w:t xml:space="preserve">The following local and national planning policy and guidance </w:t>
      </w:r>
      <w:proofErr w:type="gramStart"/>
      <w:r>
        <w:t>is</w:t>
      </w:r>
      <w:proofErr w:type="gramEnd"/>
      <w:r>
        <w:t xml:space="preserve"> relevant to this application and/or is addressed in this document or attached documents listed above: </w:t>
      </w:r>
    </w:p>
    <w:p w14:paraId="317AEB05" w14:textId="77777777" w:rsidR="00A373F2" w:rsidRDefault="00791930">
      <w:pPr>
        <w:pStyle w:val="Default"/>
      </w:pPr>
      <w:r>
        <w:rPr>
          <w:b/>
          <w:bCs/>
          <w:u w:val="single"/>
        </w:rPr>
        <w:t>National Planning Policy Framework (2023)</w:t>
      </w:r>
      <w:r>
        <w:br/>
        <w:t xml:space="preserve">The following NPPF chapters are the most relevant (others apply to a lesser extent): </w:t>
      </w:r>
    </w:p>
    <w:p w14:paraId="317AEB06" w14:textId="77777777" w:rsidR="00A373F2" w:rsidRDefault="00791930">
      <w:pPr>
        <w:pStyle w:val="Default"/>
      </w:pPr>
      <w:r>
        <w:t>2. Achieving sustainable development</w:t>
      </w:r>
      <w:r>
        <w:br/>
      </w:r>
      <w:proofErr w:type="gramStart"/>
      <w:r>
        <w:t>4</w:t>
      </w:r>
      <w:proofErr w:type="gramEnd"/>
      <w:r>
        <w:t>. Decision-making</w:t>
      </w:r>
      <w:r>
        <w:br/>
      </w:r>
      <w:proofErr w:type="gramStart"/>
      <w:r>
        <w:t>5</w:t>
      </w:r>
      <w:proofErr w:type="gramEnd"/>
      <w:r>
        <w:t>. Delivering a sufficient supply of homes</w:t>
      </w:r>
      <w:r>
        <w:br/>
      </w:r>
      <w:proofErr w:type="gramStart"/>
      <w:r>
        <w:t>8</w:t>
      </w:r>
      <w:proofErr w:type="gramEnd"/>
      <w:r>
        <w:t>. Promoting healthy and safe communities</w:t>
      </w:r>
      <w:r>
        <w:br/>
      </w:r>
      <w:proofErr w:type="gramStart"/>
      <w:r>
        <w:t>9</w:t>
      </w:r>
      <w:proofErr w:type="gramEnd"/>
      <w:r>
        <w:t>. Promoting sustainable transport</w:t>
      </w:r>
      <w:r>
        <w:br/>
      </w:r>
      <w:proofErr w:type="gramStart"/>
      <w:r>
        <w:t>11</w:t>
      </w:r>
      <w:proofErr w:type="gramEnd"/>
      <w:r>
        <w:t>. Making effective use of land</w:t>
      </w:r>
      <w:r>
        <w:br/>
      </w:r>
      <w:proofErr w:type="gramStart"/>
      <w:r>
        <w:t>12</w:t>
      </w:r>
      <w:proofErr w:type="gramEnd"/>
      <w:r>
        <w:t xml:space="preserve">. Achieving well-designed and beautiful places </w:t>
      </w:r>
    </w:p>
    <w:p w14:paraId="317AEB07" w14:textId="77777777" w:rsidR="00A373F2" w:rsidRDefault="00A373F2">
      <w:pPr>
        <w:pStyle w:val="Default"/>
        <w:rPr>
          <w:u w:val="single"/>
        </w:rPr>
      </w:pPr>
    </w:p>
    <w:p w14:paraId="317AEB08" w14:textId="77777777" w:rsidR="00A373F2" w:rsidRDefault="00791930">
      <w:pPr>
        <w:pStyle w:val="Default"/>
        <w:rPr>
          <w14:textOutline w14:w="0" w14:cap="flat" w14:cmpd="sng" w14:algn="ctr">
            <w14:noFill/>
            <w14:prstDash w14:val="solid"/>
            <w14:bevel/>
          </w14:textOutline>
        </w:rPr>
      </w:pPr>
      <w:r>
        <w:rPr>
          <w:b/>
          <w:bCs/>
          <w:u w:val="single"/>
          <w14:textOutline w14:w="0" w14:cap="flat" w14:cmpd="sng" w14:algn="ctr">
            <w14:noFill/>
            <w14:prstDash w14:val="solid"/>
            <w14:bevel/>
          </w14:textOutline>
        </w:rPr>
        <w:t>Reading Borough Local Plan (2019)</w:t>
      </w:r>
      <w:r>
        <w:rPr>
          <w14:textOutline w14:w="0" w14:cap="flat" w14:cmpd="sng" w14:algn="ctr">
            <w14:noFill/>
            <w14:prstDash w14:val="solid"/>
            <w14:bevel/>
          </w14:textOutline>
        </w:rPr>
        <w:br/>
        <w:t xml:space="preserve">CC1: Presumption in </w:t>
      </w:r>
      <w:proofErr w:type="spellStart"/>
      <w:r>
        <w:rPr>
          <w14:textOutline w14:w="0" w14:cap="flat" w14:cmpd="sng" w14:algn="ctr">
            <w14:noFill/>
            <w14:prstDash w14:val="solid"/>
            <w14:bevel/>
          </w14:textOutline>
        </w:rPr>
        <w:t>Favour</w:t>
      </w:r>
      <w:proofErr w:type="spellEnd"/>
      <w:r>
        <w:rPr>
          <w14:textOutline w14:w="0" w14:cap="flat" w14:cmpd="sng" w14:algn="ctr">
            <w14:noFill/>
            <w14:prstDash w14:val="solid"/>
            <w14:bevel/>
          </w14:textOutline>
        </w:rPr>
        <w:t xml:space="preserve"> of Sustainable Development </w:t>
      </w:r>
    </w:p>
    <w:p w14:paraId="317AEB09"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CC2: Sustainable Design and Construction</w:t>
      </w:r>
      <w:r>
        <w:rPr>
          <w14:textOutline w14:w="0" w14:cap="flat" w14:cmpd="sng" w14:algn="ctr">
            <w14:noFill/>
            <w14:prstDash w14:val="solid"/>
            <w14:bevel/>
          </w14:textOutline>
        </w:rPr>
        <w:br/>
        <w:t>CC3: Adaptation to Climate Change</w:t>
      </w:r>
      <w:r>
        <w:rPr>
          <w14:textOutline w14:w="0" w14:cap="flat" w14:cmpd="sng" w14:algn="ctr">
            <w14:noFill/>
            <w14:prstDash w14:val="solid"/>
            <w14:bevel/>
          </w14:textOutline>
        </w:rPr>
        <w:br/>
        <w:t xml:space="preserve">CC5: Waste </w:t>
      </w:r>
      <w:proofErr w:type="spellStart"/>
      <w:r>
        <w:rPr>
          <w14:textOutline w14:w="0" w14:cap="flat" w14:cmpd="sng" w14:algn="ctr">
            <w14:noFill/>
            <w14:prstDash w14:val="solid"/>
            <w14:bevel/>
          </w14:textOutline>
        </w:rPr>
        <w:t>Minimisation</w:t>
      </w:r>
      <w:proofErr w:type="spellEnd"/>
      <w:r>
        <w:rPr>
          <w14:textOutline w14:w="0" w14:cap="flat" w14:cmpd="sng" w14:algn="ctr">
            <w14:noFill/>
            <w14:prstDash w14:val="solid"/>
            <w14:bevel/>
          </w14:textOutline>
        </w:rPr>
        <w:t xml:space="preserve"> and Storage </w:t>
      </w:r>
    </w:p>
    <w:p w14:paraId="317AEB0A"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 xml:space="preserve">CC6: Accessibility and the Intensity of Development </w:t>
      </w:r>
    </w:p>
    <w:p w14:paraId="317AEB0B"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CC7:  Design and the Public Realm</w:t>
      </w:r>
      <w:r>
        <w:rPr>
          <w14:textOutline w14:w="0" w14:cap="flat" w14:cmpd="sng" w14:algn="ctr">
            <w14:noFill/>
            <w14:prstDash w14:val="solid"/>
            <w14:bevel/>
          </w14:textOutline>
        </w:rPr>
        <w:br/>
        <w:t>CC8: Safeguarding Amenity</w:t>
      </w:r>
      <w:r>
        <w:rPr>
          <w14:textOutline w14:w="0" w14:cap="flat" w14:cmpd="sng" w14:algn="ctr">
            <w14:noFill/>
            <w14:prstDash w14:val="solid"/>
            <w14:bevel/>
          </w14:textOutline>
        </w:rPr>
        <w:br/>
        <w:t xml:space="preserve">CC9: Securing Infrastructure </w:t>
      </w:r>
    </w:p>
    <w:p w14:paraId="317AEB0C"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 xml:space="preserve">EN12: Biodiversity and the Green Network </w:t>
      </w:r>
    </w:p>
    <w:p w14:paraId="317AEB0D"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EN14: Trees, Hedges and Woodland</w:t>
      </w:r>
    </w:p>
    <w:p w14:paraId="317AEB0E"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EN15: Air Quality</w:t>
      </w:r>
      <w:r>
        <w:rPr>
          <w14:textOutline w14:w="0" w14:cap="flat" w14:cmpd="sng" w14:algn="ctr">
            <w14:noFill/>
            <w14:prstDash w14:val="solid"/>
            <w14:bevel/>
          </w14:textOutline>
        </w:rPr>
        <w:br/>
        <w:t>EN16: Pollution and Water Resources</w:t>
      </w:r>
    </w:p>
    <w:p w14:paraId="317AEB0F"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H1: Provision of Housing</w:t>
      </w:r>
      <w:r>
        <w:rPr>
          <w14:textOutline w14:w="0" w14:cap="flat" w14:cmpd="sng" w14:algn="ctr">
            <w14:noFill/>
            <w14:prstDash w14:val="solid"/>
            <w14:bevel/>
          </w14:textOutline>
        </w:rPr>
        <w:br/>
        <w:t>H2: Density and Mix</w:t>
      </w:r>
      <w:r>
        <w:rPr>
          <w14:textOutline w14:w="0" w14:cap="flat" w14:cmpd="sng" w14:algn="ctr">
            <w14:noFill/>
            <w14:prstDash w14:val="solid"/>
            <w14:bevel/>
          </w14:textOutline>
        </w:rPr>
        <w:br/>
        <w:t>H3: Affordable Housing</w:t>
      </w:r>
      <w:r>
        <w:rPr>
          <w14:textOutline w14:w="0" w14:cap="flat" w14:cmpd="sng" w14:algn="ctr">
            <w14:noFill/>
            <w14:prstDash w14:val="solid"/>
            <w14:bevel/>
          </w14:textOutline>
        </w:rPr>
        <w:br/>
        <w:t>H5: Standards for New Housing</w:t>
      </w:r>
      <w:r>
        <w:rPr>
          <w14:textOutline w14:w="0" w14:cap="flat" w14:cmpd="sng" w14:algn="ctr">
            <w14:noFill/>
            <w14:prstDash w14:val="solid"/>
            <w14:bevel/>
          </w14:textOutline>
        </w:rPr>
        <w:br/>
        <w:t>H10: Private and Communal Outdoor Space</w:t>
      </w:r>
      <w:r>
        <w:rPr>
          <w14:textOutline w14:w="0" w14:cap="flat" w14:cmpd="sng" w14:algn="ctr">
            <w14:noFill/>
            <w14:prstDash w14:val="solid"/>
            <w14:bevel/>
          </w14:textOutline>
        </w:rPr>
        <w:br/>
        <w:t>H11: Development of Private Residential Gardens</w:t>
      </w:r>
    </w:p>
    <w:p w14:paraId="317AEB10"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 xml:space="preserve">TR1: Achieving the Transport Strategy </w:t>
      </w:r>
    </w:p>
    <w:p w14:paraId="317AEB11"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TR3: Access, Traffic and Highway-Related Matters</w:t>
      </w:r>
      <w:r>
        <w:rPr>
          <w14:textOutline w14:w="0" w14:cap="flat" w14:cmpd="sng" w14:algn="ctr">
            <w14:noFill/>
            <w14:prstDash w14:val="solid"/>
            <w14:bevel/>
          </w14:textOutline>
        </w:rPr>
        <w:br/>
        <w:t>TR5: Car and Cycle Parking and Electric Vehicle Charging</w:t>
      </w:r>
    </w:p>
    <w:p w14:paraId="317AEB12" w14:textId="77777777" w:rsidR="00A373F2" w:rsidRDefault="00A373F2">
      <w:pPr>
        <w:pStyle w:val="Default"/>
      </w:pPr>
    </w:p>
    <w:p w14:paraId="317AEB13" w14:textId="77777777" w:rsidR="00A373F2" w:rsidRDefault="00A373F2">
      <w:pPr>
        <w:pStyle w:val="Default"/>
      </w:pPr>
    </w:p>
    <w:p w14:paraId="317AEB14" w14:textId="77777777" w:rsidR="00A373F2" w:rsidRDefault="00A373F2">
      <w:pPr>
        <w:pStyle w:val="Default"/>
      </w:pPr>
    </w:p>
    <w:p w14:paraId="317AEB15" w14:textId="77777777" w:rsidR="00A373F2" w:rsidRDefault="00A373F2">
      <w:pPr>
        <w:pStyle w:val="Default"/>
        <w:jc w:val="center"/>
        <w:rPr>
          <w:b/>
          <w:bCs/>
        </w:rPr>
      </w:pPr>
    </w:p>
    <w:p w14:paraId="65D51B56" w14:textId="77777777" w:rsidR="00791930" w:rsidRDefault="00791930">
      <w:pPr>
        <w:pStyle w:val="Default"/>
        <w:jc w:val="center"/>
        <w:rPr>
          <w:b/>
          <w:bCs/>
        </w:rPr>
      </w:pPr>
    </w:p>
    <w:p w14:paraId="396FF179" w14:textId="77777777" w:rsidR="00791930" w:rsidRDefault="00791930">
      <w:pPr>
        <w:pStyle w:val="Default"/>
        <w:jc w:val="center"/>
        <w:rPr>
          <w:b/>
          <w:bCs/>
        </w:rPr>
      </w:pPr>
    </w:p>
    <w:p w14:paraId="1D48D739" w14:textId="77777777" w:rsidR="00791930" w:rsidRDefault="00791930">
      <w:pPr>
        <w:pStyle w:val="Default"/>
        <w:jc w:val="center"/>
        <w:rPr>
          <w:b/>
          <w:bCs/>
        </w:rPr>
      </w:pPr>
    </w:p>
    <w:p w14:paraId="466417D3" w14:textId="77777777" w:rsidR="00791930" w:rsidRDefault="00791930">
      <w:pPr>
        <w:pStyle w:val="Default"/>
        <w:jc w:val="center"/>
        <w:rPr>
          <w:b/>
          <w:bCs/>
        </w:rPr>
      </w:pPr>
    </w:p>
    <w:p w14:paraId="317AEB1D" w14:textId="77777777" w:rsidR="00A373F2" w:rsidRDefault="00A373F2">
      <w:pPr>
        <w:pStyle w:val="Default"/>
        <w:jc w:val="center"/>
        <w:rPr>
          <w:b/>
          <w:bCs/>
        </w:rPr>
      </w:pPr>
    </w:p>
    <w:p w14:paraId="317AEB1E" w14:textId="77777777" w:rsidR="00A373F2" w:rsidRDefault="00A373F2">
      <w:pPr>
        <w:pStyle w:val="Default"/>
        <w:jc w:val="center"/>
        <w:rPr>
          <w:b/>
          <w:bCs/>
        </w:rPr>
      </w:pPr>
    </w:p>
    <w:p w14:paraId="317AEB1F" w14:textId="77777777" w:rsidR="00A373F2" w:rsidRDefault="00791930">
      <w:pPr>
        <w:pStyle w:val="Default"/>
        <w:jc w:val="center"/>
      </w:pPr>
      <w:r>
        <w:rPr>
          <w:b/>
          <w:bCs/>
        </w:rPr>
        <w:lastRenderedPageBreak/>
        <w:fldChar w:fldCharType="begin"/>
      </w:r>
      <w:r>
        <w:rPr>
          <w:b/>
          <w:bCs/>
        </w:rPr>
        <w:instrText xml:space="preserve"> PAGE </w:instrText>
      </w:r>
      <w:r>
        <w:rPr>
          <w:b/>
          <w:bCs/>
        </w:rPr>
        <w:fldChar w:fldCharType="separate"/>
      </w:r>
      <w:r>
        <w:rPr>
          <w:b/>
          <w:bCs/>
        </w:rPr>
        <w:t>2</w:t>
      </w:r>
      <w:r>
        <w:rPr>
          <w:b/>
          <w:bCs/>
        </w:rPr>
        <w:fldChar w:fldCharType="end"/>
      </w:r>
      <w:r>
        <w:rPr>
          <w:rFonts w:ascii="Arial Unicode MS" w:hAnsi="Arial Unicode MS"/>
        </w:rPr>
        <w:br w:type="page"/>
      </w:r>
    </w:p>
    <w:p w14:paraId="317AEB23" w14:textId="77777777" w:rsidR="00A373F2" w:rsidRDefault="00791930">
      <w:pPr>
        <w:pStyle w:val="BodyA"/>
        <w:ind w:right="1110"/>
        <w:rPr>
          <w:b/>
          <w:bCs/>
          <w:sz w:val="24"/>
          <w:szCs w:val="24"/>
        </w:rPr>
      </w:pPr>
      <w:r>
        <w:rPr>
          <w:rFonts w:ascii="Arial" w:hAnsi="Arial"/>
          <w:b/>
          <w:bCs/>
          <w:sz w:val="24"/>
          <w:szCs w:val="24"/>
        </w:rPr>
        <w:lastRenderedPageBreak/>
        <w:t>L</w:t>
      </w:r>
      <w:proofErr w:type="spellStart"/>
      <w:r>
        <w:rPr>
          <w:rFonts w:ascii="Arial" w:hAnsi="Arial"/>
          <w:b/>
          <w:bCs/>
          <w:sz w:val="24"/>
          <w:szCs w:val="24"/>
          <w:lang w:val="en-US"/>
        </w:rPr>
        <w:t>ocation</w:t>
      </w:r>
      <w:proofErr w:type="spellEnd"/>
      <w:r>
        <w:rPr>
          <w:rFonts w:ascii="Arial" w:hAnsi="Arial"/>
          <w:b/>
          <w:bCs/>
          <w:sz w:val="24"/>
          <w:szCs w:val="24"/>
        </w:rPr>
        <w:t xml:space="preserve"> </w:t>
      </w:r>
    </w:p>
    <w:p w14:paraId="317AEB24" w14:textId="77777777" w:rsidR="00A373F2" w:rsidRDefault="00791930">
      <w:pPr>
        <w:pStyle w:val="Default"/>
        <w:ind w:right="1394"/>
        <w:jc w:val="both"/>
      </w:pPr>
      <w:proofErr w:type="spellStart"/>
      <w:r>
        <w:t>Norcot</w:t>
      </w:r>
      <w:proofErr w:type="spellEnd"/>
      <w:r>
        <w:t xml:space="preserve"> Road lies centrally within the village of Tilehurst, close to a range of services and transport links including Main Bus Routes, and within walking distance </w:t>
      </w:r>
      <w:proofErr w:type="gramStart"/>
      <w:r>
        <w:t>to</w:t>
      </w:r>
      <w:proofErr w:type="gramEnd"/>
      <w:r>
        <w:t xml:space="preserve"> amenities such as Meadow Park Academy &amp; Moorlands Primary Schools, Tilehurst Library, and Victoria Recreation Ground, </w:t>
      </w:r>
      <w:proofErr w:type="spellStart"/>
      <w:r>
        <w:t>Meadway</w:t>
      </w:r>
      <w:proofErr w:type="spellEnd"/>
      <w:r>
        <w:t xml:space="preserve"> Park &amp; McIlroy Park. The area has a variety of Building typologies including Detached, Semi-detached, Terraced housing, and Bungalows of various ages. </w:t>
      </w:r>
    </w:p>
    <w:p w14:paraId="317AEB25" w14:textId="77777777" w:rsidR="00A373F2" w:rsidRDefault="00A373F2">
      <w:pPr>
        <w:pStyle w:val="Default"/>
        <w:ind w:right="1394"/>
        <w:jc w:val="both"/>
      </w:pPr>
    </w:p>
    <w:p w14:paraId="317AEB26" w14:textId="77777777" w:rsidR="00A373F2" w:rsidRDefault="00791930">
      <w:pPr>
        <w:pStyle w:val="Default"/>
        <w:ind w:right="1394"/>
        <w:jc w:val="both"/>
        <w:rPr>
          <w:b/>
          <w:bCs/>
        </w:rPr>
      </w:pPr>
      <w:r>
        <w:rPr>
          <w:b/>
          <w:bCs/>
        </w:rPr>
        <w:t>Standards for New Housing</w:t>
      </w:r>
    </w:p>
    <w:p w14:paraId="317AEB27" w14:textId="77777777" w:rsidR="00A373F2" w:rsidRDefault="00A373F2">
      <w:pPr>
        <w:pStyle w:val="Default"/>
        <w:ind w:right="1394"/>
        <w:jc w:val="both"/>
        <w:rPr>
          <w:b/>
          <w:bCs/>
        </w:rPr>
      </w:pPr>
    </w:p>
    <w:p w14:paraId="317AEB28" w14:textId="77777777" w:rsidR="00A373F2" w:rsidRDefault="00791930">
      <w:pPr>
        <w:pStyle w:val="Default"/>
        <w:ind w:right="1394"/>
        <w:jc w:val="both"/>
      </w:pPr>
      <w:r>
        <w:t>The minimum gross internal floor area for a Single Storey, 2 Bedroom (3 Bedspace) dwelling as set out in the Government’s Nationally Described Space Standard is 61sqm. The layout of the proposed dwelling complies with the above requirement.</w:t>
      </w:r>
    </w:p>
    <w:p w14:paraId="317AEB29" w14:textId="77777777" w:rsidR="00A373F2" w:rsidRDefault="00791930">
      <w:pPr>
        <w:pStyle w:val="Default"/>
        <w:ind w:right="1394"/>
        <w:jc w:val="both"/>
      </w:pPr>
      <w:proofErr w:type="gramStart"/>
      <w:r>
        <w:t>The amenity</w:t>
      </w:r>
      <w:proofErr w:type="gramEnd"/>
      <w:r>
        <w:t xml:space="preserve"> </w:t>
      </w:r>
      <w:proofErr w:type="gramStart"/>
      <w:r>
        <w:t>space minimum</w:t>
      </w:r>
      <w:proofErr w:type="gramEnd"/>
      <w:r>
        <w:t xml:space="preserve"> specified is a min. of the gross Floor area of the proposed dwelling. The above criteria have been demonstrated within the Proposal (See </w:t>
      </w:r>
      <w:proofErr w:type="gramStart"/>
      <w:r>
        <w:t>Proposed  Plan</w:t>
      </w:r>
      <w:proofErr w:type="gramEnd"/>
      <w:r>
        <w:t xml:space="preserve"> &amp; Site Plan), with 62.36m2 Internal Area, and 62.74m2 amenity space for the proposed dwelling.</w:t>
      </w:r>
    </w:p>
    <w:p w14:paraId="317AEB2A" w14:textId="77777777" w:rsidR="00A373F2" w:rsidRDefault="00A373F2">
      <w:pPr>
        <w:pStyle w:val="Default"/>
        <w:ind w:right="1394"/>
        <w:jc w:val="both"/>
      </w:pPr>
    </w:p>
    <w:p w14:paraId="317AEB2B" w14:textId="77777777" w:rsidR="00A373F2" w:rsidRDefault="00791930">
      <w:pPr>
        <w:pStyle w:val="Default"/>
        <w:ind w:right="1394"/>
        <w:jc w:val="both"/>
        <w:rPr>
          <w:b/>
          <w:bCs/>
        </w:rPr>
      </w:pPr>
      <w:r>
        <w:rPr>
          <w:b/>
          <w:bCs/>
        </w:rPr>
        <w:t>Access and Parking</w:t>
      </w:r>
    </w:p>
    <w:p w14:paraId="317AEB2C" w14:textId="77777777" w:rsidR="00A373F2" w:rsidRDefault="00A373F2">
      <w:pPr>
        <w:pStyle w:val="Default"/>
        <w:ind w:right="1394"/>
        <w:jc w:val="both"/>
        <w:rPr>
          <w:b/>
          <w:bCs/>
        </w:rPr>
      </w:pPr>
    </w:p>
    <w:p w14:paraId="317AEB2D" w14:textId="77777777" w:rsidR="00A373F2" w:rsidRDefault="00791930">
      <w:pPr>
        <w:pStyle w:val="Default"/>
        <w:ind w:right="1394"/>
        <w:jc w:val="both"/>
        <w:rPr>
          <w:b/>
          <w:bCs/>
        </w:rPr>
      </w:pPr>
      <w:r>
        <w:t xml:space="preserve">Policy TR5 of the Reading Local Plan Guidance indicates that proposals should ensure the ‘appropriate level of car </w:t>
      </w:r>
      <w:proofErr w:type="gramStart"/>
      <w:r>
        <w:t>parking’,</w:t>
      </w:r>
      <w:proofErr w:type="gramEnd"/>
      <w:r>
        <w:t xml:space="preserve"> while the supplementary Parking Standards indicate that C3 Dwellinghouses (2 Bed) within Zone 3 should provide 1.5 Parking spaces.</w:t>
      </w:r>
    </w:p>
    <w:p w14:paraId="317AEB2E" w14:textId="77777777" w:rsidR="00A373F2" w:rsidRDefault="00791930">
      <w:pPr>
        <w:pStyle w:val="Default"/>
        <w:ind w:right="1394"/>
        <w:jc w:val="both"/>
      </w:pPr>
      <w:r>
        <w:t>The proposed dwelling will be provided with 2no. Designated Parking Spaces within the front curtilage (and 1no. 7kW Electric Vehicle charger), and secure cycle storage for 2 Bicycles positioned within the private rear Garden.</w:t>
      </w:r>
    </w:p>
    <w:p w14:paraId="317AEB2F" w14:textId="77777777" w:rsidR="00A373F2" w:rsidRDefault="00A373F2">
      <w:pPr>
        <w:pStyle w:val="Default"/>
        <w:ind w:right="1394"/>
        <w:jc w:val="both"/>
      </w:pPr>
    </w:p>
    <w:p w14:paraId="317AEB30" w14:textId="77777777" w:rsidR="00A373F2" w:rsidRDefault="00791930">
      <w:pPr>
        <w:pStyle w:val="Default"/>
        <w:ind w:right="1394"/>
        <w:jc w:val="both"/>
        <w:rPr>
          <w:b/>
          <w:bCs/>
        </w:rPr>
      </w:pPr>
      <w:r>
        <w:rPr>
          <w:b/>
          <w:bCs/>
        </w:rPr>
        <w:t xml:space="preserve">Design, Access, and Energy/Sustainability </w:t>
      </w:r>
    </w:p>
    <w:p w14:paraId="317AEB31" w14:textId="77777777" w:rsidR="00A373F2" w:rsidRDefault="00A373F2">
      <w:pPr>
        <w:pStyle w:val="Default"/>
        <w:ind w:right="1394"/>
        <w:jc w:val="both"/>
      </w:pPr>
    </w:p>
    <w:p w14:paraId="317AEB32" w14:textId="77777777" w:rsidR="00A373F2" w:rsidRDefault="00791930">
      <w:pPr>
        <w:pStyle w:val="Default"/>
        <w:numPr>
          <w:ilvl w:val="0"/>
          <w:numId w:val="2"/>
        </w:numPr>
        <w:ind w:right="1394"/>
        <w:jc w:val="both"/>
        <w:rPr>
          <w:b/>
          <w:bCs/>
        </w:rPr>
      </w:pPr>
      <w:r>
        <w:rPr>
          <w:b/>
          <w:bCs/>
        </w:rPr>
        <w:t>Design</w:t>
      </w:r>
    </w:p>
    <w:p w14:paraId="317AEB33" w14:textId="77777777" w:rsidR="00A373F2" w:rsidRDefault="00791930">
      <w:pPr>
        <w:pStyle w:val="Default"/>
        <w:ind w:right="1394"/>
        <w:jc w:val="both"/>
      </w:pPr>
      <w:r>
        <w:t xml:space="preserve">The Proposal includes the Erection of a 2 Bedroom Bungalow with a modest form factor and a matching architectural style to the Existing Bungalow at 110 </w:t>
      </w:r>
      <w:proofErr w:type="spellStart"/>
      <w:r>
        <w:t>Norcot</w:t>
      </w:r>
      <w:proofErr w:type="spellEnd"/>
      <w:r>
        <w:t xml:space="preserve"> Road. </w:t>
      </w:r>
    </w:p>
    <w:p w14:paraId="317AEB34" w14:textId="77777777" w:rsidR="00A373F2" w:rsidRDefault="00A373F2">
      <w:pPr>
        <w:pStyle w:val="Default"/>
        <w:ind w:right="1394"/>
        <w:jc w:val="both"/>
      </w:pPr>
    </w:p>
    <w:p w14:paraId="317AEB35" w14:textId="77777777" w:rsidR="00A373F2" w:rsidRDefault="00791930">
      <w:pPr>
        <w:pStyle w:val="Default"/>
        <w:ind w:right="1394"/>
        <w:jc w:val="both"/>
      </w:pPr>
      <w:r>
        <w:t xml:space="preserve">Due to the levels and sloping nature of the site, as well as the existing Cypress Leyland trees lining the road facing elevation (to be retained), the development will be only partially visible from the carriageway. The proposed form of the Roof &amp; Building Envelope will ensure that there is no significant impact on the dwellings to the South of the proposal, with a proposed Ridge increase limited to 1.2m. The Windows &amp; Doors throughout the development will be selected to maintain the style of the </w:t>
      </w:r>
      <w:proofErr w:type="spellStart"/>
      <w:r>
        <w:t>neighbouring</w:t>
      </w:r>
      <w:proofErr w:type="spellEnd"/>
      <w:r>
        <w:t xml:space="preserve"> and adjacent properties whilst providing energy efficiency and a sufficient level of Sound Insulation to the proposed dwelling.</w:t>
      </w:r>
    </w:p>
    <w:p w14:paraId="317AEB36" w14:textId="77777777" w:rsidR="00A373F2" w:rsidRDefault="00A373F2">
      <w:pPr>
        <w:pStyle w:val="Default"/>
        <w:ind w:right="1394"/>
        <w:jc w:val="both"/>
      </w:pPr>
    </w:p>
    <w:p w14:paraId="317AEB37" w14:textId="77777777" w:rsidR="00A373F2" w:rsidRDefault="00791930">
      <w:pPr>
        <w:pStyle w:val="Default"/>
        <w:numPr>
          <w:ilvl w:val="0"/>
          <w:numId w:val="2"/>
        </w:numPr>
        <w:ind w:right="1394"/>
        <w:jc w:val="both"/>
        <w:rPr>
          <w:b/>
          <w:bCs/>
        </w:rPr>
      </w:pPr>
      <w:r>
        <w:rPr>
          <w:b/>
          <w:bCs/>
        </w:rPr>
        <w:t xml:space="preserve">Sustainability </w:t>
      </w:r>
    </w:p>
    <w:p w14:paraId="317AEB38"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Policy CC3 of the Adopted plan sets out criteria for meeting Climate change</w:t>
      </w:r>
      <w:proofErr w:type="gramStart"/>
      <w:r>
        <w:rPr>
          <w14:textOutline w14:w="0" w14:cap="flat" w14:cmpd="sng" w14:algn="ctr">
            <w14:noFill/>
            <w14:prstDash w14:val="solid"/>
            <w14:bevel/>
          </w14:textOutline>
        </w:rPr>
        <w:t xml:space="preserve">.  </w:t>
      </w:r>
      <w:proofErr w:type="gramEnd"/>
      <w:r>
        <w:rPr>
          <w14:textOutline w14:w="0" w14:cap="flat" w14:cmpd="sng" w14:algn="ctr">
            <w14:noFill/>
            <w14:prstDash w14:val="solid"/>
            <w14:bevel/>
          </w14:textOutline>
        </w:rPr>
        <w:t xml:space="preserve">Compliance with policy TR5 (Secure Cycle Storage, &amp; EV Charger) has been provided. Amongst other measures included in this scheme will be: </w:t>
      </w:r>
    </w:p>
    <w:p w14:paraId="317AEB39" w14:textId="77777777" w:rsidR="00A373F2" w:rsidRDefault="00791930">
      <w:pPr>
        <w:pStyle w:val="Default"/>
        <w:ind w:right="1394"/>
        <w:jc w:val="both"/>
      </w:pPr>
      <w:proofErr w:type="gramStart"/>
      <w:r>
        <w:t>-  Solar</w:t>
      </w:r>
      <w:proofErr w:type="gramEnd"/>
      <w:r>
        <w:t xml:space="preserve"> Photovoltaic Array provided to </w:t>
      </w:r>
      <w:proofErr w:type="gramStart"/>
      <w:r>
        <w:t>South East</w:t>
      </w:r>
      <w:proofErr w:type="gramEnd"/>
      <w:r>
        <w:t xml:space="preserve"> facing Elevation Roof</w:t>
      </w:r>
    </w:p>
    <w:p w14:paraId="317AEB3A" w14:textId="77777777" w:rsidR="00A373F2" w:rsidRDefault="00791930">
      <w:pPr>
        <w:pStyle w:val="Default"/>
        <w:numPr>
          <w:ilvl w:val="0"/>
          <w:numId w:val="4"/>
        </w:numPr>
        <w:ind w:right="1394"/>
        <w:jc w:val="both"/>
      </w:pPr>
      <w:r>
        <w:t>Water efficient fittings to the Bathroom and Kitchen</w:t>
      </w:r>
    </w:p>
    <w:p w14:paraId="317AEB3B" w14:textId="780600F2" w:rsidR="00A373F2" w:rsidRDefault="00791930">
      <w:pPr>
        <w:pStyle w:val="Default"/>
        <w:numPr>
          <w:ilvl w:val="0"/>
          <w:numId w:val="4"/>
        </w:numPr>
        <w:ind w:right="1394"/>
        <w:jc w:val="both"/>
      </w:pPr>
      <w:r>
        <w:t xml:space="preserve">Thermal Insulation to reduce energy </w:t>
      </w:r>
      <w:proofErr w:type="gramStart"/>
      <w:r>
        <w:t xml:space="preserve">consumption </w:t>
      </w:r>
      <w:r w:rsidR="00050E45">
        <w:t xml:space="preserve"> (</w:t>
      </w:r>
      <w:proofErr w:type="gramEnd"/>
      <w:r w:rsidR="00050E45">
        <w:t xml:space="preserve"> Refer to SAP </w:t>
      </w:r>
      <w:proofErr w:type="gramStart"/>
      <w:r w:rsidR="00065F08">
        <w:t>report )</w:t>
      </w:r>
      <w:proofErr w:type="gramEnd"/>
      <w:r w:rsidR="00065F08">
        <w:t xml:space="preserve"> </w:t>
      </w:r>
    </w:p>
    <w:p w14:paraId="1CDF4073" w14:textId="56B1CBDE" w:rsidR="00050E45" w:rsidRDefault="00791930">
      <w:pPr>
        <w:pStyle w:val="Default"/>
        <w:ind w:right="1394"/>
        <w:jc w:val="both"/>
      </w:pPr>
      <w:proofErr w:type="gramStart"/>
      <w:r>
        <w:t>-  New</w:t>
      </w:r>
      <w:proofErr w:type="gramEnd"/>
      <w:r>
        <w:t xml:space="preserve"> Windows &amp; Doors with min. double glazed units to improve energy efficiency</w:t>
      </w:r>
    </w:p>
    <w:p w14:paraId="317AEB3D" w14:textId="77777777" w:rsidR="00A373F2" w:rsidRDefault="00A373F2">
      <w:pPr>
        <w:pStyle w:val="Default"/>
        <w:ind w:right="1394"/>
        <w:jc w:val="both"/>
      </w:pPr>
    </w:p>
    <w:p w14:paraId="35883707" w14:textId="77777777" w:rsidR="00791930" w:rsidRDefault="00791930">
      <w:pPr>
        <w:pStyle w:val="Default"/>
        <w:ind w:right="1394"/>
        <w:jc w:val="both"/>
      </w:pPr>
    </w:p>
    <w:p w14:paraId="010BE23E" w14:textId="77777777" w:rsidR="00791930" w:rsidRDefault="00791930">
      <w:pPr>
        <w:pStyle w:val="Default"/>
        <w:ind w:right="1394"/>
        <w:jc w:val="both"/>
      </w:pPr>
    </w:p>
    <w:p w14:paraId="317AEB3F" w14:textId="77777777" w:rsidR="00A373F2" w:rsidRDefault="00791930">
      <w:pPr>
        <w:pStyle w:val="Default"/>
        <w:ind w:right="1394"/>
        <w:jc w:val="center"/>
        <w:rPr>
          <w:b/>
          <w:bCs/>
        </w:rPr>
      </w:pPr>
      <w:r>
        <w:rPr>
          <w:b/>
          <w:bCs/>
        </w:rPr>
        <w:fldChar w:fldCharType="begin"/>
      </w:r>
      <w:r>
        <w:rPr>
          <w:b/>
          <w:bCs/>
        </w:rPr>
        <w:instrText xml:space="preserve"> PAGE </w:instrText>
      </w:r>
      <w:r>
        <w:rPr>
          <w:b/>
          <w:bCs/>
        </w:rPr>
        <w:fldChar w:fldCharType="separate"/>
      </w:r>
      <w:r>
        <w:rPr>
          <w:b/>
          <w:bCs/>
        </w:rPr>
        <w:t>3</w:t>
      </w:r>
      <w:r>
        <w:rPr>
          <w:b/>
          <w:bCs/>
        </w:rPr>
        <w:fldChar w:fldCharType="end"/>
      </w:r>
    </w:p>
    <w:p w14:paraId="317AEB46" w14:textId="77777777" w:rsidR="00A373F2" w:rsidRDefault="00791930">
      <w:pPr>
        <w:pStyle w:val="Default"/>
        <w:ind w:right="1394"/>
        <w:jc w:val="both"/>
        <w:rPr>
          <w:b/>
          <w:bCs/>
        </w:rPr>
      </w:pPr>
      <w:r>
        <w:rPr>
          <w:b/>
          <w:bCs/>
        </w:rPr>
        <w:lastRenderedPageBreak/>
        <w:t>Residential Amenity</w:t>
      </w:r>
    </w:p>
    <w:p w14:paraId="317AEB47" w14:textId="77777777" w:rsidR="00A373F2" w:rsidRDefault="00A373F2">
      <w:pPr>
        <w:pStyle w:val="Default"/>
        <w:ind w:right="1394"/>
        <w:jc w:val="both"/>
        <w:rPr>
          <w:b/>
          <w:bCs/>
        </w:rPr>
      </w:pPr>
    </w:p>
    <w:p w14:paraId="317AEB48" w14:textId="77777777" w:rsidR="00A373F2" w:rsidRDefault="00791930">
      <w:pPr>
        <w:pStyle w:val="Default"/>
        <w:ind w:right="1394"/>
        <w:jc w:val="both"/>
      </w:pPr>
      <w:r>
        <w:t xml:space="preserve">The Proposed layout features Window positions and openings positioned to prevent overlooking from habitable rooms within the dwelling, with high level windows proposed to the </w:t>
      </w:r>
      <w:proofErr w:type="gramStart"/>
      <w:r>
        <w:t>South East</w:t>
      </w:r>
      <w:proofErr w:type="gramEnd"/>
      <w:r>
        <w:t xml:space="preserve"> and </w:t>
      </w:r>
      <w:proofErr w:type="gramStart"/>
      <w:r>
        <w:t>North West</w:t>
      </w:r>
      <w:proofErr w:type="gramEnd"/>
      <w:r>
        <w:t xml:space="preserve"> facing (</w:t>
      </w:r>
      <w:proofErr w:type="spellStart"/>
      <w:r>
        <w:t>Neighbour</w:t>
      </w:r>
      <w:proofErr w:type="spellEnd"/>
      <w:r>
        <w:t xml:space="preserve"> facing) elevations.</w:t>
      </w:r>
    </w:p>
    <w:p w14:paraId="317AEB49" w14:textId="77777777" w:rsidR="00A373F2" w:rsidRDefault="00A373F2">
      <w:pPr>
        <w:pStyle w:val="Default"/>
        <w:ind w:right="1394"/>
        <w:jc w:val="both"/>
      </w:pPr>
    </w:p>
    <w:p w14:paraId="317AEB4A" w14:textId="77777777" w:rsidR="00A373F2" w:rsidRDefault="00791930">
      <w:pPr>
        <w:pStyle w:val="Default"/>
        <w:ind w:right="1394"/>
        <w:jc w:val="both"/>
      </w:pPr>
      <w:r>
        <w:rPr>
          <w:b/>
          <w:bCs/>
        </w:rPr>
        <w:t xml:space="preserve">Acoustic/Noise Impact Assessment </w:t>
      </w:r>
    </w:p>
    <w:p w14:paraId="317AEB4B" w14:textId="77777777" w:rsidR="00A373F2" w:rsidRDefault="00A373F2">
      <w:pPr>
        <w:pStyle w:val="Default"/>
        <w:ind w:right="1394"/>
        <w:jc w:val="both"/>
      </w:pPr>
    </w:p>
    <w:p w14:paraId="317AEB4C" w14:textId="77777777" w:rsidR="00A373F2" w:rsidRDefault="00791930">
      <w:pPr>
        <w:pStyle w:val="Default"/>
        <w:ind w:right="1394"/>
        <w:jc w:val="both"/>
      </w:pPr>
      <w:r>
        <w:t xml:space="preserve">Whilst the development will be a significant distance from the carriageway of </w:t>
      </w:r>
      <w:proofErr w:type="spellStart"/>
      <w:r>
        <w:t>Norcot</w:t>
      </w:r>
      <w:proofErr w:type="spellEnd"/>
      <w:r>
        <w:t xml:space="preserve"> Road  (&gt;20m), and the existing Trees lining the front of the site, as well as the level difference will contribute to diffusion/reduction of noise, measures will be taken to mitigate the traffic noise and ensure an acceptable noise environment for occupants; The internal noise level within a dwelling is dependent on the level arriving at the external </w:t>
      </w:r>
      <w:proofErr w:type="spellStart"/>
      <w:r>
        <w:t>façade</w:t>
      </w:r>
      <w:proofErr w:type="spellEnd"/>
      <w:r>
        <w:t xml:space="preserve">, the sound insulation properties of the dwelling, (wall, window, roof/ceiling construction) the volume of the room and any furnishings present. </w:t>
      </w:r>
    </w:p>
    <w:p w14:paraId="317AEB4D" w14:textId="77777777" w:rsidR="00A373F2" w:rsidRDefault="00A373F2">
      <w:pPr>
        <w:pStyle w:val="Default"/>
        <w:ind w:right="1394"/>
        <w:jc w:val="both"/>
        <w:rPr>
          <w14:textOutline w14:w="0" w14:cap="flat" w14:cmpd="sng" w14:algn="ctr">
            <w14:noFill/>
            <w14:prstDash w14:val="solid"/>
            <w14:bevel/>
          </w14:textOutline>
        </w:rPr>
      </w:pPr>
    </w:p>
    <w:p w14:paraId="317AEB4E"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 xml:space="preserve">BS 8233:2014 indicates typical Traffic noise levels expected from </w:t>
      </w:r>
      <w:proofErr w:type="spellStart"/>
      <w:r>
        <w:rPr>
          <w14:textOutline w14:w="0" w14:cap="flat" w14:cmpd="sng" w14:algn="ctr">
            <w14:noFill/>
            <w14:prstDash w14:val="solid"/>
            <w14:bevel/>
          </w14:textOutline>
        </w:rPr>
        <w:t>from</w:t>
      </w:r>
      <w:proofErr w:type="spellEnd"/>
      <w:r>
        <w:rPr>
          <w14:textOutline w14:w="0" w14:cap="flat" w14:cmpd="sng" w14:algn="ctr">
            <w14:noFill/>
            <w14:prstDash w14:val="solid"/>
            <w14:bevel/>
          </w14:textOutline>
        </w:rPr>
        <w:t xml:space="preserve"> busy roads (up to 50km/h traffic speed) as 58-68db, as well as guidelines for acceptable levels of noise (7.7.2 Internal Ambient Noise Levels for Dwellings, as below</w:t>
      </w:r>
      <w:proofErr w:type="gramStart"/>
      <w:r>
        <w:rPr>
          <w14:textOutline w14:w="0" w14:cap="flat" w14:cmpd="sng" w14:algn="ctr">
            <w14:noFill/>
            <w14:prstDash w14:val="solid"/>
            <w14:bevel/>
          </w14:textOutline>
        </w:rPr>
        <w:t>);</w:t>
      </w:r>
      <w:proofErr w:type="gramEnd"/>
      <w:r>
        <w:rPr>
          <w14:textOutline w14:w="0" w14:cap="flat" w14:cmpd="sng" w14:algn="ctr">
            <w14:noFill/>
            <w14:prstDash w14:val="solid"/>
            <w14:bevel/>
          </w14:textOutline>
        </w:rPr>
        <w:t xml:space="preserve"> </w:t>
      </w:r>
    </w:p>
    <w:p w14:paraId="317AEB4F" w14:textId="77777777" w:rsidR="00A373F2" w:rsidRDefault="00A373F2">
      <w:pPr>
        <w:pStyle w:val="Default"/>
        <w:ind w:right="1394"/>
        <w:jc w:val="both"/>
        <w:rPr>
          <w14:textOutline w14:w="0" w14:cap="flat" w14:cmpd="sng" w14:algn="ctr">
            <w14:noFill/>
            <w14:prstDash w14:val="solid"/>
            <w14:bevel/>
          </w14:textOutline>
        </w:rPr>
      </w:pPr>
    </w:p>
    <w:p w14:paraId="317AEB50" w14:textId="77777777" w:rsidR="00A373F2" w:rsidRDefault="00791930">
      <w:pPr>
        <w:pStyle w:val="Default"/>
        <w:ind w:right="1394"/>
        <w:jc w:val="both"/>
        <w:rPr>
          <w:b/>
          <w:bCs/>
          <w14:textOutline w14:w="0" w14:cap="flat" w14:cmpd="sng" w14:algn="ctr">
            <w14:noFill/>
            <w14:prstDash w14:val="solid"/>
            <w14:bevel/>
          </w14:textOutline>
        </w:rPr>
      </w:pPr>
      <w:r>
        <w:rPr>
          <w14:textOutline w14:w="0" w14:cap="flat" w14:cmpd="sng" w14:algn="ctr">
            <w14:noFill/>
            <w14:prstDash w14:val="solid"/>
            <w14:bevel/>
          </w14:textOutline>
        </w:rPr>
        <w:t>Table 4.</w:t>
      </w:r>
      <w:r>
        <w:rPr>
          <w:b/>
          <w:bCs/>
          <w14:textOutline w14:w="0" w14:cap="flat" w14:cmpd="sng" w14:algn="ctr">
            <w14:noFill/>
            <w14:prstDash w14:val="solid"/>
            <w14:bevel/>
          </w14:textOutline>
        </w:rPr>
        <w:t xml:space="preserve"> Indoor Ambient Noise Levels for Dwellings</w:t>
      </w:r>
    </w:p>
    <w:p w14:paraId="317AEB51" w14:textId="77777777" w:rsidR="00A373F2" w:rsidRDefault="00A373F2">
      <w:pPr>
        <w:pStyle w:val="Default"/>
        <w:ind w:right="1394"/>
        <w:jc w:val="both"/>
        <w:rPr>
          <w:b/>
          <w:bCs/>
          <w14:textOutline w14:w="0" w14:cap="flat" w14:cmpd="sng" w14:algn="ctr">
            <w14:noFill/>
            <w14:prstDash w14:val="solid"/>
            <w14:bevel/>
          </w14:textOutline>
        </w:rPr>
      </w:pPr>
    </w:p>
    <w:tbl>
      <w:tblPr>
        <w:tblW w:w="963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0E0E0"/>
        <w:tblLayout w:type="fixed"/>
        <w:tblLook w:val="04A0" w:firstRow="1" w:lastRow="0" w:firstColumn="1" w:lastColumn="0" w:noHBand="0" w:noVBand="1"/>
      </w:tblPr>
      <w:tblGrid>
        <w:gridCol w:w="2408"/>
        <w:gridCol w:w="2409"/>
        <w:gridCol w:w="2409"/>
        <w:gridCol w:w="2409"/>
      </w:tblGrid>
      <w:tr w:rsidR="00A373F2" w14:paraId="317AEB56" w14:textId="77777777">
        <w:trPr>
          <w:trHeight w:val="452"/>
        </w:trPr>
        <w:tc>
          <w:tcPr>
            <w:tcW w:w="2408" w:type="dxa"/>
            <w:tcBorders>
              <w:top w:val="single" w:sz="8" w:space="0" w:color="FFFFFF"/>
              <w:left w:val="single" w:sz="8" w:space="0" w:color="FFFFFF"/>
              <w:bottom w:val="single" w:sz="16" w:space="0" w:color="000000"/>
              <w:right w:val="dotted" w:sz="8" w:space="0" w:color="000000"/>
            </w:tcBorders>
            <w:tcMar>
              <w:top w:w="0" w:type="dxa"/>
              <w:left w:w="0" w:type="dxa"/>
              <w:bottom w:w="0" w:type="dxa"/>
              <w:right w:w="0" w:type="dxa"/>
            </w:tcMar>
          </w:tcPr>
          <w:p w14:paraId="317AEB52" w14:textId="77777777" w:rsidR="00A373F2" w:rsidRDefault="00791930">
            <w:pPr>
              <w:tabs>
                <w:tab w:val="left" w:pos="1440"/>
              </w:tabs>
              <w:suppressAutoHyphens/>
              <w:outlineLvl w:val="0"/>
            </w:pPr>
            <w:r>
              <w:rPr>
                <w:rFonts w:ascii="Arial" w:hAnsi="Arial" w:cs="Arial Unicode MS"/>
                <w:b/>
                <w:bCs/>
                <w:color w:val="000000"/>
                <w:sz w:val="22"/>
                <w:szCs w:val="22"/>
                <w14:textOutline w14:w="12700" w14:cap="flat" w14:cmpd="sng" w14:algn="ctr">
                  <w14:noFill/>
                  <w14:prstDash w14:val="solid"/>
                  <w14:miter w14:lim="400000"/>
                </w14:textOutline>
              </w:rPr>
              <w:t>Activity</w:t>
            </w:r>
          </w:p>
        </w:tc>
        <w:tc>
          <w:tcPr>
            <w:tcW w:w="2408" w:type="dxa"/>
            <w:tcBorders>
              <w:top w:val="single" w:sz="8" w:space="0" w:color="FFFFFF"/>
              <w:left w:val="dotted" w:sz="8" w:space="0" w:color="000000"/>
              <w:bottom w:val="single" w:sz="16" w:space="0" w:color="000000"/>
              <w:right w:val="dotted" w:sz="8" w:space="0" w:color="000000"/>
            </w:tcBorders>
            <w:tcMar>
              <w:top w:w="0" w:type="dxa"/>
              <w:left w:w="0" w:type="dxa"/>
              <w:bottom w:w="0" w:type="dxa"/>
              <w:right w:w="0" w:type="dxa"/>
            </w:tcMar>
          </w:tcPr>
          <w:p w14:paraId="317AEB53" w14:textId="77777777" w:rsidR="00A373F2" w:rsidRDefault="00791930">
            <w:pPr>
              <w:tabs>
                <w:tab w:val="left" w:pos="1440"/>
              </w:tabs>
              <w:suppressAutoHyphens/>
              <w:outlineLvl w:val="0"/>
            </w:pPr>
            <w:r>
              <w:rPr>
                <w:rFonts w:ascii="Arial" w:hAnsi="Arial" w:cs="Arial Unicode MS"/>
                <w:b/>
                <w:bCs/>
                <w:color w:val="000000"/>
                <w:sz w:val="22"/>
                <w:szCs w:val="22"/>
                <w14:textOutline w14:w="12700" w14:cap="flat" w14:cmpd="sng" w14:algn="ctr">
                  <w14:noFill/>
                  <w14:prstDash w14:val="solid"/>
                  <w14:miter w14:lim="400000"/>
                </w14:textOutline>
              </w:rPr>
              <w:t>Location</w:t>
            </w:r>
          </w:p>
        </w:tc>
        <w:tc>
          <w:tcPr>
            <w:tcW w:w="2408" w:type="dxa"/>
            <w:tcBorders>
              <w:top w:val="single" w:sz="8" w:space="0" w:color="FFFFFF"/>
              <w:left w:val="dotted" w:sz="8" w:space="0" w:color="000000"/>
              <w:bottom w:val="single" w:sz="16" w:space="0" w:color="000000"/>
              <w:right w:val="dotted" w:sz="8" w:space="0" w:color="000000"/>
            </w:tcBorders>
            <w:tcMar>
              <w:top w:w="0" w:type="dxa"/>
              <w:left w:w="0" w:type="dxa"/>
              <w:bottom w:w="0" w:type="dxa"/>
              <w:right w:w="0" w:type="dxa"/>
            </w:tcMar>
          </w:tcPr>
          <w:p w14:paraId="317AEB54" w14:textId="77777777" w:rsidR="00A373F2" w:rsidRDefault="00791930">
            <w:pPr>
              <w:tabs>
                <w:tab w:val="left" w:pos="1440"/>
              </w:tabs>
              <w:suppressAutoHyphens/>
              <w:outlineLvl w:val="0"/>
            </w:pPr>
            <w:r>
              <w:rPr>
                <w:rFonts w:ascii="Arial" w:hAnsi="Arial" w:cs="Arial Unicode MS"/>
                <w:b/>
                <w:bCs/>
                <w:color w:val="000000"/>
                <w:sz w:val="22"/>
                <w:szCs w:val="22"/>
                <w14:textOutline w14:w="12700" w14:cap="flat" w14:cmpd="sng" w14:algn="ctr">
                  <w14:noFill/>
                  <w14:prstDash w14:val="solid"/>
                  <w14:miter w14:lim="400000"/>
                </w14:textOutline>
              </w:rPr>
              <w:t>7:00 to 23:00</w:t>
            </w:r>
          </w:p>
        </w:tc>
        <w:tc>
          <w:tcPr>
            <w:tcW w:w="2408" w:type="dxa"/>
            <w:tcBorders>
              <w:top w:val="single" w:sz="8" w:space="0" w:color="FFFFFF"/>
              <w:left w:val="dotted" w:sz="8" w:space="0" w:color="000000"/>
              <w:bottom w:val="single" w:sz="16" w:space="0" w:color="000000"/>
              <w:right w:val="single" w:sz="8" w:space="0" w:color="FFFFFF"/>
            </w:tcBorders>
            <w:tcMar>
              <w:top w:w="0" w:type="dxa"/>
              <w:left w:w="0" w:type="dxa"/>
              <w:bottom w:w="0" w:type="dxa"/>
              <w:right w:w="0" w:type="dxa"/>
            </w:tcMar>
          </w:tcPr>
          <w:p w14:paraId="317AEB55" w14:textId="77777777" w:rsidR="00A373F2" w:rsidRDefault="00791930">
            <w:pPr>
              <w:tabs>
                <w:tab w:val="left" w:pos="1440"/>
              </w:tabs>
              <w:suppressAutoHyphens/>
              <w:outlineLvl w:val="0"/>
            </w:pPr>
            <w:r>
              <w:rPr>
                <w:rFonts w:ascii="Arial" w:hAnsi="Arial" w:cs="Arial Unicode MS"/>
                <w:b/>
                <w:bCs/>
                <w:color w:val="000000"/>
                <w:sz w:val="22"/>
                <w:szCs w:val="22"/>
                <w14:textOutline w14:w="12700" w14:cap="flat" w14:cmpd="sng" w14:algn="ctr">
                  <w14:noFill/>
                  <w14:prstDash w14:val="solid"/>
                  <w14:miter w14:lim="400000"/>
                </w14:textOutline>
              </w:rPr>
              <w:t>23:00 to 7:00</w:t>
            </w:r>
          </w:p>
        </w:tc>
      </w:tr>
      <w:tr w:rsidR="00A373F2" w14:paraId="317AEB5B" w14:textId="77777777">
        <w:trPr>
          <w:trHeight w:val="452"/>
        </w:trPr>
        <w:tc>
          <w:tcPr>
            <w:tcW w:w="2408" w:type="dxa"/>
            <w:tcBorders>
              <w:top w:val="single" w:sz="16" w:space="0" w:color="000000"/>
              <w:left w:val="single" w:sz="8" w:space="0" w:color="FFFFFF"/>
              <w:bottom w:val="single" w:sz="8" w:space="0" w:color="FFFFFF"/>
              <w:right w:val="dotted" w:sz="8" w:space="0" w:color="000000"/>
            </w:tcBorders>
            <w:tcMar>
              <w:top w:w="0" w:type="dxa"/>
              <w:left w:w="0" w:type="dxa"/>
              <w:bottom w:w="0" w:type="dxa"/>
              <w:right w:w="0" w:type="dxa"/>
            </w:tcMar>
          </w:tcPr>
          <w:p w14:paraId="317AEB57"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Resting</w:t>
            </w:r>
          </w:p>
        </w:tc>
        <w:tc>
          <w:tcPr>
            <w:tcW w:w="2408" w:type="dxa"/>
            <w:tcBorders>
              <w:top w:val="single" w:sz="16" w:space="0" w:color="000000"/>
              <w:left w:val="dotted" w:sz="8" w:space="0" w:color="000000"/>
              <w:bottom w:val="single" w:sz="8" w:space="0" w:color="FFFFFF"/>
              <w:right w:val="dotted" w:sz="8" w:space="0" w:color="000000"/>
            </w:tcBorders>
            <w:tcMar>
              <w:top w:w="0" w:type="dxa"/>
              <w:left w:w="0" w:type="dxa"/>
              <w:bottom w:w="0" w:type="dxa"/>
              <w:right w:w="0" w:type="dxa"/>
            </w:tcMar>
          </w:tcPr>
          <w:p w14:paraId="317AEB58"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Living Room</w:t>
            </w:r>
          </w:p>
        </w:tc>
        <w:tc>
          <w:tcPr>
            <w:tcW w:w="2408" w:type="dxa"/>
            <w:tcBorders>
              <w:top w:val="single" w:sz="16" w:space="0" w:color="000000"/>
              <w:left w:val="dotted" w:sz="8" w:space="0" w:color="000000"/>
              <w:bottom w:val="single" w:sz="8" w:space="0" w:color="FFFFFF"/>
              <w:right w:val="dotted" w:sz="8" w:space="0" w:color="000000"/>
            </w:tcBorders>
            <w:tcMar>
              <w:top w:w="0" w:type="dxa"/>
              <w:left w:w="0" w:type="dxa"/>
              <w:bottom w:w="0" w:type="dxa"/>
              <w:right w:w="0" w:type="dxa"/>
            </w:tcMar>
          </w:tcPr>
          <w:p w14:paraId="317AEB59"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 xml:space="preserve">35dB </w:t>
            </w:r>
            <w:r>
              <w:rPr>
                <w:rFonts w:ascii="Arial" w:hAnsi="Arial" w:cs="Arial Unicode MS"/>
                <w:i/>
                <w:iCs/>
                <w:color w:val="000000"/>
                <w:sz w:val="22"/>
                <w:szCs w:val="22"/>
                <w14:textOutline w14:w="12700" w14:cap="flat" w14:cmpd="sng" w14:algn="ctr">
                  <w14:noFill/>
                  <w14:prstDash w14:val="solid"/>
                  <w14:miter w14:lim="400000"/>
                </w14:textOutline>
              </w:rPr>
              <w:t>L</w:t>
            </w:r>
            <w:r>
              <w:rPr>
                <w:rFonts w:ascii="Arial" w:hAnsi="Arial" w:cs="Arial Unicode MS"/>
                <w:color w:val="000000"/>
                <w:sz w:val="16"/>
                <w:szCs w:val="16"/>
                <w14:textOutline w14:w="12700" w14:cap="flat" w14:cmpd="sng" w14:algn="ctr">
                  <w14:noFill/>
                  <w14:prstDash w14:val="solid"/>
                  <w14:miter w14:lim="400000"/>
                </w14:textOutline>
              </w:rPr>
              <w:t>Aeq,16 Hour</w:t>
            </w:r>
          </w:p>
        </w:tc>
        <w:tc>
          <w:tcPr>
            <w:tcW w:w="2408" w:type="dxa"/>
            <w:tcBorders>
              <w:top w:val="single" w:sz="16" w:space="0" w:color="000000"/>
              <w:left w:val="dotted" w:sz="8" w:space="0" w:color="000000"/>
              <w:bottom w:val="single" w:sz="8" w:space="0" w:color="FFFFFF"/>
              <w:right w:val="single" w:sz="8" w:space="0" w:color="FFFFFF"/>
            </w:tcBorders>
            <w:tcMar>
              <w:top w:w="0" w:type="dxa"/>
              <w:left w:w="0" w:type="dxa"/>
              <w:bottom w:w="0" w:type="dxa"/>
              <w:right w:w="0" w:type="dxa"/>
            </w:tcMar>
          </w:tcPr>
          <w:p w14:paraId="317AEB5A"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w:t>
            </w:r>
          </w:p>
        </w:tc>
      </w:tr>
      <w:tr w:rsidR="00A373F2" w14:paraId="317AEB60" w14:textId="77777777">
        <w:trPr>
          <w:trHeight w:val="452"/>
        </w:trPr>
        <w:tc>
          <w:tcPr>
            <w:tcW w:w="2408" w:type="dxa"/>
            <w:tcBorders>
              <w:top w:val="single" w:sz="8" w:space="0" w:color="FFFFFF"/>
              <w:left w:val="single" w:sz="8" w:space="0" w:color="FFFFFF"/>
              <w:bottom w:val="single" w:sz="8" w:space="0" w:color="FFFFFF"/>
              <w:right w:val="dotted" w:sz="8" w:space="0" w:color="000000"/>
            </w:tcBorders>
            <w:tcMar>
              <w:top w:w="0" w:type="dxa"/>
              <w:left w:w="0" w:type="dxa"/>
              <w:bottom w:w="0" w:type="dxa"/>
              <w:right w:w="0" w:type="dxa"/>
            </w:tcMar>
          </w:tcPr>
          <w:p w14:paraId="317AEB5C"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Dining</w:t>
            </w:r>
          </w:p>
        </w:tc>
        <w:tc>
          <w:tcPr>
            <w:tcW w:w="2408" w:type="dxa"/>
            <w:tcBorders>
              <w:top w:val="single" w:sz="8" w:space="0" w:color="FFFFFF"/>
              <w:left w:val="dotted" w:sz="8" w:space="0" w:color="000000"/>
              <w:bottom w:val="single" w:sz="8" w:space="0" w:color="FFFFFF"/>
              <w:right w:val="dotted" w:sz="8" w:space="0" w:color="000000"/>
            </w:tcBorders>
            <w:tcMar>
              <w:top w:w="0" w:type="dxa"/>
              <w:left w:w="0" w:type="dxa"/>
              <w:bottom w:w="0" w:type="dxa"/>
              <w:right w:w="0" w:type="dxa"/>
            </w:tcMar>
          </w:tcPr>
          <w:p w14:paraId="317AEB5D"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Dining Area</w:t>
            </w:r>
          </w:p>
        </w:tc>
        <w:tc>
          <w:tcPr>
            <w:tcW w:w="2408" w:type="dxa"/>
            <w:tcBorders>
              <w:top w:val="single" w:sz="8" w:space="0" w:color="FFFFFF"/>
              <w:left w:val="dotted" w:sz="8" w:space="0" w:color="000000"/>
              <w:bottom w:val="single" w:sz="8" w:space="0" w:color="FFFFFF"/>
              <w:right w:val="dotted" w:sz="8" w:space="0" w:color="000000"/>
            </w:tcBorders>
            <w:tcMar>
              <w:top w:w="0" w:type="dxa"/>
              <w:left w:w="0" w:type="dxa"/>
              <w:bottom w:w="0" w:type="dxa"/>
              <w:right w:w="0" w:type="dxa"/>
            </w:tcMar>
          </w:tcPr>
          <w:p w14:paraId="317AEB5E"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 xml:space="preserve">40dB </w:t>
            </w:r>
            <w:r>
              <w:rPr>
                <w:rFonts w:ascii="Arial" w:hAnsi="Arial" w:cs="Arial Unicode MS"/>
                <w:i/>
                <w:iCs/>
                <w:color w:val="000000"/>
                <w:sz w:val="22"/>
                <w:szCs w:val="22"/>
                <w14:textOutline w14:w="12700" w14:cap="flat" w14:cmpd="sng" w14:algn="ctr">
                  <w14:noFill/>
                  <w14:prstDash w14:val="solid"/>
                  <w14:miter w14:lim="400000"/>
                </w14:textOutline>
              </w:rPr>
              <w:t>L</w:t>
            </w:r>
            <w:r>
              <w:rPr>
                <w:rFonts w:ascii="Arial" w:hAnsi="Arial" w:cs="Arial Unicode MS"/>
                <w:color w:val="000000"/>
                <w:sz w:val="16"/>
                <w:szCs w:val="16"/>
                <w14:textOutline w14:w="12700" w14:cap="flat" w14:cmpd="sng" w14:algn="ctr">
                  <w14:noFill/>
                  <w14:prstDash w14:val="solid"/>
                  <w14:miter w14:lim="400000"/>
                </w14:textOutline>
              </w:rPr>
              <w:t>Aeq,16 Hour</w:t>
            </w:r>
          </w:p>
        </w:tc>
        <w:tc>
          <w:tcPr>
            <w:tcW w:w="2408" w:type="dxa"/>
            <w:tcBorders>
              <w:top w:val="single" w:sz="8" w:space="0" w:color="FFFFFF"/>
              <w:left w:val="dotted" w:sz="8" w:space="0" w:color="000000"/>
              <w:bottom w:val="single" w:sz="8" w:space="0" w:color="FFFFFF"/>
              <w:right w:val="single" w:sz="8" w:space="0" w:color="FFFFFF"/>
            </w:tcBorders>
            <w:tcMar>
              <w:top w:w="0" w:type="dxa"/>
              <w:left w:w="0" w:type="dxa"/>
              <w:bottom w:w="0" w:type="dxa"/>
              <w:right w:w="0" w:type="dxa"/>
            </w:tcMar>
          </w:tcPr>
          <w:p w14:paraId="317AEB5F"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w:t>
            </w:r>
          </w:p>
        </w:tc>
      </w:tr>
      <w:tr w:rsidR="00A373F2" w14:paraId="317AEB65" w14:textId="77777777">
        <w:trPr>
          <w:trHeight w:val="452"/>
        </w:trPr>
        <w:tc>
          <w:tcPr>
            <w:tcW w:w="2408" w:type="dxa"/>
            <w:tcBorders>
              <w:top w:val="single" w:sz="8" w:space="0" w:color="FFFFFF"/>
              <w:left w:val="single" w:sz="8" w:space="0" w:color="FFFFFF"/>
              <w:bottom w:val="single" w:sz="8" w:space="0" w:color="FFFFFF"/>
              <w:right w:val="dotted" w:sz="8" w:space="0" w:color="000000"/>
            </w:tcBorders>
            <w:tcMar>
              <w:top w:w="0" w:type="dxa"/>
              <w:left w:w="0" w:type="dxa"/>
              <w:bottom w:w="0" w:type="dxa"/>
              <w:right w:w="0" w:type="dxa"/>
            </w:tcMar>
          </w:tcPr>
          <w:p w14:paraId="317AEB61"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Sleeping</w:t>
            </w:r>
          </w:p>
        </w:tc>
        <w:tc>
          <w:tcPr>
            <w:tcW w:w="2408" w:type="dxa"/>
            <w:tcBorders>
              <w:top w:val="single" w:sz="8" w:space="0" w:color="FFFFFF"/>
              <w:left w:val="dotted" w:sz="8" w:space="0" w:color="000000"/>
              <w:bottom w:val="single" w:sz="8" w:space="0" w:color="FFFFFF"/>
              <w:right w:val="dotted" w:sz="8" w:space="0" w:color="000000"/>
            </w:tcBorders>
            <w:tcMar>
              <w:top w:w="0" w:type="dxa"/>
              <w:left w:w="0" w:type="dxa"/>
              <w:bottom w:w="0" w:type="dxa"/>
              <w:right w:w="0" w:type="dxa"/>
            </w:tcMar>
          </w:tcPr>
          <w:p w14:paraId="317AEB62"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Bedroom</w:t>
            </w:r>
          </w:p>
        </w:tc>
        <w:tc>
          <w:tcPr>
            <w:tcW w:w="2408" w:type="dxa"/>
            <w:tcBorders>
              <w:top w:val="single" w:sz="8" w:space="0" w:color="FFFFFF"/>
              <w:left w:val="dotted" w:sz="8" w:space="0" w:color="000000"/>
              <w:bottom w:val="single" w:sz="8" w:space="0" w:color="FFFFFF"/>
              <w:right w:val="dotted" w:sz="8" w:space="0" w:color="000000"/>
            </w:tcBorders>
            <w:tcMar>
              <w:top w:w="0" w:type="dxa"/>
              <w:left w:w="0" w:type="dxa"/>
              <w:bottom w:w="0" w:type="dxa"/>
              <w:right w:w="0" w:type="dxa"/>
            </w:tcMar>
          </w:tcPr>
          <w:p w14:paraId="317AEB63"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 xml:space="preserve">35dB </w:t>
            </w:r>
            <w:r>
              <w:rPr>
                <w:rFonts w:ascii="Arial" w:hAnsi="Arial" w:cs="Arial Unicode MS"/>
                <w:i/>
                <w:iCs/>
                <w:color w:val="000000"/>
                <w:sz w:val="22"/>
                <w:szCs w:val="22"/>
                <w14:textOutline w14:w="12700" w14:cap="flat" w14:cmpd="sng" w14:algn="ctr">
                  <w14:noFill/>
                  <w14:prstDash w14:val="solid"/>
                  <w14:miter w14:lim="400000"/>
                </w14:textOutline>
              </w:rPr>
              <w:t>L</w:t>
            </w:r>
            <w:r>
              <w:rPr>
                <w:rFonts w:ascii="Arial" w:hAnsi="Arial" w:cs="Arial Unicode MS"/>
                <w:color w:val="000000"/>
                <w:sz w:val="16"/>
                <w:szCs w:val="16"/>
                <w14:textOutline w14:w="12700" w14:cap="flat" w14:cmpd="sng" w14:algn="ctr">
                  <w14:noFill/>
                  <w14:prstDash w14:val="solid"/>
                  <w14:miter w14:lim="400000"/>
                </w14:textOutline>
              </w:rPr>
              <w:t>Aeq,16 Hour</w:t>
            </w:r>
          </w:p>
        </w:tc>
        <w:tc>
          <w:tcPr>
            <w:tcW w:w="2408" w:type="dxa"/>
            <w:tcBorders>
              <w:top w:val="single" w:sz="8" w:space="0" w:color="FFFFFF"/>
              <w:left w:val="dotted" w:sz="8" w:space="0" w:color="000000"/>
              <w:bottom w:val="single" w:sz="8" w:space="0" w:color="FFFFFF"/>
              <w:right w:val="nil"/>
            </w:tcBorders>
            <w:tcMar>
              <w:top w:w="0" w:type="dxa"/>
              <w:left w:w="0" w:type="dxa"/>
              <w:bottom w:w="0" w:type="dxa"/>
              <w:right w:w="0" w:type="dxa"/>
            </w:tcMar>
          </w:tcPr>
          <w:p w14:paraId="317AEB64"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 xml:space="preserve">30dB </w:t>
            </w:r>
            <w:r>
              <w:rPr>
                <w:rFonts w:ascii="Arial" w:hAnsi="Arial" w:cs="Arial Unicode MS"/>
                <w:i/>
                <w:iCs/>
                <w:color w:val="000000"/>
                <w:sz w:val="22"/>
                <w:szCs w:val="22"/>
                <w14:textOutline w14:w="12700" w14:cap="flat" w14:cmpd="sng" w14:algn="ctr">
                  <w14:noFill/>
                  <w14:prstDash w14:val="solid"/>
                  <w14:miter w14:lim="400000"/>
                </w14:textOutline>
              </w:rPr>
              <w:t>L</w:t>
            </w:r>
            <w:r>
              <w:rPr>
                <w:rFonts w:ascii="Arial" w:hAnsi="Arial" w:cs="Arial Unicode MS"/>
                <w:color w:val="000000"/>
                <w:sz w:val="16"/>
                <w:szCs w:val="16"/>
                <w14:textOutline w14:w="12700" w14:cap="flat" w14:cmpd="sng" w14:algn="ctr">
                  <w14:noFill/>
                  <w14:prstDash w14:val="solid"/>
                  <w14:miter w14:lim="400000"/>
                </w14:textOutline>
              </w:rPr>
              <w:t>Aeq,8 Hour</w:t>
            </w:r>
          </w:p>
        </w:tc>
      </w:tr>
    </w:tbl>
    <w:p w14:paraId="317AEB66" w14:textId="77777777" w:rsidR="00A373F2" w:rsidRDefault="00A373F2">
      <w:pPr>
        <w:pStyle w:val="Default"/>
        <w:ind w:right="1394"/>
        <w:jc w:val="both"/>
        <w:rPr>
          <w14:textOutline w14:w="0" w14:cap="flat" w14:cmpd="sng" w14:algn="ctr">
            <w14:noFill/>
            <w14:prstDash w14:val="solid"/>
            <w14:bevel/>
          </w14:textOutline>
        </w:rPr>
      </w:pPr>
    </w:p>
    <w:p w14:paraId="317AEB67" w14:textId="77777777" w:rsidR="00A373F2" w:rsidRDefault="00A373F2">
      <w:pPr>
        <w:pStyle w:val="Default"/>
        <w:ind w:right="1394"/>
        <w:jc w:val="both"/>
        <w:rPr>
          <w14:textOutline w14:w="0" w14:cap="flat" w14:cmpd="sng" w14:algn="ctr">
            <w14:noFill/>
            <w14:prstDash w14:val="solid"/>
            <w14:bevel/>
          </w14:textOutline>
        </w:rPr>
      </w:pPr>
    </w:p>
    <w:p w14:paraId="317AEB68" w14:textId="77777777" w:rsidR="00A373F2" w:rsidRDefault="00A373F2">
      <w:pPr>
        <w:pStyle w:val="Default"/>
        <w:ind w:right="1394"/>
        <w:jc w:val="both"/>
      </w:pPr>
    </w:p>
    <w:p w14:paraId="317AEB69" w14:textId="77777777" w:rsidR="00A373F2" w:rsidRDefault="00791930">
      <w:pPr>
        <w:pStyle w:val="Default"/>
        <w:ind w:right="1394"/>
        <w:jc w:val="both"/>
      </w:pPr>
      <w:r>
        <w:t>Therefore sound insulation measures such as a Glazing specification of Double Glazed Units min. R</w:t>
      </w:r>
      <w:r>
        <w:rPr>
          <w:sz w:val="14"/>
          <w:szCs w:val="14"/>
        </w:rPr>
        <w:t>TRA</w:t>
      </w:r>
      <w:r>
        <w:t xml:space="preserve"> 25db (Value taken for 4mm pane, 6-16mm air gap, 4mm pane from Table 4 of BS 12758:2011), in addition to fully insulated Cavity Wall construction to the Front (Street facing) Elevation will ensure the building envelope meets the above criteria in mitigating external traffic noise and providing an acceptable sound environment to the dwelling.</w:t>
      </w:r>
    </w:p>
    <w:p w14:paraId="317AEB6A" w14:textId="77777777" w:rsidR="00A373F2" w:rsidRDefault="00A373F2">
      <w:pPr>
        <w:pStyle w:val="Default"/>
        <w:ind w:right="1394"/>
        <w:jc w:val="both"/>
        <w:rPr>
          <w:b/>
          <w:bCs/>
        </w:rPr>
      </w:pPr>
    </w:p>
    <w:p w14:paraId="317AEB6B" w14:textId="77777777" w:rsidR="00A373F2" w:rsidRDefault="00A373F2">
      <w:pPr>
        <w:pStyle w:val="Default"/>
        <w:ind w:right="1394"/>
        <w:jc w:val="both"/>
      </w:pPr>
    </w:p>
    <w:p w14:paraId="317AEB6F" w14:textId="77777777" w:rsidR="00A373F2" w:rsidRDefault="00A373F2">
      <w:pPr>
        <w:pStyle w:val="Default"/>
        <w:ind w:right="1394"/>
        <w:jc w:val="both"/>
      </w:pPr>
    </w:p>
    <w:p w14:paraId="317AEB70" w14:textId="77777777" w:rsidR="00A373F2" w:rsidRDefault="00A373F2">
      <w:pPr>
        <w:pStyle w:val="Default"/>
        <w:ind w:right="1394"/>
        <w:jc w:val="both"/>
      </w:pPr>
    </w:p>
    <w:p w14:paraId="317AEB71" w14:textId="77777777" w:rsidR="00A373F2" w:rsidRDefault="00A373F2">
      <w:pPr>
        <w:pStyle w:val="Default"/>
        <w:ind w:right="1394"/>
        <w:jc w:val="both"/>
      </w:pPr>
    </w:p>
    <w:p w14:paraId="317AEB72" w14:textId="77777777" w:rsidR="00A373F2" w:rsidRDefault="00A373F2">
      <w:pPr>
        <w:pStyle w:val="Default"/>
        <w:ind w:right="1394"/>
        <w:jc w:val="both"/>
      </w:pPr>
    </w:p>
    <w:p w14:paraId="317AEB73" w14:textId="77777777" w:rsidR="00A373F2" w:rsidRDefault="00A373F2">
      <w:pPr>
        <w:pStyle w:val="Default"/>
        <w:ind w:right="1394"/>
        <w:jc w:val="both"/>
      </w:pPr>
    </w:p>
    <w:p w14:paraId="317AEB74" w14:textId="77777777" w:rsidR="00A373F2" w:rsidRDefault="00A373F2">
      <w:pPr>
        <w:pStyle w:val="Default"/>
        <w:ind w:right="1394"/>
        <w:jc w:val="both"/>
      </w:pPr>
    </w:p>
    <w:p w14:paraId="317AEB75" w14:textId="77777777" w:rsidR="00A373F2" w:rsidRDefault="00A373F2">
      <w:pPr>
        <w:pStyle w:val="Default"/>
        <w:ind w:right="1394"/>
        <w:jc w:val="both"/>
      </w:pPr>
    </w:p>
    <w:p w14:paraId="317AEB76" w14:textId="77777777" w:rsidR="00A373F2" w:rsidRDefault="00A373F2">
      <w:pPr>
        <w:pStyle w:val="Default"/>
        <w:ind w:right="1394"/>
        <w:jc w:val="center"/>
        <w:rPr>
          <w:b/>
          <w:bCs/>
        </w:rPr>
      </w:pPr>
    </w:p>
    <w:p w14:paraId="317AEB77" w14:textId="77777777" w:rsidR="00A373F2" w:rsidRDefault="00A373F2">
      <w:pPr>
        <w:pStyle w:val="Default"/>
        <w:ind w:right="1394"/>
        <w:jc w:val="center"/>
        <w:rPr>
          <w:b/>
          <w:bCs/>
        </w:rPr>
      </w:pPr>
    </w:p>
    <w:p w14:paraId="317AEB78" w14:textId="77777777" w:rsidR="00A373F2" w:rsidRDefault="00A373F2">
      <w:pPr>
        <w:pStyle w:val="Default"/>
        <w:ind w:right="1394"/>
        <w:jc w:val="center"/>
        <w:rPr>
          <w:b/>
          <w:bCs/>
        </w:rPr>
      </w:pPr>
    </w:p>
    <w:p w14:paraId="317AEB79" w14:textId="77777777" w:rsidR="00A373F2" w:rsidRDefault="00A373F2">
      <w:pPr>
        <w:pStyle w:val="Default"/>
        <w:ind w:right="1394"/>
        <w:jc w:val="center"/>
        <w:rPr>
          <w:b/>
          <w:bCs/>
        </w:rPr>
      </w:pPr>
    </w:p>
    <w:p w14:paraId="317AEB7A" w14:textId="77777777" w:rsidR="00A373F2" w:rsidRDefault="00791930">
      <w:pPr>
        <w:pStyle w:val="Default"/>
        <w:ind w:right="1394"/>
        <w:jc w:val="center"/>
      </w:pPr>
      <w:r>
        <w:rPr>
          <w:b/>
          <w:bCs/>
        </w:rPr>
        <w:fldChar w:fldCharType="begin"/>
      </w:r>
      <w:r>
        <w:rPr>
          <w:b/>
          <w:bCs/>
        </w:rPr>
        <w:instrText xml:space="preserve"> PAGE </w:instrText>
      </w:r>
      <w:r>
        <w:rPr>
          <w:b/>
          <w:bCs/>
        </w:rPr>
        <w:fldChar w:fldCharType="separate"/>
      </w:r>
      <w:r>
        <w:rPr>
          <w:b/>
          <w:bCs/>
        </w:rPr>
        <w:t>4</w:t>
      </w:r>
      <w:r>
        <w:rPr>
          <w:b/>
          <w:bCs/>
        </w:rPr>
        <w:fldChar w:fldCharType="end"/>
      </w:r>
      <w:r>
        <w:rPr>
          <w:rFonts w:ascii="Arial Unicode MS" w:hAnsi="Arial Unicode MS"/>
        </w:rPr>
        <w:br w:type="page"/>
      </w:r>
    </w:p>
    <w:p w14:paraId="317AEB7F" w14:textId="77777777" w:rsidR="00A373F2" w:rsidRDefault="00791930">
      <w:pPr>
        <w:pStyle w:val="Default"/>
        <w:ind w:right="1394"/>
        <w:jc w:val="both"/>
        <w:rPr>
          <w:b/>
          <w:bCs/>
        </w:rPr>
      </w:pPr>
      <w:r>
        <w:rPr>
          <w:b/>
          <w:bCs/>
        </w:rPr>
        <w:lastRenderedPageBreak/>
        <w:t xml:space="preserve">Biodiversity/Ecological Impact Assessment </w:t>
      </w:r>
    </w:p>
    <w:p w14:paraId="317AEB80" w14:textId="77777777" w:rsidR="00A373F2" w:rsidRDefault="00A373F2">
      <w:pPr>
        <w:pStyle w:val="Default"/>
        <w:ind w:right="1394"/>
        <w:jc w:val="both"/>
        <w:rPr>
          <w:b/>
          <w:bCs/>
        </w:rPr>
      </w:pPr>
    </w:p>
    <w:p w14:paraId="317AEB81" w14:textId="77777777" w:rsidR="00A373F2" w:rsidRDefault="00791930">
      <w:pPr>
        <w:pStyle w:val="Default"/>
        <w:ind w:right="1394"/>
        <w:jc w:val="both"/>
      </w:pPr>
      <w:r>
        <w:t xml:space="preserve">The proposal seeks to improve biodiversity within the curtilage of the site, with the proposed Planting scheme increasing the potential habitat for wildlife (see Landscape Plan). </w:t>
      </w:r>
    </w:p>
    <w:p w14:paraId="317AEB82" w14:textId="77777777" w:rsidR="00A373F2" w:rsidRDefault="00791930">
      <w:pPr>
        <w:pStyle w:val="Default"/>
        <w:ind w:right="1394"/>
        <w:jc w:val="both"/>
      </w:pPr>
      <w:r>
        <w:t xml:space="preserve">Great crested </w:t>
      </w:r>
      <w:proofErr w:type="gramStart"/>
      <w:r>
        <w:t>Newts  and</w:t>
      </w:r>
      <w:proofErr w:type="gramEnd"/>
      <w:r>
        <w:t xml:space="preserve"> other Protected species have not been identified within proximity to the site, however, Ecology surveys, if required, and details of mitigating measures are proposed to be dealt with at condition stage.</w:t>
      </w:r>
    </w:p>
    <w:p w14:paraId="317AEB83" w14:textId="77777777" w:rsidR="00A373F2" w:rsidRDefault="00A373F2">
      <w:pPr>
        <w:pStyle w:val="Default"/>
        <w:ind w:right="1394"/>
        <w:jc w:val="both"/>
      </w:pPr>
    </w:p>
    <w:p w14:paraId="317AEB84" w14:textId="77777777" w:rsidR="00A373F2" w:rsidRDefault="00791930">
      <w:pPr>
        <w:pStyle w:val="Default"/>
        <w:ind w:right="1394"/>
        <w:jc w:val="both"/>
        <w:rPr>
          <w:b/>
          <w:bCs/>
        </w:rPr>
      </w:pPr>
      <w:r>
        <w:rPr>
          <w:b/>
          <w:bCs/>
        </w:rPr>
        <w:t>Flooding and Drainage</w:t>
      </w:r>
    </w:p>
    <w:p w14:paraId="317AEB85" w14:textId="77777777" w:rsidR="00A373F2" w:rsidRDefault="00A373F2">
      <w:pPr>
        <w:pStyle w:val="Default"/>
        <w:ind w:right="1394"/>
        <w:jc w:val="both"/>
        <w:rPr>
          <w:b/>
          <w:bCs/>
        </w:rPr>
      </w:pPr>
    </w:p>
    <w:p w14:paraId="317AEB86" w14:textId="77777777" w:rsidR="00A373F2" w:rsidRDefault="00791930">
      <w:pPr>
        <w:pStyle w:val="Default"/>
        <w:ind w:right="1394"/>
        <w:jc w:val="both"/>
      </w:pPr>
      <w:r>
        <w:t xml:space="preserve">The location of the application site within Flood Zone 1 does not give rise to concerns </w:t>
      </w:r>
      <w:proofErr w:type="gramStart"/>
      <w:r>
        <w:t>in regards to</w:t>
      </w:r>
      <w:proofErr w:type="gramEnd"/>
      <w:r>
        <w:t xml:space="preserve"> flooding or drainage, as the site is not located within Flood Zone 2 or 3. </w:t>
      </w:r>
    </w:p>
    <w:p w14:paraId="317AEB87" w14:textId="77777777" w:rsidR="00A373F2" w:rsidRDefault="00791930">
      <w:pPr>
        <w:pStyle w:val="Default"/>
        <w:ind w:right="1394"/>
        <w:jc w:val="both"/>
      </w:pPr>
      <w:r>
        <w:t>Existing surface water systems are already in place within the curtilage of the existing dwelling, and the proposal aims to improve upon these systems with increased surface water management (</w:t>
      </w:r>
      <w:proofErr w:type="spellStart"/>
      <w:r>
        <w:t>Soakaway</w:t>
      </w:r>
      <w:proofErr w:type="spellEnd"/>
      <w:r>
        <w:t>) sufficient to accommodate the proposed Roof Area, as well as removal of existing Tarmac surfacing and replacement with permeable paving to the hard standing areas, as well as proposed planting and soft landscaping (See Landscape Plan). The Existing Foul system is also in place and a new connection from the proposed dwelling is planned.</w:t>
      </w:r>
    </w:p>
    <w:p w14:paraId="317AEB88" w14:textId="77777777" w:rsidR="00A373F2" w:rsidRDefault="00791930">
      <w:pPr>
        <w:pStyle w:val="Default"/>
        <w:ind w:right="1394"/>
        <w:jc w:val="center"/>
        <w:rPr>
          <w:b/>
          <w:bCs/>
        </w:rPr>
      </w:pPr>
      <w:r>
        <w:rPr>
          <w:b/>
          <w:bCs/>
          <w:noProof/>
        </w:rPr>
        <w:drawing>
          <wp:anchor distT="152400" distB="152400" distL="152400" distR="152400" simplePos="0" relativeHeight="251659264" behindDoc="0" locked="0" layoutInCell="1" allowOverlap="1" wp14:anchorId="317AEBB4" wp14:editId="317AEBB5">
            <wp:simplePos x="0" y="0"/>
            <wp:positionH relativeFrom="margin">
              <wp:posOffset>-86790</wp:posOffset>
            </wp:positionH>
            <wp:positionV relativeFrom="line">
              <wp:posOffset>266522</wp:posOffset>
            </wp:positionV>
            <wp:extent cx="6636611" cy="4660826"/>
            <wp:effectExtent l="0" t="0" r="0" b="0"/>
            <wp:wrapThrough wrapText="bothSides" distL="152400" distR="152400">
              <wp:wrapPolygon edited="1">
                <wp:start x="0" y="0"/>
                <wp:lineTo x="21621" y="0"/>
                <wp:lineTo x="21621" y="21626"/>
                <wp:lineTo x="0" y="21626"/>
                <wp:lineTo x="0" y="0"/>
              </wp:wrapPolygon>
            </wp:wrapThrough>
            <wp:docPr id="1073741826" name="officeArt object" descr="Image"/>
            <wp:cNvGraphicFramePr/>
            <a:graphic xmlns:a="http://schemas.openxmlformats.org/drawingml/2006/main">
              <a:graphicData uri="http://schemas.openxmlformats.org/drawingml/2006/picture">
                <pic:pic xmlns:pic="http://schemas.openxmlformats.org/drawingml/2006/picture">
                  <pic:nvPicPr>
                    <pic:cNvPr id="1073741826" name="Image" descr="Image"/>
                    <pic:cNvPicPr>
                      <a:picLocks noChangeAspect="1"/>
                    </pic:cNvPicPr>
                  </pic:nvPicPr>
                  <pic:blipFill>
                    <a:blip r:embed="rId8"/>
                    <a:stretch>
                      <a:fillRect/>
                    </a:stretch>
                  </pic:blipFill>
                  <pic:spPr>
                    <a:xfrm>
                      <a:off x="0" y="0"/>
                      <a:ext cx="6636611" cy="4660826"/>
                    </a:xfrm>
                    <a:prstGeom prst="rect">
                      <a:avLst/>
                    </a:prstGeom>
                    <a:ln w="12700" cap="flat">
                      <a:noFill/>
                      <a:miter lim="400000"/>
                    </a:ln>
                    <a:effectLst/>
                  </pic:spPr>
                </pic:pic>
              </a:graphicData>
            </a:graphic>
          </wp:anchor>
        </w:drawing>
      </w:r>
    </w:p>
    <w:p w14:paraId="317AEB89" w14:textId="77777777" w:rsidR="00A373F2" w:rsidRDefault="00A373F2">
      <w:pPr>
        <w:pStyle w:val="Default"/>
        <w:ind w:right="1394"/>
        <w:jc w:val="center"/>
        <w:rPr>
          <w:b/>
          <w:bCs/>
        </w:rPr>
      </w:pPr>
    </w:p>
    <w:p w14:paraId="317AEB8A" w14:textId="77777777" w:rsidR="00A373F2" w:rsidRDefault="00A373F2">
      <w:pPr>
        <w:pStyle w:val="Default"/>
        <w:ind w:right="1394"/>
        <w:jc w:val="center"/>
        <w:rPr>
          <w:b/>
          <w:bCs/>
        </w:rPr>
      </w:pPr>
    </w:p>
    <w:p w14:paraId="317AEB8D" w14:textId="77777777" w:rsidR="00A373F2" w:rsidRDefault="00791930">
      <w:pPr>
        <w:pStyle w:val="Default"/>
        <w:ind w:right="1394"/>
        <w:jc w:val="center"/>
      </w:pPr>
      <w:r>
        <w:rPr>
          <w:b/>
          <w:bCs/>
        </w:rPr>
        <w:fldChar w:fldCharType="begin"/>
      </w:r>
      <w:r>
        <w:rPr>
          <w:b/>
          <w:bCs/>
        </w:rPr>
        <w:instrText xml:space="preserve"> PAGE </w:instrText>
      </w:r>
      <w:r>
        <w:rPr>
          <w:b/>
          <w:bCs/>
        </w:rPr>
        <w:fldChar w:fldCharType="separate"/>
      </w:r>
      <w:r>
        <w:rPr>
          <w:b/>
          <w:bCs/>
        </w:rPr>
        <w:t>5</w:t>
      </w:r>
      <w:r>
        <w:rPr>
          <w:b/>
          <w:bCs/>
        </w:rPr>
        <w:fldChar w:fldCharType="end"/>
      </w:r>
      <w:r>
        <w:rPr>
          <w:rFonts w:ascii="Arial Unicode MS" w:hAnsi="Arial Unicode MS"/>
        </w:rPr>
        <w:br w:type="page"/>
      </w:r>
    </w:p>
    <w:p w14:paraId="317AEB91" w14:textId="77777777" w:rsidR="00A373F2" w:rsidRDefault="00791930">
      <w:pPr>
        <w:pStyle w:val="Default"/>
        <w:ind w:right="1394"/>
        <w:jc w:val="both"/>
        <w:rPr>
          <w:b/>
          <w:bCs/>
        </w:rPr>
      </w:pPr>
      <w:r>
        <w:rPr>
          <w:b/>
          <w:bCs/>
        </w:rPr>
        <w:lastRenderedPageBreak/>
        <w:t>Transport Statement</w:t>
      </w:r>
    </w:p>
    <w:p w14:paraId="317AEB92" w14:textId="77777777" w:rsidR="00A373F2" w:rsidRDefault="00A373F2">
      <w:pPr>
        <w:pStyle w:val="Default"/>
        <w:ind w:right="1394"/>
        <w:jc w:val="both"/>
        <w:rPr>
          <w:b/>
          <w:bCs/>
        </w:rPr>
      </w:pPr>
    </w:p>
    <w:p w14:paraId="317AEB93" w14:textId="77777777" w:rsidR="00A373F2" w:rsidRDefault="00791930">
      <w:pPr>
        <w:pStyle w:val="Default"/>
        <w:ind w:right="1394"/>
        <w:jc w:val="both"/>
      </w:pPr>
      <w:r>
        <w:t xml:space="preserve">The proximity of the site to local Bus Routes (including Reading Buses Purple 17 Route immediately adjacent to the site) offers good access to public transport systems. The provision of Parking spaces previously outlined (2 spaces), as well as the provision of EV Charging and secure cycle storage also offer improved access to sustainable transport methods. </w:t>
      </w:r>
    </w:p>
    <w:p w14:paraId="317AEB94" w14:textId="77777777" w:rsidR="00A373F2" w:rsidRDefault="00A373F2">
      <w:pPr>
        <w:pStyle w:val="Default"/>
        <w:ind w:right="1394"/>
        <w:jc w:val="both"/>
      </w:pPr>
    </w:p>
    <w:p w14:paraId="317AEB95" w14:textId="77777777" w:rsidR="00A373F2" w:rsidRDefault="00791930">
      <w:pPr>
        <w:pStyle w:val="Default"/>
        <w:ind w:right="1394"/>
        <w:jc w:val="both"/>
        <w:rPr>
          <w:b/>
          <w:bCs/>
        </w:rPr>
      </w:pPr>
      <w:r>
        <w:rPr>
          <w:b/>
          <w:bCs/>
        </w:rPr>
        <w:t>Waste Management</w:t>
      </w:r>
    </w:p>
    <w:p w14:paraId="317AEB96" w14:textId="77777777" w:rsidR="00A373F2" w:rsidRDefault="00A373F2">
      <w:pPr>
        <w:pStyle w:val="Default"/>
        <w:ind w:right="1394"/>
        <w:jc w:val="both"/>
        <w:rPr>
          <w:b/>
          <w:bCs/>
        </w:rPr>
      </w:pPr>
    </w:p>
    <w:p w14:paraId="317AEB97" w14:textId="77777777" w:rsidR="00A373F2" w:rsidRDefault="00791930">
      <w:pPr>
        <w:pStyle w:val="Default"/>
        <w:ind w:right="1394"/>
        <w:jc w:val="both"/>
      </w:pPr>
      <w:r>
        <w:t>Bin Storage positions and collection positions are indicated within the Proposed Site Plan.</w:t>
      </w:r>
    </w:p>
    <w:p w14:paraId="317AEB98" w14:textId="77777777" w:rsidR="00A373F2" w:rsidRDefault="00A373F2">
      <w:pPr>
        <w:pStyle w:val="Default"/>
        <w:ind w:right="1394"/>
        <w:rPr>
          <w:b/>
          <w:bCs/>
        </w:rPr>
      </w:pPr>
    </w:p>
    <w:p w14:paraId="317AEB99" w14:textId="77777777" w:rsidR="00A373F2" w:rsidRDefault="00791930">
      <w:pPr>
        <w:pStyle w:val="Default"/>
        <w:ind w:right="1394"/>
        <w:jc w:val="both"/>
        <w:rPr>
          <w:b/>
          <w:bCs/>
          <w14:textOutline w14:w="0" w14:cap="flat" w14:cmpd="sng" w14:algn="ctr">
            <w14:noFill/>
            <w14:prstDash w14:val="solid"/>
            <w14:bevel/>
          </w14:textOutline>
        </w:rPr>
      </w:pPr>
      <w:r>
        <w:rPr>
          <w:b/>
          <w:bCs/>
          <w14:textOutline w14:w="0" w14:cap="flat" w14:cmpd="sng" w14:algn="ctr">
            <w14:noFill/>
            <w14:prstDash w14:val="solid"/>
            <w14:bevel/>
          </w14:textOutline>
        </w:rPr>
        <w:t>Affordable Housing</w:t>
      </w:r>
    </w:p>
    <w:p w14:paraId="317AEB9A" w14:textId="77777777" w:rsidR="00A373F2" w:rsidRDefault="00A373F2">
      <w:pPr>
        <w:pStyle w:val="Default"/>
        <w:ind w:right="1394"/>
        <w:jc w:val="both"/>
        <w:rPr>
          <w:b/>
          <w:bCs/>
          <w14:textOutline w14:w="0" w14:cap="flat" w14:cmpd="sng" w14:algn="ctr">
            <w14:noFill/>
            <w14:prstDash w14:val="solid"/>
            <w14:bevel/>
          </w14:textOutline>
        </w:rPr>
      </w:pPr>
    </w:p>
    <w:p w14:paraId="317AEB9B"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 xml:space="preserve">Policy H3 of the Reading Borough Local Plan (Adopted November 2019) states the following: </w:t>
      </w:r>
    </w:p>
    <w:p w14:paraId="317AEB9C"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w:t>
      </w:r>
      <w:proofErr w:type="gramStart"/>
      <w:r>
        <w:rPr>
          <w:i/>
          <w:iCs/>
          <w14:textOutline w14:w="0" w14:cap="flat" w14:cmpd="sng" w14:algn="ctr">
            <w14:noFill/>
            <w14:prstDash w14:val="solid"/>
            <w14:bevel/>
          </w14:textOutline>
        </w:rPr>
        <w:t>on</w:t>
      </w:r>
      <w:proofErr w:type="gramEnd"/>
      <w:r>
        <w:rPr>
          <w:i/>
          <w:iCs/>
          <w14:textOutline w14:w="0" w14:cap="flat" w14:cmpd="sng" w14:algn="ctr">
            <w14:noFill/>
            <w14:prstDash w14:val="solid"/>
            <w14:bevel/>
          </w14:textOutline>
        </w:rPr>
        <w:t xml:space="preserve"> sites of 1 – 4 dwellings, a financial contribution will be made that will enable the equivalent of 10% of the housing to be provided as affordable housing elsewhere in the Borough</w:t>
      </w:r>
      <w:r>
        <w:rPr>
          <w14:textOutline w14:w="0" w14:cap="flat" w14:cmpd="sng" w14:algn="ctr">
            <w14:noFill/>
            <w14:prstDash w14:val="solid"/>
            <w14:bevel/>
          </w14:textOutline>
        </w:rPr>
        <w:t>.’</w:t>
      </w:r>
    </w:p>
    <w:p w14:paraId="317AEB9D" w14:textId="77777777" w:rsidR="00A373F2" w:rsidRDefault="00A373F2">
      <w:pPr>
        <w:pStyle w:val="Default"/>
        <w:ind w:right="1394"/>
        <w:jc w:val="both"/>
        <w:rPr>
          <w14:textOutline w14:w="0" w14:cap="flat" w14:cmpd="sng" w14:algn="ctr">
            <w14:noFill/>
            <w14:prstDash w14:val="solid"/>
            <w14:bevel/>
          </w14:textOutline>
        </w:rPr>
      </w:pPr>
    </w:p>
    <w:p w14:paraId="317AEB9E"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 xml:space="preserve">While the Affordable Housing Supplementary Planning Document (Adopted March 2021) chapter </w:t>
      </w:r>
      <w:proofErr w:type="gramStart"/>
      <w:r>
        <w:rPr>
          <w14:textOutline w14:w="0" w14:cap="flat" w14:cmpd="sng" w14:algn="ctr">
            <w14:noFill/>
            <w14:prstDash w14:val="solid"/>
            <w14:bevel/>
          </w14:textOutline>
        </w:rPr>
        <w:t>7.7,</w:t>
      </w:r>
      <w:proofErr w:type="gramEnd"/>
      <w:r>
        <w:rPr>
          <w14:textOutline w14:w="0" w14:cap="flat" w14:cmpd="sng" w14:algn="ctr">
            <w14:noFill/>
            <w14:prstDash w14:val="solid"/>
            <w14:bevel/>
          </w14:textOutline>
        </w:rPr>
        <w:t xml:space="preserve"> states:</w:t>
      </w:r>
    </w:p>
    <w:p w14:paraId="317AEB9F" w14:textId="77777777" w:rsidR="00A373F2" w:rsidRDefault="00A373F2">
      <w:pPr>
        <w:pStyle w:val="Default"/>
        <w:ind w:right="1394"/>
        <w:jc w:val="both"/>
        <w:rPr>
          <w14:textOutline w14:w="0" w14:cap="flat" w14:cmpd="sng" w14:algn="ctr">
            <w14:noFill/>
            <w14:prstDash w14:val="solid"/>
            <w14:bevel/>
          </w14:textOutline>
        </w:rPr>
      </w:pPr>
    </w:p>
    <w:p w14:paraId="317AEBA0" w14:textId="77777777" w:rsidR="00A373F2" w:rsidRDefault="00791930">
      <w:pPr>
        <w:pStyle w:val="Default"/>
        <w:ind w:right="1394"/>
        <w:jc w:val="both"/>
        <w:rPr>
          <w:i/>
          <w:iCs/>
          <w14:textOutline w14:w="0" w14:cap="flat" w14:cmpd="sng" w14:algn="ctr">
            <w14:noFill/>
            <w14:prstDash w14:val="solid"/>
            <w14:bevel/>
          </w14:textOutline>
        </w:rPr>
      </w:pPr>
      <w:r>
        <w:rPr>
          <w:i/>
          <w:iCs/>
          <w14:textOutline w14:w="0" w14:cap="flat" w14:cmpd="sng" w14:algn="ctr">
            <w14:noFill/>
            <w14:prstDash w14:val="solid"/>
            <w14:bevel/>
          </w14:textOutline>
        </w:rPr>
        <w:t>‘A typical Affordable Housing Statement for developments of less than 10 dwellings, where an off-site financial contribution is expected, should include the following information:</w:t>
      </w:r>
    </w:p>
    <w:p w14:paraId="317AEBA1" w14:textId="77777777" w:rsidR="00A373F2" w:rsidRDefault="00791930">
      <w:pPr>
        <w:pStyle w:val="Default"/>
        <w:ind w:right="1394"/>
        <w:jc w:val="both"/>
        <w:rPr>
          <w:i/>
          <w:iCs/>
          <w14:textOutline w14:w="0" w14:cap="flat" w14:cmpd="sng" w14:algn="ctr">
            <w14:noFill/>
            <w14:prstDash w14:val="solid"/>
            <w14:bevel/>
          </w14:textOutline>
        </w:rPr>
      </w:pPr>
      <w:r>
        <w:rPr>
          <w:i/>
          <w:iCs/>
          <w14:textOutline w14:w="0" w14:cap="flat" w14:cmpd="sng" w14:algn="ctr">
            <w14:noFill/>
            <w14:prstDash w14:val="solid"/>
            <w14:bevel/>
          </w14:textOutline>
        </w:rPr>
        <w:tab/>
        <w:t xml:space="preserve">• the total number of all residential </w:t>
      </w:r>
      <w:proofErr w:type="gramStart"/>
      <w:r>
        <w:rPr>
          <w:i/>
          <w:iCs/>
          <w14:textOutline w14:w="0" w14:cap="flat" w14:cmpd="sng" w14:algn="ctr">
            <w14:noFill/>
            <w14:prstDash w14:val="solid"/>
            <w14:bevel/>
          </w14:textOutline>
        </w:rPr>
        <w:t>units;</w:t>
      </w:r>
      <w:proofErr w:type="gramEnd"/>
    </w:p>
    <w:p w14:paraId="317AEBA2" w14:textId="77777777" w:rsidR="00A373F2" w:rsidRDefault="00791930">
      <w:pPr>
        <w:pStyle w:val="Default"/>
        <w:ind w:right="1394"/>
        <w:jc w:val="both"/>
        <w:rPr>
          <w:i/>
          <w:iCs/>
          <w14:textOutline w14:w="0" w14:cap="flat" w14:cmpd="sng" w14:algn="ctr">
            <w14:noFill/>
            <w14:prstDash w14:val="solid"/>
            <w14:bevel/>
          </w14:textOutline>
        </w:rPr>
      </w:pPr>
      <w:r>
        <w:rPr>
          <w:i/>
          <w:iCs/>
          <w14:textOutline w14:w="0" w14:cap="flat" w14:cmpd="sng" w14:algn="ctr">
            <w14:noFill/>
            <w14:prstDash w14:val="solid"/>
            <w14:bevel/>
          </w14:textOutline>
        </w:rPr>
        <w:tab/>
        <w:t xml:space="preserve">• details of the Gross Development Value (GDV) of the whole development, based </w:t>
      </w:r>
      <w:r>
        <w:rPr>
          <w:i/>
          <w:iCs/>
          <w14:textOutline w14:w="0" w14:cap="flat" w14:cmpd="sng" w14:algn="ctr">
            <w14:noFill/>
            <w14:prstDash w14:val="solid"/>
            <w14:bevel/>
          </w14:textOutline>
        </w:rPr>
        <w:tab/>
      </w:r>
      <w:r>
        <w:rPr>
          <w:i/>
          <w:iCs/>
          <w14:textOutline w14:w="0" w14:cap="flat" w14:cmpd="sng" w14:algn="ctr">
            <w14:noFill/>
            <w14:prstDash w14:val="solid"/>
            <w14:bevel/>
          </w14:textOutline>
        </w:rPr>
        <w:tab/>
        <w:t xml:space="preserve">on two separate valuations by suitably qualified estate agents of the </w:t>
      </w:r>
      <w:r>
        <w:rPr>
          <w:i/>
          <w:iCs/>
          <w14:textOutline w14:w="0" w14:cap="flat" w14:cmpd="sng" w14:algn="ctr">
            <w14:noFill/>
            <w14:prstDash w14:val="solid"/>
            <w14:bevel/>
          </w14:textOutline>
        </w:rPr>
        <w:tab/>
      </w:r>
      <w:r>
        <w:rPr>
          <w:i/>
          <w:iCs/>
          <w14:textOutline w14:w="0" w14:cap="flat" w14:cmpd="sng" w14:algn="ctr">
            <w14:noFill/>
            <w14:prstDash w14:val="solid"/>
            <w14:bevel/>
          </w14:textOutline>
        </w:rPr>
        <w:tab/>
      </w:r>
      <w:r>
        <w:rPr>
          <w:i/>
          <w:iCs/>
          <w14:textOutline w14:w="0" w14:cap="flat" w14:cmpd="sng" w14:algn="ctr">
            <w14:noFill/>
            <w14:prstDash w14:val="solid"/>
            <w14:bevel/>
          </w14:textOutline>
        </w:rPr>
        <w:tab/>
      </w:r>
      <w:r>
        <w:rPr>
          <w:i/>
          <w:iCs/>
          <w14:textOutline w14:w="0" w14:cap="flat" w14:cmpd="sng" w14:algn="ctr">
            <w14:noFill/>
            <w14:prstDash w14:val="solid"/>
            <w14:bevel/>
          </w14:textOutline>
        </w:rPr>
        <w:tab/>
        <w:t>completed development; and</w:t>
      </w:r>
    </w:p>
    <w:p w14:paraId="317AEBA3" w14:textId="77777777" w:rsidR="00A373F2" w:rsidRDefault="00791930">
      <w:pPr>
        <w:pStyle w:val="Default"/>
        <w:ind w:right="1394"/>
        <w:jc w:val="both"/>
        <w:rPr>
          <w:i/>
          <w:iCs/>
          <w14:textOutline w14:w="0" w14:cap="flat" w14:cmpd="sng" w14:algn="ctr">
            <w14:noFill/>
            <w14:prstDash w14:val="solid"/>
            <w14:bevel/>
          </w14:textOutline>
        </w:rPr>
      </w:pPr>
      <w:r>
        <w:rPr>
          <w:i/>
          <w:iCs/>
          <w14:textOutline w14:w="0" w14:cap="flat" w14:cmpd="sng" w14:algn="ctr">
            <w14:noFill/>
            <w14:prstDash w14:val="solid"/>
            <w14:bevel/>
          </w14:textOutline>
        </w:rPr>
        <w:tab/>
        <w:t>• the proposed level of financial contribution.’</w:t>
      </w:r>
    </w:p>
    <w:p w14:paraId="317AEBA4" w14:textId="77777777" w:rsidR="00A373F2" w:rsidRDefault="00A373F2">
      <w:pPr>
        <w:pStyle w:val="Default"/>
        <w:ind w:right="1394"/>
        <w:jc w:val="both"/>
        <w:rPr>
          <w14:textOutline w14:w="0" w14:cap="flat" w14:cmpd="sng" w14:algn="ctr">
            <w14:noFill/>
            <w14:prstDash w14:val="solid"/>
            <w14:bevel/>
          </w14:textOutline>
        </w:rPr>
      </w:pPr>
    </w:p>
    <w:p w14:paraId="317AEBA5"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 xml:space="preserve">Total number of Residential Units: </w:t>
      </w:r>
      <w:proofErr w:type="gramStart"/>
      <w:r>
        <w:rPr>
          <w14:textOutline w14:w="0" w14:cap="flat" w14:cmpd="sng" w14:algn="ctr">
            <w14:noFill/>
            <w14:prstDash w14:val="solid"/>
            <w14:bevel/>
          </w14:textOutline>
        </w:rPr>
        <w:t>1</w:t>
      </w:r>
      <w:proofErr w:type="gramEnd"/>
    </w:p>
    <w:p w14:paraId="317AEBA6"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 xml:space="preserve">Gross Development Value (GDV): This information has not yet been </w:t>
      </w:r>
      <w:proofErr w:type="spellStart"/>
      <w:r>
        <w:rPr>
          <w14:textOutline w14:w="0" w14:cap="flat" w14:cmpd="sng" w14:algn="ctr">
            <w14:noFill/>
            <w14:prstDash w14:val="solid"/>
            <w14:bevel/>
          </w14:textOutline>
        </w:rPr>
        <w:t>finalised</w:t>
      </w:r>
      <w:proofErr w:type="spellEnd"/>
      <w:r>
        <w:rPr>
          <w14:textOutline w14:w="0" w14:cap="flat" w14:cmpd="sng" w14:algn="ctr">
            <w14:noFill/>
            <w14:prstDash w14:val="solid"/>
            <w14:bevel/>
          </w14:textOutline>
        </w:rPr>
        <w:t>. However, it will be provided at the appropriate stage.</w:t>
      </w:r>
    </w:p>
    <w:p w14:paraId="317AEBA7" w14:textId="77777777" w:rsidR="00A373F2" w:rsidRDefault="00A373F2">
      <w:pPr>
        <w:pStyle w:val="Default"/>
        <w:ind w:right="1394"/>
        <w:jc w:val="both"/>
        <w:rPr>
          <w14:textOutline w14:w="0" w14:cap="flat" w14:cmpd="sng" w14:algn="ctr">
            <w14:noFill/>
            <w14:prstDash w14:val="solid"/>
            <w14:bevel/>
          </w14:textOutline>
        </w:rPr>
      </w:pPr>
    </w:p>
    <w:p w14:paraId="317AEBA8"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 xml:space="preserve">Proposed Level of Financial Contribution: As the above information has not yet been </w:t>
      </w:r>
      <w:proofErr w:type="spellStart"/>
      <w:r>
        <w:rPr>
          <w14:textOutline w14:w="0" w14:cap="flat" w14:cmpd="sng" w14:algn="ctr">
            <w14:noFill/>
            <w14:prstDash w14:val="solid"/>
            <w14:bevel/>
          </w14:textOutline>
        </w:rPr>
        <w:t>finalised</w:t>
      </w:r>
      <w:proofErr w:type="spellEnd"/>
      <w:r>
        <w:rPr>
          <w14:textOutline w14:w="0" w14:cap="flat" w14:cmpd="sng" w14:algn="ctr">
            <w14:noFill/>
            <w14:prstDash w14:val="solid"/>
            <w14:bevel/>
          </w14:textOutline>
        </w:rPr>
        <w:t>, a calculation of contribution cannot yet be made; however, a financial contribution towards affordable housing in accordance with Affordable Housing Supplementary Planning Document and Policy H3 &amp; CC9 will be made and the applicant formally agrees to this requirement.</w:t>
      </w:r>
    </w:p>
    <w:p w14:paraId="0074EE6C" w14:textId="77777777" w:rsidR="00791930" w:rsidRDefault="00791930">
      <w:pPr>
        <w:pStyle w:val="Default"/>
        <w:ind w:right="1394"/>
        <w:jc w:val="both"/>
        <w:rPr>
          <w14:textOutline w14:w="0" w14:cap="flat" w14:cmpd="sng" w14:algn="ctr">
            <w14:noFill/>
            <w14:prstDash w14:val="solid"/>
            <w14:bevel/>
          </w14:textOutline>
        </w:rPr>
      </w:pPr>
    </w:p>
    <w:p w14:paraId="317AEBAA" w14:textId="77777777" w:rsidR="00A373F2" w:rsidRDefault="00791930">
      <w:pPr>
        <w:pStyle w:val="Default"/>
        <w:ind w:right="1394"/>
        <w:jc w:val="both"/>
        <w:rPr>
          <w:b/>
          <w:bCs/>
        </w:rPr>
      </w:pPr>
      <w:r>
        <w:rPr>
          <w:b/>
          <w:bCs/>
        </w:rPr>
        <w:t>Conclusion</w:t>
      </w:r>
    </w:p>
    <w:p w14:paraId="317AEBAB" w14:textId="77777777" w:rsidR="00A373F2" w:rsidRDefault="00A373F2">
      <w:pPr>
        <w:pStyle w:val="Default"/>
        <w:ind w:right="1394"/>
        <w:jc w:val="both"/>
        <w:rPr>
          <w:b/>
          <w:bCs/>
        </w:rPr>
      </w:pPr>
    </w:p>
    <w:p w14:paraId="317AEBAE" w14:textId="68BBC551" w:rsidR="00A373F2" w:rsidRDefault="00791930">
      <w:pPr>
        <w:pStyle w:val="Default"/>
        <w:ind w:right="1394"/>
        <w:jc w:val="both"/>
      </w:pPr>
      <w:r>
        <w:t xml:space="preserve">The proposal makes a good use of the existing site, and would benefit the local area by providing new housing in a desirable and sustainable location, well related to key facilities and transport links, as well as providing a visually attractive and sustainable design which complements the immediately adjacent existing bungalow. </w:t>
      </w:r>
      <w:proofErr w:type="gramStart"/>
      <w:r>
        <w:t>Good quality</w:t>
      </w:r>
      <w:proofErr w:type="gramEnd"/>
      <w:r>
        <w:t xml:space="preserve"> and appropriately sized private amenity space will be provided in the form of Rear Garden and front curtilage, whilst the site is in </w:t>
      </w:r>
      <w:proofErr w:type="gramStart"/>
      <w:r>
        <w:t>a good location</w:t>
      </w:r>
      <w:proofErr w:type="gramEnd"/>
      <w:r>
        <w:t xml:space="preserve"> with </w:t>
      </w:r>
      <w:proofErr w:type="gramStart"/>
      <w:r>
        <w:t>very close</w:t>
      </w:r>
      <w:proofErr w:type="gramEnd"/>
      <w:r>
        <w:t xml:space="preserve"> access to various transport links and public amenity areas. </w:t>
      </w:r>
    </w:p>
    <w:p w14:paraId="317AEBAF" w14:textId="77777777" w:rsidR="00A373F2" w:rsidRDefault="00A373F2">
      <w:pPr>
        <w:pStyle w:val="Default"/>
        <w:ind w:right="1394"/>
        <w:jc w:val="both"/>
      </w:pPr>
    </w:p>
    <w:p w14:paraId="317AEBB0" w14:textId="77777777" w:rsidR="00A373F2" w:rsidRDefault="00A373F2">
      <w:pPr>
        <w:pStyle w:val="Default"/>
        <w:ind w:right="1394"/>
        <w:jc w:val="both"/>
      </w:pPr>
    </w:p>
    <w:p w14:paraId="719CD8F6" w14:textId="65648EB0" w:rsidR="00791930" w:rsidRPr="00791930" w:rsidRDefault="00791930" w:rsidP="00791930">
      <w:pPr>
        <w:pStyle w:val="Default"/>
        <w:ind w:right="1394"/>
        <w:jc w:val="center"/>
        <w:rPr>
          <w:b/>
          <w:bCs/>
        </w:rPr>
      </w:pPr>
      <w:r w:rsidRPr="00791930">
        <w:rPr>
          <w:b/>
          <w:bCs/>
        </w:rPr>
        <w:t>6.</w:t>
      </w:r>
    </w:p>
    <w:sectPr w:rsidR="00791930" w:rsidRPr="00791930">
      <w:headerReference w:type="default" r:id="rId9"/>
      <w:footerReference w:type="default" r:id="rId10"/>
      <w:pgSz w:w="11900" w:h="16840"/>
      <w:pgMar w:top="0" w:right="0" w:bottom="0" w:left="85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89925" w14:textId="77777777" w:rsidR="00F31D36" w:rsidRDefault="00F31D36">
      <w:r>
        <w:separator/>
      </w:r>
    </w:p>
  </w:endnote>
  <w:endnote w:type="continuationSeparator" w:id="0">
    <w:p w14:paraId="55497B77" w14:textId="77777777" w:rsidR="00F31D36" w:rsidRDefault="00F31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AEBB7" w14:textId="77777777" w:rsidR="00A373F2" w:rsidRDefault="00A373F2">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404A7" w14:textId="77777777" w:rsidR="00F31D36" w:rsidRDefault="00F31D36">
      <w:r>
        <w:separator/>
      </w:r>
    </w:p>
  </w:footnote>
  <w:footnote w:type="continuationSeparator" w:id="0">
    <w:p w14:paraId="0E020F34" w14:textId="77777777" w:rsidR="00F31D36" w:rsidRDefault="00F31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AEBB6" w14:textId="77777777" w:rsidR="00A373F2" w:rsidRDefault="00A373F2">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14907"/>
    <w:multiLevelType w:val="hybridMultilevel"/>
    <w:tmpl w:val="3AAC2E58"/>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53936D9E"/>
    <w:multiLevelType w:val="hybridMultilevel"/>
    <w:tmpl w:val="B3102368"/>
    <w:numStyleLink w:val="ImportedStyle2"/>
  </w:abstractNum>
  <w:abstractNum w:abstractNumId="2" w15:restartNumberingAfterBreak="0">
    <w:nsid w:val="65070B22"/>
    <w:multiLevelType w:val="hybridMultilevel"/>
    <w:tmpl w:val="B3102368"/>
    <w:styleLink w:val="ImportedStyle2"/>
    <w:lvl w:ilvl="0" w:tplc="C06C87CC">
      <w:start w:val="1"/>
      <w:numFmt w:val="low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1504A374">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31C48B80">
      <w:start w:val="1"/>
      <w:numFmt w:val="lowerRoman"/>
      <w:lvlText w:val="%3."/>
      <w:lvlJc w:val="left"/>
      <w:pPr>
        <w:ind w:left="216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3" w:tplc="1FC2CBB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E9AFCB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EC691BC">
      <w:start w:val="1"/>
      <w:numFmt w:val="lowerRoman"/>
      <w:lvlText w:val="%6."/>
      <w:lvlJc w:val="left"/>
      <w:pPr>
        <w:ind w:left="432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6" w:tplc="697880A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ACF6F02A">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05E9F90">
      <w:start w:val="1"/>
      <w:numFmt w:val="lowerRoman"/>
      <w:lvlText w:val="%9."/>
      <w:lvlJc w:val="left"/>
      <w:pPr>
        <w:ind w:left="6480" w:hanging="31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5621DC6"/>
    <w:multiLevelType w:val="hybridMultilevel"/>
    <w:tmpl w:val="D564F434"/>
    <w:styleLink w:val="Bullets"/>
    <w:lvl w:ilvl="0" w:tplc="29A02680">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89146CD0">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CD50071E">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4764432C">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4208C302">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CE18EEFE">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20A490A2">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01B6E1E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48D485A0">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65F07E1B"/>
    <w:multiLevelType w:val="hybridMultilevel"/>
    <w:tmpl w:val="D564F434"/>
    <w:numStyleLink w:val="Bullets"/>
  </w:abstractNum>
  <w:num w:numId="1" w16cid:durableId="1705136781">
    <w:abstractNumId w:val="2"/>
  </w:num>
  <w:num w:numId="2" w16cid:durableId="1603491541">
    <w:abstractNumId w:val="1"/>
  </w:num>
  <w:num w:numId="3" w16cid:durableId="1412971512">
    <w:abstractNumId w:val="3"/>
  </w:num>
  <w:num w:numId="4" w16cid:durableId="1460610550">
    <w:abstractNumId w:val="4"/>
  </w:num>
  <w:num w:numId="5" w16cid:durableId="1964998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3F2"/>
    <w:rsid w:val="00050E45"/>
    <w:rsid w:val="00065F08"/>
    <w:rsid w:val="00663719"/>
    <w:rsid w:val="00791930"/>
    <w:rsid w:val="007C295E"/>
    <w:rsid w:val="007D6293"/>
    <w:rsid w:val="007F06FA"/>
    <w:rsid w:val="008B6638"/>
    <w:rsid w:val="00953563"/>
    <w:rsid w:val="00A373F2"/>
    <w:rsid w:val="00A7723D"/>
    <w:rsid w:val="00AA0B7B"/>
    <w:rsid w:val="00B01F3E"/>
    <w:rsid w:val="00C142F5"/>
    <w:rsid w:val="00E064B5"/>
    <w:rsid w:val="00ED08D2"/>
    <w:rsid w:val="00F31D36"/>
    <w:rsid w:val="00FD0CE2"/>
    <w:rsid w:val="00FF05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AEAF1"/>
  <w15:docId w15:val="{31E93383-9100-4BA7-82FF-08C330DF0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customStyle="1" w:styleId="Default">
    <w:name w:val="Default"/>
    <w:rPr>
      <w:rFonts w:ascii="Arial" w:hAnsi="Arial" w:cs="Arial Unicode MS"/>
      <w:color w:val="000000"/>
      <w:sz w:val="24"/>
      <w:szCs w:val="24"/>
      <w:u w:color="000000"/>
      <w:lang w:val="en-US"/>
      <w14:textOutline w14:w="12700" w14:cap="flat" w14:cmpd="sng" w14:algn="ctr">
        <w14:noFill/>
        <w14:prstDash w14:val="solid"/>
        <w14:miter w14:lim="400000"/>
      </w14:textOutline>
    </w:rPr>
  </w:style>
  <w:style w:type="numbering" w:customStyle="1" w:styleId="ImportedStyle2">
    <w:name w:val="Imported Style 2"/>
    <w:pPr>
      <w:numPr>
        <w:numId w:val="1"/>
      </w:numPr>
    </w:pPr>
  </w:style>
  <w:style w:type="numbering" w:customStyle="1" w:styleId="Bullets">
    <w:name w:val="Bullets"/>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1618</Words>
  <Characters>9014</Characters>
  <Application>Microsoft Office Word</Application>
  <DocSecurity>0</DocSecurity>
  <Lines>281</Lines>
  <Paragraphs>111</Paragraphs>
  <ScaleCrop>false</ScaleCrop>
  <Company/>
  <LinksUpToDate>false</LinksUpToDate>
  <CharactersWithSpaces>10521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Greg Farrell</cp:lastModifiedBy>
  <cp:revision>15</cp:revision>
  <dcterms:created xsi:type="dcterms:W3CDTF">2025-09-29T15:55:00Z</dcterms:created>
  <dcterms:modified xsi:type="dcterms:W3CDTF">2025-10-22T10:59:00Z</dcterms:modified>
</cp:coreProperties>
</file>