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1B643" w14:textId="77777777" w:rsidR="00AD0891" w:rsidRDefault="00AD0891" w:rsidP="00AD0891">
      <w:pPr>
        <w:rPr>
          <w:sz w:val="22"/>
          <w:szCs w:val="22"/>
          <w:lang w:eastAsia="en-US"/>
        </w:rPr>
      </w:pPr>
      <w:r>
        <w:rPr>
          <w:sz w:val="22"/>
          <w:szCs w:val="22"/>
          <w:lang w:eastAsia="en-US"/>
        </w:rPr>
        <w:t xml:space="preserve">4 Mason Street is a </w:t>
      </w:r>
      <w:proofErr w:type="gramStart"/>
      <w:r>
        <w:rPr>
          <w:sz w:val="22"/>
          <w:szCs w:val="22"/>
          <w:lang w:eastAsia="en-US"/>
        </w:rPr>
        <w:t>2 storey</w:t>
      </w:r>
      <w:proofErr w:type="gramEnd"/>
      <w:r>
        <w:rPr>
          <w:sz w:val="22"/>
          <w:szCs w:val="22"/>
          <w:lang w:eastAsia="en-US"/>
        </w:rPr>
        <w:t xml:space="preserve"> terrace house with a basement. I note from your report that there are other outstanding applications for this building, including a CLE application for Flat 2 and an application for “</w:t>
      </w:r>
      <w:r>
        <w:rPr>
          <w:i/>
          <w:iCs/>
          <w:sz w:val="22"/>
          <w:szCs w:val="22"/>
          <w:lang w:eastAsia="en-US"/>
        </w:rPr>
        <w:t xml:space="preserve">Change of use from one dwelling to three flats with part </w:t>
      </w:r>
      <w:proofErr w:type="gramStart"/>
      <w:r>
        <w:rPr>
          <w:i/>
          <w:iCs/>
          <w:sz w:val="22"/>
          <w:szCs w:val="22"/>
          <w:lang w:eastAsia="en-US"/>
        </w:rPr>
        <w:t>2 part</w:t>
      </w:r>
      <w:proofErr w:type="gramEnd"/>
      <w:r>
        <w:rPr>
          <w:i/>
          <w:iCs/>
          <w:sz w:val="22"/>
          <w:szCs w:val="22"/>
          <w:lang w:eastAsia="en-US"/>
        </w:rPr>
        <w:t xml:space="preserve"> single storey rear extension and internal alterations</w:t>
      </w:r>
      <w:r>
        <w:rPr>
          <w:sz w:val="22"/>
          <w:szCs w:val="22"/>
          <w:lang w:eastAsia="en-US"/>
        </w:rPr>
        <w:t>”. This application (PL/25/1297) is for a certificate of lawful existing use (CLE) under s191 of the TCPA 1990 and relates to the use of the basement flat (also known as Flat 1, 4 Mason Street or 4A Mason Street) only. The application was submitted on 12/09/2025.</w:t>
      </w:r>
    </w:p>
    <w:p w14:paraId="2F29D838" w14:textId="77777777" w:rsidR="00AD0891" w:rsidRDefault="00AD0891" w:rsidP="00AD0891">
      <w:pPr>
        <w:rPr>
          <w:sz w:val="22"/>
          <w:szCs w:val="22"/>
          <w:lang w:eastAsia="en-US"/>
        </w:rPr>
      </w:pPr>
    </w:p>
    <w:p w14:paraId="7358B8CD" w14:textId="77777777" w:rsidR="00AD0891" w:rsidRDefault="00AD0891" w:rsidP="00AD0891">
      <w:pPr>
        <w:rPr>
          <w:sz w:val="22"/>
          <w:szCs w:val="22"/>
          <w:lang w:eastAsia="en-US"/>
        </w:rPr>
      </w:pPr>
      <w:r>
        <w:rPr>
          <w:sz w:val="22"/>
          <w:szCs w:val="22"/>
          <w:lang w:eastAsia="en-US"/>
        </w:rPr>
        <w:t xml:space="preserve">For the requested certificate to be granted, the applicant needs to show that the basement of 4 Mason Street has been used as a single dwelling for at least 4 years preceding the date of application. The relevant </w:t>
      </w:r>
      <w:proofErr w:type="gramStart"/>
      <w:r>
        <w:rPr>
          <w:sz w:val="22"/>
          <w:szCs w:val="22"/>
          <w:lang w:eastAsia="en-US"/>
        </w:rPr>
        <w:t>time period</w:t>
      </w:r>
      <w:proofErr w:type="gramEnd"/>
      <w:r>
        <w:rPr>
          <w:sz w:val="22"/>
          <w:szCs w:val="22"/>
          <w:lang w:eastAsia="en-US"/>
        </w:rPr>
        <w:t xml:space="preserve"> is 12/09/2021 – 12/09/2025.</w:t>
      </w:r>
    </w:p>
    <w:p w14:paraId="2DB69639" w14:textId="77777777" w:rsidR="00AD0891" w:rsidRDefault="00AD0891" w:rsidP="00AD0891">
      <w:pPr>
        <w:rPr>
          <w:sz w:val="22"/>
          <w:szCs w:val="22"/>
          <w:lang w:eastAsia="en-US"/>
        </w:rPr>
      </w:pPr>
    </w:p>
    <w:p w14:paraId="50ADC506" w14:textId="77777777" w:rsidR="00AD0891" w:rsidRDefault="00AD0891" w:rsidP="00AD0891">
      <w:pPr>
        <w:rPr>
          <w:sz w:val="22"/>
          <w:szCs w:val="22"/>
          <w:lang w:eastAsia="en-US"/>
        </w:rPr>
      </w:pPr>
      <w:r>
        <w:rPr>
          <w:sz w:val="22"/>
          <w:szCs w:val="22"/>
          <w:lang w:eastAsia="en-US"/>
        </w:rPr>
        <w:t xml:space="preserve">The applicant submitted four tenancy agreements for 4A/ Flat 1, they are all signed by the tenant Mohammed Mehdi Nasiri </w:t>
      </w:r>
      <w:proofErr w:type="spellStart"/>
      <w:r>
        <w:rPr>
          <w:sz w:val="22"/>
          <w:szCs w:val="22"/>
          <w:lang w:eastAsia="en-US"/>
        </w:rPr>
        <w:t>Bilui</w:t>
      </w:r>
      <w:proofErr w:type="spellEnd"/>
      <w:r>
        <w:rPr>
          <w:sz w:val="22"/>
          <w:szCs w:val="22"/>
          <w:lang w:eastAsia="en-US"/>
        </w:rPr>
        <w:t xml:space="preserve"> and date back to 07/04/2021. The 2021 tenancy was granted by the property’s previous owner for 1 year, there is a short gap between that tenancy expiring and Mr Bilui’s tenancy with the current owner commencing on 19/07/2022. Mr </w:t>
      </w:r>
      <w:proofErr w:type="spellStart"/>
      <w:r>
        <w:rPr>
          <w:sz w:val="22"/>
          <w:szCs w:val="22"/>
          <w:lang w:eastAsia="en-US"/>
        </w:rPr>
        <w:t>Bilui</w:t>
      </w:r>
      <w:proofErr w:type="spellEnd"/>
      <w:r>
        <w:rPr>
          <w:sz w:val="22"/>
          <w:szCs w:val="22"/>
          <w:lang w:eastAsia="en-US"/>
        </w:rPr>
        <w:t xml:space="preserve"> has signed one-year tenancy agreements with the current owner ever since and occupied the property on the date of the CLE application.  This timeline is supported by Mr </w:t>
      </w:r>
      <w:proofErr w:type="spellStart"/>
      <w:r>
        <w:rPr>
          <w:sz w:val="22"/>
          <w:szCs w:val="22"/>
          <w:lang w:eastAsia="en-US"/>
        </w:rPr>
        <w:t>Bilui</w:t>
      </w:r>
      <w:proofErr w:type="spellEnd"/>
      <w:r>
        <w:rPr>
          <w:sz w:val="22"/>
          <w:szCs w:val="22"/>
          <w:lang w:eastAsia="en-US"/>
        </w:rPr>
        <w:t xml:space="preserve"> in the statutory declaration he made on 17/10/2025, which was signed by a solicitor. I note Mr </w:t>
      </w:r>
      <w:proofErr w:type="spellStart"/>
      <w:r>
        <w:rPr>
          <w:sz w:val="22"/>
          <w:szCs w:val="22"/>
          <w:lang w:eastAsia="en-US"/>
        </w:rPr>
        <w:t>Bilui</w:t>
      </w:r>
      <w:proofErr w:type="spellEnd"/>
      <w:r>
        <w:rPr>
          <w:sz w:val="22"/>
          <w:szCs w:val="22"/>
          <w:lang w:eastAsia="en-US"/>
        </w:rPr>
        <w:t xml:space="preserve"> </w:t>
      </w:r>
      <w:proofErr w:type="gramStart"/>
      <w:r>
        <w:rPr>
          <w:sz w:val="22"/>
          <w:szCs w:val="22"/>
          <w:lang w:eastAsia="en-US"/>
        </w:rPr>
        <w:t>actually says</w:t>
      </w:r>
      <w:proofErr w:type="gramEnd"/>
      <w:r>
        <w:rPr>
          <w:sz w:val="22"/>
          <w:szCs w:val="22"/>
          <w:lang w:eastAsia="en-US"/>
        </w:rPr>
        <w:t xml:space="preserve"> he has been a tenant since April 2018, but for the current purposes we only need to look back as far as 2021. </w:t>
      </w:r>
    </w:p>
    <w:p w14:paraId="356C597D" w14:textId="77777777" w:rsidR="00AD0891" w:rsidRDefault="00AD0891" w:rsidP="00AD0891">
      <w:pPr>
        <w:rPr>
          <w:sz w:val="22"/>
          <w:szCs w:val="22"/>
          <w:lang w:eastAsia="en-US"/>
        </w:rPr>
      </w:pPr>
    </w:p>
    <w:p w14:paraId="18B1CFE1" w14:textId="77777777" w:rsidR="00AD0891" w:rsidRDefault="00AD0891" w:rsidP="00AD0891">
      <w:pPr>
        <w:rPr>
          <w:sz w:val="22"/>
          <w:szCs w:val="22"/>
          <w:lang w:eastAsia="en-US"/>
        </w:rPr>
      </w:pPr>
      <w:r>
        <w:rPr>
          <w:sz w:val="22"/>
          <w:szCs w:val="22"/>
          <w:lang w:eastAsia="en-US"/>
        </w:rPr>
        <w:t xml:space="preserve">The duration of the use is corroborated by the Council Tax team who say that the “basement flat” has been separately banded since 23/07/2011. </w:t>
      </w:r>
    </w:p>
    <w:p w14:paraId="78809871" w14:textId="77777777" w:rsidR="00AD0891" w:rsidRDefault="00AD0891" w:rsidP="00AD0891">
      <w:pPr>
        <w:rPr>
          <w:sz w:val="22"/>
          <w:szCs w:val="22"/>
          <w:lang w:eastAsia="en-US"/>
        </w:rPr>
      </w:pPr>
    </w:p>
    <w:p w14:paraId="78651F9B" w14:textId="77777777" w:rsidR="00AD0891" w:rsidRDefault="00AD0891" w:rsidP="00AD0891">
      <w:pPr>
        <w:rPr>
          <w:sz w:val="22"/>
          <w:szCs w:val="22"/>
          <w:lang w:eastAsia="en-US"/>
        </w:rPr>
      </w:pPr>
      <w:r>
        <w:rPr>
          <w:sz w:val="22"/>
          <w:szCs w:val="22"/>
          <w:lang w:eastAsia="en-US"/>
        </w:rPr>
        <w:t xml:space="preserve">I see that the Private Sector Housing (PSH) team have had some involvement with the property following a fire in the basement flat in September 2021; an Emergency Prohibition Order was made under the Housing Act 2004 and later lifted. In my view this history does not impact the CLE application, because, even if the EPO meant tenants had to vacate, that would not be enough for the basement to lose its use as a single dwelling for planning purposes.  The March 2025 letter from the PSH team does confirm that the basement is used as a single dwelling. </w:t>
      </w:r>
    </w:p>
    <w:p w14:paraId="5A7A878D" w14:textId="77777777" w:rsidR="00AD0891" w:rsidRDefault="00AD0891" w:rsidP="00AD0891">
      <w:pPr>
        <w:rPr>
          <w:sz w:val="22"/>
          <w:szCs w:val="22"/>
          <w:lang w:eastAsia="en-US"/>
        </w:rPr>
      </w:pPr>
    </w:p>
    <w:p w14:paraId="29AF0B02" w14:textId="77777777" w:rsidR="00AD0891" w:rsidRDefault="00AD0891" w:rsidP="00AD0891">
      <w:pPr>
        <w:rPr>
          <w:sz w:val="22"/>
          <w:szCs w:val="22"/>
          <w:lang w:eastAsia="en-US"/>
        </w:rPr>
      </w:pPr>
      <w:r>
        <w:rPr>
          <w:sz w:val="22"/>
          <w:szCs w:val="22"/>
          <w:lang w:eastAsia="en-US"/>
        </w:rPr>
        <w:t xml:space="preserve">As you will be aware, one thing that would prevent a CLE being granted is if an Enforcement Notice or Breach of Condition Notice under the TCPA had been made and remained in force. This is not the case here, as I note from your report that the Planning Enforcement team had no comment on the application. </w:t>
      </w:r>
    </w:p>
    <w:p w14:paraId="3B461CF3" w14:textId="77777777" w:rsidR="00AD0891" w:rsidRDefault="00AD0891" w:rsidP="00AD0891">
      <w:pPr>
        <w:rPr>
          <w:sz w:val="22"/>
          <w:szCs w:val="22"/>
          <w:lang w:eastAsia="en-US"/>
        </w:rPr>
      </w:pPr>
    </w:p>
    <w:p w14:paraId="0BD16C39" w14:textId="77777777" w:rsidR="00AD0891" w:rsidRDefault="00AD0891" w:rsidP="00AD0891">
      <w:pPr>
        <w:rPr>
          <w:sz w:val="22"/>
          <w:szCs w:val="22"/>
          <w:lang w:eastAsia="en-US"/>
        </w:rPr>
      </w:pPr>
      <w:proofErr w:type="gramStart"/>
      <w:r>
        <w:rPr>
          <w:sz w:val="22"/>
          <w:szCs w:val="22"/>
          <w:lang w:eastAsia="en-US"/>
        </w:rPr>
        <w:t>In light of</w:t>
      </w:r>
      <w:proofErr w:type="gramEnd"/>
      <w:r>
        <w:rPr>
          <w:sz w:val="22"/>
          <w:szCs w:val="22"/>
          <w:lang w:eastAsia="en-US"/>
        </w:rPr>
        <w:t xml:space="preserve"> the above, I am satisfied that the applicant has submitted evidence, that is sufficiently precise and unambiguous, to show that the basement flat has been used as a single dwelling for more than 4 years. Nothing in your own enquiries has revealed anything to make the applicant’s version of events less than probable. I therefore have no concerns about your recommendation to grant the requested CLE.</w:t>
      </w:r>
    </w:p>
    <w:p w14:paraId="7C31874B" w14:textId="77777777" w:rsidR="00AD0891" w:rsidRDefault="00AD0891" w:rsidP="00AD0891">
      <w:pPr>
        <w:rPr>
          <w:sz w:val="22"/>
          <w:szCs w:val="22"/>
          <w:lang w:eastAsia="en-US"/>
        </w:rPr>
      </w:pPr>
    </w:p>
    <w:p w14:paraId="6C2D3701" w14:textId="77777777" w:rsidR="00B361DA" w:rsidRDefault="00B361DA"/>
    <w:sectPr w:rsidR="00B361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891"/>
    <w:rsid w:val="003A30AF"/>
    <w:rsid w:val="00751566"/>
    <w:rsid w:val="00AD0891"/>
    <w:rsid w:val="00B361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DA8FA"/>
  <w15:chartTrackingRefBased/>
  <w15:docId w15:val="{17763ADF-6A47-4503-BA9C-13382FD7E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891"/>
    <w:pPr>
      <w:spacing w:after="0" w:line="240" w:lineRule="auto"/>
    </w:pPr>
    <w:rPr>
      <w:rFonts w:ascii="Aptos" w:hAnsi="Aptos" w:cs="Aptos"/>
      <w:kern w:val="0"/>
      <w:lang w:eastAsia="en-GB"/>
      <w14:ligatures w14:val="none"/>
    </w:rPr>
  </w:style>
  <w:style w:type="paragraph" w:styleId="Heading1">
    <w:name w:val="heading 1"/>
    <w:basedOn w:val="Normal"/>
    <w:next w:val="Normal"/>
    <w:link w:val="Heading1Char"/>
    <w:uiPriority w:val="9"/>
    <w:qFormat/>
    <w:rsid w:val="00AD089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AD089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AD089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D0891"/>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AD0891"/>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AD0891"/>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AD0891"/>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AD0891"/>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AD0891"/>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08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08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08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08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08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08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08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08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0891"/>
    <w:rPr>
      <w:rFonts w:eastAsiaTheme="majorEastAsia" w:cstheme="majorBidi"/>
      <w:color w:val="272727" w:themeColor="text1" w:themeTint="D8"/>
    </w:rPr>
  </w:style>
  <w:style w:type="paragraph" w:styleId="Title">
    <w:name w:val="Title"/>
    <w:basedOn w:val="Normal"/>
    <w:next w:val="Normal"/>
    <w:link w:val="TitleChar"/>
    <w:uiPriority w:val="10"/>
    <w:qFormat/>
    <w:rsid w:val="00AD089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D08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089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D08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0891"/>
    <w:pPr>
      <w:spacing w:before="160" w:after="160" w:line="278" w:lineRule="auto"/>
      <w:jc w:val="center"/>
    </w:pPr>
    <w:rPr>
      <w:rFonts w:ascii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AD0891"/>
    <w:rPr>
      <w:i/>
      <w:iCs/>
      <w:color w:val="404040" w:themeColor="text1" w:themeTint="BF"/>
    </w:rPr>
  </w:style>
  <w:style w:type="paragraph" w:styleId="ListParagraph">
    <w:name w:val="List Paragraph"/>
    <w:basedOn w:val="Normal"/>
    <w:uiPriority w:val="34"/>
    <w:qFormat/>
    <w:rsid w:val="00AD0891"/>
    <w:pPr>
      <w:spacing w:after="160" w:line="278" w:lineRule="auto"/>
      <w:ind w:left="720"/>
      <w:contextualSpacing/>
    </w:pPr>
    <w:rPr>
      <w:rFonts w:ascii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AD0891"/>
    <w:rPr>
      <w:i/>
      <w:iCs/>
      <w:color w:val="0F4761" w:themeColor="accent1" w:themeShade="BF"/>
    </w:rPr>
  </w:style>
  <w:style w:type="paragraph" w:styleId="IntenseQuote">
    <w:name w:val="Intense Quote"/>
    <w:basedOn w:val="Normal"/>
    <w:next w:val="Normal"/>
    <w:link w:val="IntenseQuoteChar"/>
    <w:uiPriority w:val="30"/>
    <w:qFormat/>
    <w:rsid w:val="00AD089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AD0891"/>
    <w:rPr>
      <w:i/>
      <w:iCs/>
      <w:color w:val="0F4761" w:themeColor="accent1" w:themeShade="BF"/>
    </w:rPr>
  </w:style>
  <w:style w:type="character" w:styleId="IntenseReference">
    <w:name w:val="Intense Reference"/>
    <w:basedOn w:val="DefaultParagraphFont"/>
    <w:uiPriority w:val="32"/>
    <w:qFormat/>
    <w:rsid w:val="00AD08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37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528</Words>
  <Characters>2490</Characters>
  <Application>Microsoft Office Word</Application>
  <DocSecurity>0</DocSecurity>
  <Lines>43</Lines>
  <Paragraphs>7</Paragraphs>
  <ScaleCrop>false</ScaleCrop>
  <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Catrin</dc:creator>
  <cp:keywords/>
  <dc:description/>
  <cp:lastModifiedBy>Davies, Catrin</cp:lastModifiedBy>
  <cp:revision>2</cp:revision>
  <dcterms:created xsi:type="dcterms:W3CDTF">2025-10-29T13:24:00Z</dcterms:created>
  <dcterms:modified xsi:type="dcterms:W3CDTF">2025-10-29T13:25:00Z</dcterms:modified>
</cp:coreProperties>
</file>