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2C4BC" w14:textId="1248D430" w:rsidR="00302C2F" w:rsidRPr="006467DC" w:rsidRDefault="00302C2F">
      <w:pPr>
        <w:rPr>
          <w:rFonts w:ascii="Trebuchet MS" w:eastAsia="Calibri" w:hAnsi="Trebuchet MS" w:cs="Times New Roman"/>
          <w:b/>
          <w:bCs/>
          <w:sz w:val="24"/>
          <w:szCs w:val="24"/>
        </w:rPr>
      </w:pPr>
      <w:r w:rsidRPr="006467DC">
        <w:rPr>
          <w:rFonts w:ascii="Trebuchet MS" w:eastAsia="Calibri" w:hAnsi="Trebuchet MS" w:cs="Times New Roman"/>
          <w:b/>
          <w:bCs/>
          <w:sz w:val="24"/>
          <w:szCs w:val="24"/>
        </w:rPr>
        <w:t>1</w:t>
      </w:r>
      <w:r w:rsidR="00343C08" w:rsidRPr="006467DC">
        <w:rPr>
          <w:rFonts w:ascii="Trebuchet MS" w:eastAsia="Calibri" w:hAnsi="Trebuchet MS" w:cs="Times New Roman"/>
          <w:b/>
          <w:bCs/>
          <w:sz w:val="24"/>
          <w:szCs w:val="24"/>
        </w:rPr>
        <w:t>4</w:t>
      </w:r>
      <w:r w:rsidRPr="006467DC">
        <w:rPr>
          <w:rFonts w:ascii="Trebuchet MS" w:eastAsia="Calibri" w:hAnsi="Trebuchet MS" w:cs="Times New Roman"/>
          <w:b/>
          <w:bCs/>
          <w:sz w:val="24"/>
          <w:szCs w:val="24"/>
        </w:rPr>
        <w:t>/10/2025</w:t>
      </w:r>
    </w:p>
    <w:p w14:paraId="45520486" w14:textId="35086C42" w:rsidR="006467DC" w:rsidRDefault="00302C2F">
      <w:pPr>
        <w:rPr>
          <w:rFonts w:ascii="Trebuchet MS" w:eastAsia="Calibri" w:hAnsi="Trebuchet MS" w:cs="Times New Roman"/>
          <w:sz w:val="24"/>
          <w:szCs w:val="24"/>
        </w:rPr>
      </w:pPr>
      <w:r w:rsidRPr="00343C08">
        <w:rPr>
          <w:rFonts w:ascii="Trebuchet MS" w:eastAsia="Calibri" w:hAnsi="Trebuchet MS" w:cs="Times New Roman"/>
          <w:sz w:val="24"/>
          <w:szCs w:val="24"/>
        </w:rPr>
        <w:t xml:space="preserve">Planning Application Ref: </w:t>
      </w:r>
      <w:r w:rsidRPr="00343C08">
        <w:rPr>
          <w:rFonts w:ascii="Trebuchet MS" w:eastAsia="Calibri" w:hAnsi="Trebuchet MS" w:cs="Times New Roman"/>
          <w:sz w:val="24"/>
          <w:szCs w:val="24"/>
        </w:rPr>
        <w:tab/>
      </w:r>
      <w:r w:rsidR="006467DC">
        <w:rPr>
          <w:rFonts w:ascii="Trebuchet MS" w:eastAsia="Calibri" w:hAnsi="Trebuchet MS" w:cs="Times New Roman"/>
          <w:sz w:val="24"/>
          <w:szCs w:val="24"/>
        </w:rPr>
        <w:tab/>
      </w:r>
      <w:r w:rsidRPr="00343C08">
        <w:rPr>
          <w:rFonts w:ascii="Trebuchet MS" w:eastAsia="Calibri" w:hAnsi="Trebuchet MS" w:cs="Times New Roman"/>
          <w:sz w:val="24"/>
          <w:szCs w:val="24"/>
        </w:rPr>
        <w:t>PL/25/0911</w:t>
      </w:r>
      <w:r w:rsidRPr="00343C08">
        <w:rPr>
          <w:rFonts w:ascii="Trebuchet MS" w:eastAsia="Calibri" w:hAnsi="Trebuchet MS" w:cs="Times New Roman"/>
          <w:sz w:val="24"/>
          <w:szCs w:val="24"/>
        </w:rPr>
        <w:br/>
        <w:t xml:space="preserve">Officer: </w:t>
      </w:r>
      <w:r w:rsidRPr="00343C08">
        <w:rPr>
          <w:rFonts w:ascii="Trebuchet MS" w:eastAsia="Calibri" w:hAnsi="Trebuchet MS" w:cs="Times New Roman"/>
          <w:sz w:val="24"/>
          <w:szCs w:val="24"/>
        </w:rPr>
        <w:tab/>
      </w:r>
      <w:r w:rsidRPr="00343C08">
        <w:rPr>
          <w:rFonts w:ascii="Trebuchet MS" w:eastAsia="Calibri" w:hAnsi="Trebuchet MS" w:cs="Times New Roman"/>
          <w:sz w:val="24"/>
          <w:szCs w:val="24"/>
        </w:rPr>
        <w:tab/>
      </w:r>
      <w:r w:rsidRPr="00343C08">
        <w:rPr>
          <w:rFonts w:ascii="Trebuchet MS" w:eastAsia="Calibri" w:hAnsi="Trebuchet MS" w:cs="Times New Roman"/>
          <w:sz w:val="24"/>
          <w:szCs w:val="24"/>
        </w:rPr>
        <w:tab/>
      </w:r>
      <w:r w:rsidR="006467DC">
        <w:rPr>
          <w:rFonts w:ascii="Trebuchet MS" w:eastAsia="Calibri" w:hAnsi="Trebuchet MS" w:cs="Times New Roman"/>
          <w:sz w:val="24"/>
          <w:szCs w:val="24"/>
        </w:rPr>
        <w:tab/>
      </w:r>
      <w:r w:rsidRPr="00343C08">
        <w:rPr>
          <w:rFonts w:ascii="Trebuchet MS" w:eastAsia="Calibri" w:hAnsi="Trebuchet MS" w:cs="Times New Roman"/>
          <w:sz w:val="24"/>
          <w:szCs w:val="24"/>
        </w:rPr>
        <w:t>Catrin Davies</w:t>
      </w:r>
      <w:r w:rsidRPr="00343C08">
        <w:rPr>
          <w:rFonts w:ascii="Trebuchet MS" w:eastAsia="Calibri" w:hAnsi="Trebuchet MS" w:cs="Times New Roman"/>
          <w:sz w:val="24"/>
          <w:szCs w:val="24"/>
        </w:rPr>
        <w:br/>
        <w:t xml:space="preserve">Application Type: </w:t>
      </w:r>
      <w:r w:rsidRPr="00343C08">
        <w:rPr>
          <w:rFonts w:ascii="Trebuchet MS" w:eastAsia="Calibri" w:hAnsi="Trebuchet MS" w:cs="Times New Roman"/>
          <w:sz w:val="24"/>
          <w:szCs w:val="24"/>
        </w:rPr>
        <w:tab/>
      </w:r>
      <w:r w:rsidR="006467DC">
        <w:rPr>
          <w:rFonts w:ascii="Trebuchet MS" w:eastAsia="Calibri" w:hAnsi="Trebuchet MS" w:cs="Times New Roman"/>
          <w:sz w:val="24"/>
          <w:szCs w:val="24"/>
        </w:rPr>
        <w:tab/>
      </w:r>
      <w:r w:rsidR="006467DC">
        <w:rPr>
          <w:rFonts w:ascii="Trebuchet MS" w:eastAsia="Calibri" w:hAnsi="Trebuchet MS" w:cs="Times New Roman"/>
          <w:sz w:val="24"/>
          <w:szCs w:val="24"/>
        </w:rPr>
        <w:tab/>
      </w:r>
      <w:r w:rsidRPr="00343C08">
        <w:rPr>
          <w:rFonts w:ascii="Trebuchet MS" w:eastAsia="Calibri" w:hAnsi="Trebuchet MS" w:cs="Times New Roman"/>
          <w:sz w:val="24"/>
          <w:szCs w:val="24"/>
        </w:rPr>
        <w:t>Full planning permission</w:t>
      </w:r>
      <w:r w:rsidRPr="00343C08">
        <w:rPr>
          <w:rFonts w:ascii="Trebuchet MS" w:eastAsia="Calibri" w:hAnsi="Trebuchet MS" w:cs="Times New Roman"/>
          <w:sz w:val="24"/>
          <w:szCs w:val="24"/>
        </w:rPr>
        <w:br/>
        <w:t xml:space="preserve">Address: </w:t>
      </w:r>
      <w:r w:rsidRPr="00343C08">
        <w:rPr>
          <w:rFonts w:ascii="Trebuchet MS" w:eastAsia="Calibri" w:hAnsi="Trebuchet MS" w:cs="Times New Roman"/>
          <w:sz w:val="24"/>
          <w:szCs w:val="24"/>
        </w:rPr>
        <w:tab/>
      </w:r>
      <w:r w:rsidRPr="00343C08">
        <w:rPr>
          <w:rFonts w:ascii="Trebuchet MS" w:eastAsia="Calibri" w:hAnsi="Trebuchet MS" w:cs="Times New Roman"/>
          <w:sz w:val="24"/>
          <w:szCs w:val="24"/>
        </w:rPr>
        <w:tab/>
      </w:r>
      <w:r w:rsidRPr="00343C08">
        <w:rPr>
          <w:rFonts w:ascii="Trebuchet MS" w:eastAsia="Calibri" w:hAnsi="Trebuchet MS" w:cs="Times New Roman"/>
          <w:sz w:val="24"/>
          <w:szCs w:val="24"/>
        </w:rPr>
        <w:tab/>
      </w:r>
      <w:r w:rsidR="006467DC">
        <w:rPr>
          <w:rFonts w:ascii="Trebuchet MS" w:eastAsia="Calibri" w:hAnsi="Trebuchet MS" w:cs="Times New Roman"/>
          <w:sz w:val="24"/>
          <w:szCs w:val="24"/>
        </w:rPr>
        <w:tab/>
      </w:r>
      <w:r w:rsidRPr="00343C08">
        <w:rPr>
          <w:rFonts w:ascii="Trebuchet MS" w:eastAsia="Calibri" w:hAnsi="Trebuchet MS" w:cs="Times New Roman"/>
          <w:sz w:val="24"/>
          <w:szCs w:val="24"/>
        </w:rPr>
        <w:t>17 DUKESBRIDGE COURT, DUKE STREET, RG1 4SA</w:t>
      </w:r>
      <w:r w:rsidRPr="00343C08">
        <w:rPr>
          <w:rFonts w:ascii="Trebuchet MS" w:eastAsia="Calibri" w:hAnsi="Trebuchet MS" w:cs="Times New Roman"/>
          <w:sz w:val="24"/>
          <w:szCs w:val="24"/>
        </w:rPr>
        <w:br/>
        <w:t>Proposal:</w:t>
      </w:r>
      <w:r w:rsidRPr="00343C08">
        <w:rPr>
          <w:rFonts w:ascii="Trebuchet MS" w:eastAsia="Calibri" w:hAnsi="Trebuchet MS" w:cs="Times New Roman"/>
          <w:sz w:val="24"/>
          <w:szCs w:val="24"/>
        </w:rPr>
        <w:tab/>
      </w:r>
      <w:r w:rsidRPr="00343C08">
        <w:rPr>
          <w:rFonts w:ascii="Trebuchet MS" w:eastAsia="Calibri" w:hAnsi="Trebuchet MS" w:cs="Times New Roman"/>
          <w:sz w:val="24"/>
          <w:szCs w:val="24"/>
        </w:rPr>
        <w:tab/>
      </w:r>
      <w:r w:rsidRPr="00343C08">
        <w:rPr>
          <w:rFonts w:ascii="Trebuchet MS" w:eastAsia="Calibri" w:hAnsi="Trebuchet MS" w:cs="Times New Roman"/>
          <w:sz w:val="24"/>
          <w:szCs w:val="24"/>
        </w:rPr>
        <w:tab/>
      </w:r>
      <w:r w:rsidR="006467DC">
        <w:rPr>
          <w:rFonts w:ascii="Trebuchet MS" w:eastAsia="Calibri" w:hAnsi="Trebuchet MS" w:cs="Times New Roman"/>
          <w:sz w:val="24"/>
          <w:szCs w:val="24"/>
        </w:rPr>
        <w:tab/>
      </w:r>
      <w:r w:rsidRPr="00343C08">
        <w:rPr>
          <w:rFonts w:ascii="Trebuchet MS" w:eastAsia="Calibri" w:hAnsi="Trebuchet MS" w:cs="Times New Roman"/>
          <w:sz w:val="24"/>
          <w:szCs w:val="24"/>
        </w:rPr>
        <w:t xml:space="preserve">Conversion of existing two-storey 1-bedroom </w:t>
      </w:r>
    </w:p>
    <w:p w14:paraId="39B71129" w14:textId="32B004CC" w:rsidR="00302C2F" w:rsidRPr="00343C08" w:rsidRDefault="00302C2F" w:rsidP="001C5B7B">
      <w:pPr>
        <w:ind w:left="2880" w:firstLine="720"/>
        <w:rPr>
          <w:rFonts w:ascii="Trebuchet MS" w:eastAsia="Calibri" w:hAnsi="Trebuchet MS" w:cs="Times New Roman"/>
          <w:sz w:val="24"/>
          <w:szCs w:val="24"/>
        </w:rPr>
      </w:pPr>
      <w:r w:rsidRPr="00343C08">
        <w:rPr>
          <w:rFonts w:ascii="Trebuchet MS" w:eastAsia="Calibri" w:hAnsi="Trebuchet MS" w:cs="Times New Roman"/>
          <w:sz w:val="24"/>
          <w:szCs w:val="24"/>
        </w:rPr>
        <w:t>maisonette into two self-contained flats</w:t>
      </w:r>
    </w:p>
    <w:p w14:paraId="6F08CE44" w14:textId="77777777" w:rsidR="00302C2F" w:rsidRPr="00343C08" w:rsidRDefault="00302C2F" w:rsidP="00302C2F">
      <w:pPr>
        <w:rPr>
          <w:rFonts w:ascii="Trebuchet MS" w:eastAsia="Calibri" w:hAnsi="Trebuchet MS" w:cs="Times New Roman"/>
          <w:sz w:val="24"/>
          <w:szCs w:val="24"/>
        </w:rPr>
      </w:pPr>
    </w:p>
    <w:p w14:paraId="3FBC7212" w14:textId="18F00DAC" w:rsidR="00302C2F" w:rsidRPr="00343C08" w:rsidRDefault="00302C2F" w:rsidP="00302C2F">
      <w:pPr>
        <w:jc w:val="both"/>
        <w:rPr>
          <w:rFonts w:ascii="Trebuchet MS" w:eastAsia="Calibri" w:hAnsi="Trebuchet MS" w:cs="Times New Roman"/>
          <w:sz w:val="24"/>
          <w:szCs w:val="24"/>
        </w:rPr>
      </w:pPr>
      <w:r w:rsidRPr="00343C08">
        <w:rPr>
          <w:rFonts w:ascii="Trebuchet MS" w:eastAsia="Calibri" w:hAnsi="Trebuchet MS" w:cs="Times New Roman"/>
          <w:sz w:val="24"/>
          <w:szCs w:val="24"/>
        </w:rPr>
        <w:t xml:space="preserve">Conversion of existing two-storey 1-bedroom maisonette into two self-contained flats. </w:t>
      </w:r>
    </w:p>
    <w:p w14:paraId="2876E430" w14:textId="77777777" w:rsidR="00343C08" w:rsidRPr="00343C08" w:rsidRDefault="00343C08" w:rsidP="00302C2F">
      <w:pPr>
        <w:jc w:val="both"/>
        <w:rPr>
          <w:rFonts w:ascii="Trebuchet MS" w:eastAsia="Calibri" w:hAnsi="Trebuchet MS" w:cs="Times New Roman"/>
          <w:sz w:val="24"/>
          <w:szCs w:val="24"/>
        </w:rPr>
      </w:pPr>
    </w:p>
    <w:p w14:paraId="3ABBCEDD" w14:textId="77777777" w:rsidR="00343C08" w:rsidRPr="00A67922" w:rsidRDefault="00343C08" w:rsidP="00343C08">
      <w:pPr>
        <w:pStyle w:val="PlainText"/>
        <w:jc w:val="both"/>
        <w:rPr>
          <w:rFonts w:ascii="Trebuchet MS" w:hAnsi="Trebuchet MS"/>
          <w:sz w:val="24"/>
          <w:szCs w:val="24"/>
        </w:rPr>
      </w:pPr>
      <w:r w:rsidRPr="00A67922">
        <w:rPr>
          <w:rFonts w:ascii="Trebuchet MS" w:hAnsi="Trebuchet MS"/>
          <w:sz w:val="24"/>
          <w:szCs w:val="24"/>
        </w:rPr>
        <w:t xml:space="preserve">The site is located within Zone 1, which lies at the heart of Reading Borough, consisting primarily of retail and commercial office developments with good transport hubs.  The area is well served by rail and bus links and also contains the largest proportion of public car parking spaces and is close proximity of the Oracle shopping centre and multi-storey car park.  The surrounding classified road networks all have parking restrictions preventing on-street parking.  Adjacent London Street forms part of the A327 and operates one way southbound with a northbound bus lane that is enforced 24 hours a day. </w:t>
      </w:r>
    </w:p>
    <w:p w14:paraId="11A3247F" w14:textId="77777777" w:rsidR="00343C08" w:rsidRDefault="00343C08" w:rsidP="00302C2F">
      <w:pPr>
        <w:jc w:val="both"/>
      </w:pPr>
    </w:p>
    <w:p w14:paraId="7C7CAACE" w14:textId="23E1CE7F" w:rsidR="00043DAA" w:rsidRPr="00A67922" w:rsidRDefault="00043DAA" w:rsidP="00043DAA">
      <w:pPr>
        <w:pStyle w:val="PlainText"/>
        <w:jc w:val="both"/>
        <w:rPr>
          <w:rFonts w:ascii="Trebuchet MS" w:hAnsi="Trebuchet MS"/>
          <w:sz w:val="24"/>
          <w:szCs w:val="24"/>
        </w:rPr>
      </w:pPr>
      <w:r w:rsidRPr="00A67922">
        <w:rPr>
          <w:rFonts w:ascii="Trebuchet MS" w:hAnsi="Trebuchet MS"/>
          <w:sz w:val="24"/>
          <w:szCs w:val="24"/>
        </w:rPr>
        <w:t xml:space="preserve">No parking is proposed for the new dwellings.  As the site is located within the Reading Central Area and within Reading’s primary shopping area in the heart of the town centre, a car free development for the proposed </w:t>
      </w:r>
      <w:r w:rsidR="00F72B6E">
        <w:rPr>
          <w:rFonts w:ascii="Trebuchet MS" w:hAnsi="Trebuchet MS"/>
          <w:sz w:val="24"/>
          <w:szCs w:val="24"/>
        </w:rPr>
        <w:t>units</w:t>
      </w:r>
      <w:r w:rsidRPr="00A67922">
        <w:rPr>
          <w:rFonts w:ascii="Trebuchet MS" w:hAnsi="Trebuchet MS"/>
          <w:sz w:val="24"/>
          <w:szCs w:val="24"/>
        </w:rPr>
        <w:t xml:space="preserve"> would be acceptable given the sustainability of the site and </w:t>
      </w:r>
      <w:r>
        <w:rPr>
          <w:rFonts w:ascii="Trebuchet MS" w:hAnsi="Trebuchet MS"/>
          <w:sz w:val="24"/>
          <w:szCs w:val="24"/>
        </w:rPr>
        <w:t>extensive parking</w:t>
      </w:r>
      <w:r w:rsidRPr="00A67922">
        <w:rPr>
          <w:rFonts w:ascii="Trebuchet MS" w:hAnsi="Trebuchet MS"/>
          <w:sz w:val="24"/>
          <w:szCs w:val="24"/>
        </w:rPr>
        <w:t xml:space="preserve"> restrictions</w:t>
      </w:r>
      <w:r>
        <w:rPr>
          <w:rFonts w:ascii="Trebuchet MS" w:hAnsi="Trebuchet MS"/>
          <w:sz w:val="24"/>
          <w:szCs w:val="24"/>
        </w:rPr>
        <w:t xml:space="preserve"> in place in the area</w:t>
      </w:r>
      <w:r w:rsidRPr="00A67922">
        <w:rPr>
          <w:rFonts w:ascii="Trebuchet MS" w:hAnsi="Trebuchet MS"/>
          <w:sz w:val="24"/>
          <w:szCs w:val="24"/>
        </w:rPr>
        <w:t xml:space="preserve">.  The appropriate conditions and </w:t>
      </w:r>
      <w:proofErr w:type="spellStart"/>
      <w:r w:rsidRPr="00A67922">
        <w:rPr>
          <w:rFonts w:ascii="Trebuchet MS" w:hAnsi="Trebuchet MS"/>
          <w:sz w:val="24"/>
          <w:szCs w:val="24"/>
        </w:rPr>
        <w:t>informatives</w:t>
      </w:r>
      <w:proofErr w:type="spellEnd"/>
      <w:r w:rsidRPr="00A67922">
        <w:rPr>
          <w:rFonts w:ascii="Trebuchet MS" w:hAnsi="Trebuchet MS"/>
          <w:sz w:val="24"/>
          <w:szCs w:val="24"/>
        </w:rPr>
        <w:t xml:space="preserve"> would be applied preventing future occupants of the dwellings applying for resident and visitor parking permits for the surrounding streets. </w:t>
      </w:r>
    </w:p>
    <w:p w14:paraId="219CCBC4" w14:textId="3BF3770A" w:rsidR="00C12B3E" w:rsidRDefault="00302C2F" w:rsidP="007A2348">
      <w:pPr>
        <w:rPr>
          <w:rFonts w:ascii="Trebuchet MS" w:eastAsia="Calibri" w:hAnsi="Trebuchet MS" w:cs="Times New Roman"/>
          <w:sz w:val="24"/>
          <w:szCs w:val="24"/>
        </w:rPr>
      </w:pPr>
      <w:r w:rsidRPr="00302C2F">
        <w:br/>
      </w:r>
      <w:r w:rsidR="00A12E15" w:rsidRPr="005E6473">
        <w:rPr>
          <w:rFonts w:ascii="Trebuchet MS" w:eastAsia="Calibri" w:hAnsi="Trebuchet MS" w:cs="Times New Roman"/>
          <w:sz w:val="24"/>
          <w:szCs w:val="24"/>
        </w:rPr>
        <w:t>The applicant has stated that r</w:t>
      </w:r>
      <w:r w:rsidR="007A2348" w:rsidRPr="005E6473">
        <w:rPr>
          <w:rFonts w:ascii="Trebuchet MS" w:eastAsia="Calibri" w:hAnsi="Trebuchet MS" w:cs="Times New Roman"/>
          <w:sz w:val="24"/>
          <w:szCs w:val="24"/>
        </w:rPr>
        <w:t xml:space="preserve">esidents will </w:t>
      </w:r>
      <w:r w:rsidR="00C22758" w:rsidRPr="005E6473">
        <w:rPr>
          <w:rFonts w:ascii="Trebuchet MS" w:eastAsia="Calibri" w:hAnsi="Trebuchet MS" w:cs="Times New Roman"/>
          <w:sz w:val="24"/>
          <w:szCs w:val="24"/>
        </w:rPr>
        <w:t xml:space="preserve">have </w:t>
      </w:r>
      <w:r w:rsidR="007A2348" w:rsidRPr="005E6473">
        <w:rPr>
          <w:rFonts w:ascii="Trebuchet MS" w:eastAsia="Calibri" w:hAnsi="Trebuchet MS" w:cs="Times New Roman"/>
          <w:sz w:val="24"/>
          <w:szCs w:val="24"/>
        </w:rPr>
        <w:t>access existing secure communal cycle</w:t>
      </w:r>
      <w:r w:rsidR="007B5AA4">
        <w:rPr>
          <w:rFonts w:ascii="Trebuchet MS" w:eastAsia="Calibri" w:hAnsi="Trebuchet MS" w:cs="Times New Roman"/>
          <w:sz w:val="24"/>
          <w:szCs w:val="24"/>
        </w:rPr>
        <w:t xml:space="preserve"> </w:t>
      </w:r>
      <w:r w:rsidR="007A2348" w:rsidRPr="005E6473">
        <w:rPr>
          <w:rFonts w:ascii="Trebuchet MS" w:eastAsia="Calibri" w:hAnsi="Trebuchet MS" w:cs="Times New Roman"/>
          <w:sz w:val="24"/>
          <w:szCs w:val="24"/>
        </w:rPr>
        <w:t>storage facility</w:t>
      </w:r>
      <w:r w:rsidR="007B5AA4">
        <w:rPr>
          <w:rFonts w:ascii="Trebuchet MS" w:eastAsia="Calibri" w:hAnsi="Trebuchet MS" w:cs="Times New Roman"/>
          <w:sz w:val="24"/>
          <w:szCs w:val="24"/>
        </w:rPr>
        <w:t xml:space="preserve"> and existing </w:t>
      </w:r>
      <w:r w:rsidR="00934068">
        <w:rPr>
          <w:rFonts w:ascii="Trebuchet MS" w:eastAsia="Calibri" w:hAnsi="Trebuchet MS" w:cs="Times New Roman"/>
          <w:sz w:val="24"/>
          <w:szCs w:val="24"/>
        </w:rPr>
        <w:t>communal refuse l</w:t>
      </w:r>
      <w:r w:rsidR="00C12B3E" w:rsidRPr="005E6473">
        <w:rPr>
          <w:rFonts w:ascii="Trebuchet MS" w:eastAsia="Calibri" w:hAnsi="Trebuchet MS" w:cs="Times New Roman"/>
          <w:sz w:val="24"/>
          <w:szCs w:val="24"/>
        </w:rPr>
        <w:t>ocation</w:t>
      </w:r>
      <w:r w:rsidR="00934068">
        <w:rPr>
          <w:rFonts w:ascii="Trebuchet MS" w:eastAsia="Calibri" w:hAnsi="Trebuchet MS" w:cs="Times New Roman"/>
          <w:sz w:val="24"/>
          <w:szCs w:val="24"/>
        </w:rPr>
        <w:t>s</w:t>
      </w:r>
      <w:r w:rsidR="00765FA2">
        <w:rPr>
          <w:rFonts w:ascii="Trebuchet MS" w:eastAsia="Calibri" w:hAnsi="Trebuchet MS" w:cs="Times New Roman"/>
          <w:sz w:val="24"/>
          <w:szCs w:val="24"/>
        </w:rPr>
        <w:t xml:space="preserve"> as would have been provided for the current dwelling. </w:t>
      </w:r>
    </w:p>
    <w:p w14:paraId="0CABD542" w14:textId="77777777" w:rsidR="001A37A8" w:rsidRDefault="001A37A8" w:rsidP="007A2348">
      <w:pPr>
        <w:rPr>
          <w:rFonts w:ascii="Trebuchet MS" w:eastAsia="Calibri" w:hAnsi="Trebuchet MS" w:cs="Times New Roman"/>
          <w:sz w:val="24"/>
          <w:szCs w:val="24"/>
        </w:rPr>
      </w:pPr>
    </w:p>
    <w:p w14:paraId="061CA754" w14:textId="34DA4E38" w:rsidR="00827A5B" w:rsidRDefault="001A37A8" w:rsidP="007A2348">
      <w:pPr>
        <w:rPr>
          <w:rFonts w:ascii="Trebuchet MS" w:eastAsia="Calibri" w:hAnsi="Trebuchet MS" w:cs="Times New Roman"/>
          <w:sz w:val="24"/>
          <w:szCs w:val="24"/>
        </w:rPr>
      </w:pPr>
      <w:r>
        <w:rPr>
          <w:rFonts w:ascii="Trebuchet MS" w:eastAsia="Calibri" w:hAnsi="Trebuchet MS" w:cs="Times New Roman"/>
          <w:sz w:val="24"/>
          <w:szCs w:val="24"/>
        </w:rPr>
        <w:t>There are no Transport objections to this application due to its sustainable location</w:t>
      </w:r>
      <w:r w:rsidR="00827A5B">
        <w:rPr>
          <w:rFonts w:ascii="Trebuchet MS" w:eastAsia="Calibri" w:hAnsi="Trebuchet MS" w:cs="Times New Roman"/>
          <w:sz w:val="24"/>
          <w:szCs w:val="24"/>
        </w:rPr>
        <w:t xml:space="preserve">, unauthorised parking </w:t>
      </w:r>
      <w:r w:rsidR="00A469DC">
        <w:rPr>
          <w:rFonts w:ascii="Trebuchet MS" w:eastAsia="Calibri" w:hAnsi="Trebuchet MS" w:cs="Times New Roman"/>
          <w:sz w:val="24"/>
          <w:szCs w:val="24"/>
        </w:rPr>
        <w:t xml:space="preserve">can be controlled ensuring there is no over spill on the neighbouring road network. </w:t>
      </w:r>
    </w:p>
    <w:p w14:paraId="43BA26A6" w14:textId="77777777" w:rsidR="00827A5B" w:rsidRDefault="00827A5B" w:rsidP="007A2348">
      <w:pPr>
        <w:rPr>
          <w:rFonts w:ascii="Trebuchet MS" w:eastAsia="Calibri" w:hAnsi="Trebuchet MS" w:cs="Times New Roman"/>
          <w:sz w:val="24"/>
          <w:szCs w:val="24"/>
        </w:rPr>
      </w:pPr>
    </w:p>
    <w:p w14:paraId="3DE64469" w14:textId="77777777" w:rsidR="00CF5139" w:rsidRPr="00DE4E5C" w:rsidRDefault="00CF5139" w:rsidP="00CF5139">
      <w:pPr>
        <w:rPr>
          <w:rFonts w:ascii="Trebuchet MS" w:hAnsi="Trebuchet MS"/>
          <w:b/>
        </w:rPr>
      </w:pPr>
      <w:hyperlink w:anchor="_DC3_CYCLE_PARKING" w:history="1">
        <w:r w:rsidRPr="00DE4E5C">
          <w:rPr>
            <w:rStyle w:val="Hyperlink"/>
            <w:rFonts w:ascii="Trebuchet MS" w:hAnsi="Trebuchet MS"/>
            <w:b/>
          </w:rPr>
          <w:t>DC5</w:t>
        </w:r>
      </w:hyperlink>
      <w:r w:rsidRPr="00DE4E5C">
        <w:rPr>
          <w:rFonts w:ascii="Trebuchet MS" w:hAnsi="Trebuchet MS"/>
          <w:b/>
        </w:rPr>
        <w:tab/>
        <w:t xml:space="preserve">CYCLE PARKING (AS SPECIFIED) </w:t>
      </w:r>
    </w:p>
    <w:p w14:paraId="2599E1A2" w14:textId="77777777" w:rsidR="008E2AE4" w:rsidRPr="00DE4E5C" w:rsidRDefault="008E2AE4" w:rsidP="008E2AE4">
      <w:pPr>
        <w:rPr>
          <w:rFonts w:ascii="Trebuchet MS" w:hAnsi="Trebuchet MS"/>
          <w:b/>
        </w:rPr>
      </w:pPr>
      <w:hyperlink w:anchor="_DC8_REFUSE_AND" w:history="1">
        <w:r w:rsidRPr="00DE4E5C">
          <w:rPr>
            <w:rStyle w:val="Hyperlink"/>
            <w:rFonts w:ascii="Trebuchet MS" w:hAnsi="Trebuchet MS"/>
            <w:b/>
          </w:rPr>
          <w:t>DC8</w:t>
        </w:r>
      </w:hyperlink>
      <w:r w:rsidRPr="00DE4E5C">
        <w:rPr>
          <w:rFonts w:ascii="Trebuchet MS" w:hAnsi="Trebuchet MS"/>
          <w:b/>
        </w:rPr>
        <w:tab/>
        <w:t>REFUSE AND RECYCLING (AS SPECIFIED)</w:t>
      </w:r>
    </w:p>
    <w:p w14:paraId="2C6B0024" w14:textId="77777777" w:rsidR="00FF0C10" w:rsidRPr="00DE4E5C" w:rsidRDefault="00FF0C10" w:rsidP="00FF0C10">
      <w:pPr>
        <w:rPr>
          <w:rFonts w:ascii="Trebuchet MS" w:hAnsi="Trebuchet MS"/>
          <w:b/>
        </w:rPr>
      </w:pPr>
      <w:hyperlink w:anchor="_DC20_PARKING_PERMITS" w:history="1">
        <w:r w:rsidRPr="00DE4E5C">
          <w:rPr>
            <w:rStyle w:val="Hyperlink"/>
            <w:rFonts w:ascii="Trebuchet MS" w:hAnsi="Trebuchet MS"/>
            <w:b/>
          </w:rPr>
          <w:t>DC20</w:t>
        </w:r>
      </w:hyperlink>
      <w:r w:rsidRPr="00DE4E5C">
        <w:rPr>
          <w:rFonts w:ascii="Trebuchet MS" w:hAnsi="Trebuchet MS"/>
          <w:b/>
        </w:rPr>
        <w:tab/>
        <w:t>PARKING PERMITS 1</w:t>
      </w:r>
    </w:p>
    <w:p w14:paraId="1FF13840" w14:textId="77777777" w:rsidR="00FF0C10" w:rsidRDefault="00FF0C10" w:rsidP="00FF0C10">
      <w:pPr>
        <w:rPr>
          <w:rFonts w:ascii="Trebuchet MS" w:hAnsi="Trebuchet MS"/>
          <w:b/>
        </w:rPr>
      </w:pPr>
      <w:hyperlink w:anchor="_DC21_PARKING_PERMITS" w:history="1">
        <w:r w:rsidRPr="00DE4E5C">
          <w:rPr>
            <w:rStyle w:val="Hyperlink"/>
            <w:rFonts w:ascii="Trebuchet MS" w:hAnsi="Trebuchet MS"/>
            <w:b/>
          </w:rPr>
          <w:t>DC21</w:t>
        </w:r>
      </w:hyperlink>
      <w:r w:rsidRPr="00DE4E5C">
        <w:rPr>
          <w:rFonts w:ascii="Trebuchet MS" w:hAnsi="Trebuchet MS"/>
          <w:b/>
        </w:rPr>
        <w:tab/>
        <w:t>PARKING PERMITS 2</w:t>
      </w:r>
    </w:p>
    <w:p w14:paraId="5884DC33" w14:textId="77777777" w:rsidR="00406F21" w:rsidRPr="00DE4E5C" w:rsidRDefault="00406F21" w:rsidP="00406F21">
      <w:pPr>
        <w:ind w:left="11" w:hanging="11"/>
        <w:jc w:val="both"/>
        <w:rPr>
          <w:rFonts w:ascii="Trebuchet MS" w:hAnsi="Trebuchet MS" w:cs="Arial"/>
          <w:b/>
        </w:rPr>
      </w:pPr>
      <w:r w:rsidRPr="00DE4E5C">
        <w:rPr>
          <w:rFonts w:ascii="Trebuchet MS" w:hAnsi="Trebuchet MS" w:cs="Arial"/>
          <w:b/>
        </w:rPr>
        <w:t>IF3</w:t>
      </w:r>
      <w:r w:rsidRPr="00DE4E5C">
        <w:rPr>
          <w:rFonts w:ascii="Trebuchet MS" w:hAnsi="Trebuchet MS" w:cs="Arial"/>
          <w:b/>
        </w:rPr>
        <w:tab/>
        <w:t>Highways</w:t>
      </w:r>
    </w:p>
    <w:p w14:paraId="38F99ECC" w14:textId="77777777" w:rsidR="00952EA8" w:rsidRPr="00DE4E5C" w:rsidRDefault="00952EA8" w:rsidP="00952EA8">
      <w:pPr>
        <w:ind w:right="29"/>
        <w:jc w:val="both"/>
        <w:rPr>
          <w:rFonts w:ascii="Trebuchet MS" w:hAnsi="Trebuchet MS"/>
          <w:b/>
        </w:rPr>
      </w:pPr>
      <w:r w:rsidRPr="00DE4E5C">
        <w:rPr>
          <w:rFonts w:ascii="Trebuchet MS" w:hAnsi="Trebuchet MS"/>
          <w:b/>
        </w:rPr>
        <w:t>I13</w:t>
      </w:r>
      <w:r w:rsidRPr="00DE4E5C">
        <w:rPr>
          <w:rFonts w:ascii="Trebuchet MS" w:hAnsi="Trebuchet MS"/>
          <w:b/>
        </w:rPr>
        <w:tab/>
        <w:t xml:space="preserve">Parking Permits  </w:t>
      </w:r>
    </w:p>
    <w:p w14:paraId="70DC8FC8" w14:textId="77777777" w:rsidR="00406F21" w:rsidRDefault="00406F21" w:rsidP="00FF0C10">
      <w:pPr>
        <w:rPr>
          <w:rFonts w:ascii="Trebuchet MS" w:hAnsi="Trebuchet MS"/>
          <w:b/>
        </w:rPr>
      </w:pPr>
    </w:p>
    <w:p w14:paraId="662EFFF5" w14:textId="77777777" w:rsidR="00952EA8" w:rsidRDefault="00952EA8" w:rsidP="00FF0C10">
      <w:pPr>
        <w:rPr>
          <w:rFonts w:ascii="Trebuchet MS" w:hAnsi="Trebuchet MS"/>
          <w:b/>
        </w:rPr>
      </w:pPr>
    </w:p>
    <w:p w14:paraId="06F6C8CA" w14:textId="46285415" w:rsidR="00952EA8" w:rsidRDefault="00952EA8" w:rsidP="00FF0C10">
      <w:pPr>
        <w:rPr>
          <w:rFonts w:ascii="Trebuchet MS" w:hAnsi="Trebuchet MS"/>
          <w:b/>
        </w:rPr>
      </w:pPr>
      <w:r>
        <w:rPr>
          <w:rFonts w:ascii="Trebuchet MS" w:hAnsi="Trebuchet MS"/>
          <w:b/>
        </w:rPr>
        <w:t>N. Hussain</w:t>
      </w:r>
    </w:p>
    <w:p w14:paraId="592590DE" w14:textId="14E6EB79" w:rsidR="00952EA8" w:rsidRPr="00DE4E5C" w:rsidRDefault="00952EA8" w:rsidP="00FF0C10">
      <w:pPr>
        <w:rPr>
          <w:rFonts w:ascii="Trebuchet MS" w:hAnsi="Trebuchet MS"/>
          <w:b/>
        </w:rPr>
      </w:pPr>
      <w:r>
        <w:rPr>
          <w:rFonts w:ascii="Trebuchet MS" w:hAnsi="Trebuchet MS"/>
          <w:b/>
        </w:rPr>
        <w:t xml:space="preserve">Transport Development Control Advisor </w:t>
      </w:r>
    </w:p>
    <w:p w14:paraId="461EF35D" w14:textId="77777777" w:rsidR="00FF0C10" w:rsidRDefault="00FF0C10" w:rsidP="007A2348">
      <w:pPr>
        <w:rPr>
          <w:rFonts w:ascii="Trebuchet MS" w:eastAsia="Calibri" w:hAnsi="Trebuchet MS" w:cs="Times New Roman"/>
          <w:sz w:val="24"/>
          <w:szCs w:val="24"/>
        </w:rPr>
      </w:pPr>
    </w:p>
    <w:sectPr w:rsidR="00FF0C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C2F"/>
    <w:rsid w:val="000166FD"/>
    <w:rsid w:val="00043DAA"/>
    <w:rsid w:val="001A37A8"/>
    <w:rsid w:val="001C5B7B"/>
    <w:rsid w:val="00302C2F"/>
    <w:rsid w:val="00343C08"/>
    <w:rsid w:val="00406F21"/>
    <w:rsid w:val="005E6473"/>
    <w:rsid w:val="0060581C"/>
    <w:rsid w:val="006467DC"/>
    <w:rsid w:val="006941A5"/>
    <w:rsid w:val="006B1116"/>
    <w:rsid w:val="006D0F65"/>
    <w:rsid w:val="00765FA2"/>
    <w:rsid w:val="007A2348"/>
    <w:rsid w:val="007B5AA4"/>
    <w:rsid w:val="008231A1"/>
    <w:rsid w:val="00827A5B"/>
    <w:rsid w:val="008E2AE4"/>
    <w:rsid w:val="00934068"/>
    <w:rsid w:val="00952EA8"/>
    <w:rsid w:val="00A12E15"/>
    <w:rsid w:val="00A469DC"/>
    <w:rsid w:val="00A46A97"/>
    <w:rsid w:val="00B145B9"/>
    <w:rsid w:val="00C12B3E"/>
    <w:rsid w:val="00C22758"/>
    <w:rsid w:val="00CF5139"/>
    <w:rsid w:val="00D04AD4"/>
    <w:rsid w:val="00E050A8"/>
    <w:rsid w:val="00F72B6E"/>
    <w:rsid w:val="00FF0C10"/>
    <w:rsid w:val="00FF5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885A6"/>
  <w15:chartTrackingRefBased/>
  <w15:docId w15:val="{0A1CA3B2-DC0D-4DC7-9E7D-4FCC078C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2C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2C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2C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2C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2C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2C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2C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2C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2C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C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2C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2C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C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C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C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C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C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C2F"/>
    <w:rPr>
      <w:rFonts w:eastAsiaTheme="majorEastAsia" w:cstheme="majorBidi"/>
      <w:color w:val="272727" w:themeColor="text1" w:themeTint="D8"/>
    </w:rPr>
  </w:style>
  <w:style w:type="paragraph" w:styleId="Title">
    <w:name w:val="Title"/>
    <w:basedOn w:val="Normal"/>
    <w:next w:val="Normal"/>
    <w:link w:val="TitleChar"/>
    <w:uiPriority w:val="10"/>
    <w:qFormat/>
    <w:rsid w:val="00302C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2C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C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2C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C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2C2F"/>
    <w:rPr>
      <w:i/>
      <w:iCs/>
      <w:color w:val="404040" w:themeColor="text1" w:themeTint="BF"/>
    </w:rPr>
  </w:style>
  <w:style w:type="paragraph" w:styleId="ListParagraph">
    <w:name w:val="List Paragraph"/>
    <w:basedOn w:val="Normal"/>
    <w:uiPriority w:val="34"/>
    <w:qFormat/>
    <w:rsid w:val="00302C2F"/>
    <w:pPr>
      <w:ind w:left="720"/>
      <w:contextualSpacing/>
    </w:pPr>
  </w:style>
  <w:style w:type="character" w:styleId="IntenseEmphasis">
    <w:name w:val="Intense Emphasis"/>
    <w:basedOn w:val="DefaultParagraphFont"/>
    <w:uiPriority w:val="21"/>
    <w:qFormat/>
    <w:rsid w:val="00302C2F"/>
    <w:rPr>
      <w:i/>
      <w:iCs/>
      <w:color w:val="0F4761" w:themeColor="accent1" w:themeShade="BF"/>
    </w:rPr>
  </w:style>
  <w:style w:type="paragraph" w:styleId="IntenseQuote">
    <w:name w:val="Intense Quote"/>
    <w:basedOn w:val="Normal"/>
    <w:next w:val="Normal"/>
    <w:link w:val="IntenseQuoteChar"/>
    <w:uiPriority w:val="30"/>
    <w:qFormat/>
    <w:rsid w:val="00302C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2C2F"/>
    <w:rPr>
      <w:i/>
      <w:iCs/>
      <w:color w:val="0F4761" w:themeColor="accent1" w:themeShade="BF"/>
    </w:rPr>
  </w:style>
  <w:style w:type="character" w:styleId="IntenseReference">
    <w:name w:val="Intense Reference"/>
    <w:basedOn w:val="DefaultParagraphFont"/>
    <w:uiPriority w:val="32"/>
    <w:qFormat/>
    <w:rsid w:val="00302C2F"/>
    <w:rPr>
      <w:b/>
      <w:bCs/>
      <w:smallCaps/>
      <w:color w:val="0F4761" w:themeColor="accent1" w:themeShade="BF"/>
      <w:spacing w:val="5"/>
    </w:rPr>
  </w:style>
  <w:style w:type="paragraph" w:styleId="PlainText">
    <w:name w:val="Plain Text"/>
    <w:basedOn w:val="Normal"/>
    <w:link w:val="PlainTextChar"/>
    <w:uiPriority w:val="99"/>
    <w:unhideWhenUsed/>
    <w:rsid w:val="00343C08"/>
    <w:rPr>
      <w:rFonts w:ascii="Calibri" w:eastAsia="Calibri" w:hAnsi="Calibri" w:cs="Times New Roman"/>
      <w:szCs w:val="21"/>
    </w:rPr>
  </w:style>
  <w:style w:type="character" w:customStyle="1" w:styleId="PlainTextChar">
    <w:name w:val="Plain Text Char"/>
    <w:basedOn w:val="DefaultParagraphFont"/>
    <w:link w:val="PlainText"/>
    <w:uiPriority w:val="99"/>
    <w:rsid w:val="00343C08"/>
    <w:rPr>
      <w:rFonts w:ascii="Calibri" w:eastAsia="Calibri" w:hAnsi="Calibri" w:cs="Times New Roman"/>
      <w:szCs w:val="21"/>
    </w:rPr>
  </w:style>
  <w:style w:type="character" w:styleId="Hyperlink">
    <w:name w:val="Hyperlink"/>
    <w:uiPriority w:val="99"/>
    <w:unhideWhenUsed/>
    <w:rsid w:val="00FF0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A9BCDE-F429-4A77-BF09-6EF101E84AFD}">
  <ds:schemaRefs>
    <ds:schemaRef ds:uri="http://schemas.microsoft.com/sharepoint/v3/contenttype/forms"/>
  </ds:schemaRefs>
</ds:datastoreItem>
</file>

<file path=customXml/itemProps2.xml><?xml version="1.0" encoding="utf-8"?>
<ds:datastoreItem xmlns:ds="http://schemas.openxmlformats.org/officeDocument/2006/customXml" ds:itemID="{BF035CB9-D463-456B-B1E9-DB7F3681EDFE}">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D3A33159-C6EC-4FC8-80E7-ACDB03864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352</Words>
  <Characters>1905</Characters>
  <Application>Microsoft Office Word</Application>
  <DocSecurity>0</DocSecurity>
  <Lines>42</Lines>
  <Paragraphs>17</Paragraphs>
  <ScaleCrop>false</ScaleCrop>
  <Company>Reading Borough Council</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27</cp:revision>
  <dcterms:created xsi:type="dcterms:W3CDTF">2025-10-13T18:46:00Z</dcterms:created>
  <dcterms:modified xsi:type="dcterms:W3CDTF">2025-10-14T11:43:00Z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