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A1442" w14:textId="77777777" w:rsidR="007C7A3E" w:rsidRPr="00CD6F33" w:rsidRDefault="007C7A3E" w:rsidP="007C7A3E">
      <w:pPr>
        <w:autoSpaceDE w:val="0"/>
        <w:autoSpaceDN w:val="0"/>
        <w:spacing w:after="0" w:line="240" w:lineRule="auto"/>
        <w:rPr>
          <w:rFonts w:ascii="Arial" w:eastAsia="Times New Roman" w:hAnsi="Arial" w:cs="Arial"/>
          <w:b/>
          <w:bCs/>
          <w:lang w:eastAsia="en-GB"/>
        </w:rPr>
      </w:pPr>
    </w:p>
    <w:p w14:paraId="6C9F4DBB" w14:textId="77777777" w:rsidR="007C7A3E" w:rsidRPr="00CD6F33" w:rsidRDefault="007C7A3E" w:rsidP="007C7A3E">
      <w:pPr>
        <w:autoSpaceDE w:val="0"/>
        <w:autoSpaceDN w:val="0"/>
        <w:spacing w:after="0" w:line="240" w:lineRule="auto"/>
        <w:rPr>
          <w:rFonts w:ascii="Arial" w:eastAsia="Times New Roman" w:hAnsi="Arial" w:cs="Arial"/>
          <w:b/>
          <w:bCs/>
          <w:lang w:eastAsia="en-GB"/>
        </w:rPr>
      </w:pPr>
    </w:p>
    <w:p w14:paraId="1B8ED6EF" w14:textId="77777777" w:rsidR="00A570DC" w:rsidRPr="00A570DC" w:rsidRDefault="00A570DC" w:rsidP="00A570DC">
      <w:pPr>
        <w:tabs>
          <w:tab w:val="left" w:pos="2552"/>
          <w:tab w:val="left" w:pos="6096"/>
        </w:tabs>
        <w:overflowPunct w:val="0"/>
        <w:autoSpaceDE w:val="0"/>
        <w:autoSpaceDN w:val="0"/>
        <w:spacing w:after="0" w:line="240" w:lineRule="auto"/>
        <w:ind w:left="2552" w:hanging="2552"/>
        <w:jc w:val="right"/>
        <w:rPr>
          <w:rFonts w:ascii="Arial" w:eastAsia="Calibri" w:hAnsi="Arial" w:cs="Arial"/>
          <w:b/>
          <w:bCs/>
        </w:rPr>
      </w:pPr>
      <w:bookmarkStart w:id="0" w:name="_Hlk117618221"/>
      <w:r w:rsidRPr="00A570DC">
        <w:rPr>
          <w:rFonts w:ascii="Arial" w:eastAsia="Calibri" w:hAnsi="Arial" w:cs="Arial"/>
          <w:b/>
          <w:bCs/>
          <w:noProof/>
        </w:rPr>
        <w:drawing>
          <wp:inline distT="0" distB="0" distL="0" distR="0" wp14:anchorId="265A428E" wp14:editId="6FB81594">
            <wp:extent cx="1250315" cy="514985"/>
            <wp:effectExtent l="0" t="0" r="6985" b="0"/>
            <wp:docPr id="1950189804"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89804" name="Picture 1" descr="A black and white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0315" cy="514985"/>
                    </a:xfrm>
                    <a:prstGeom prst="rect">
                      <a:avLst/>
                    </a:prstGeom>
                    <a:noFill/>
                    <a:ln>
                      <a:noFill/>
                    </a:ln>
                  </pic:spPr>
                </pic:pic>
              </a:graphicData>
            </a:graphic>
          </wp:inline>
        </w:drawing>
      </w:r>
      <w:bookmarkEnd w:id="0"/>
    </w:p>
    <w:p w14:paraId="51D85D6C" w14:textId="77777777"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b/>
          <w:bCs/>
        </w:rPr>
      </w:pPr>
    </w:p>
    <w:p w14:paraId="7484E6D3" w14:textId="77777777"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b/>
          <w:bCs/>
        </w:rPr>
      </w:pPr>
    </w:p>
    <w:p w14:paraId="299830C1" w14:textId="77777777"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b/>
          <w:bCs/>
        </w:rPr>
      </w:pPr>
    </w:p>
    <w:p w14:paraId="4E931894" w14:textId="77777777" w:rsidR="00A570DC" w:rsidRPr="00A570DC" w:rsidRDefault="00A570DC" w:rsidP="00A570DC">
      <w:pPr>
        <w:tabs>
          <w:tab w:val="left" w:pos="2552"/>
        </w:tabs>
        <w:overflowPunct w:val="0"/>
        <w:autoSpaceDE w:val="0"/>
        <w:autoSpaceDN w:val="0"/>
        <w:spacing w:after="0" w:line="240" w:lineRule="auto"/>
        <w:ind w:left="2552" w:hanging="2552"/>
        <w:jc w:val="center"/>
        <w:rPr>
          <w:rFonts w:ascii="Arial" w:eastAsia="Calibri" w:hAnsi="Arial" w:cs="Arial"/>
          <w:b/>
          <w:bCs/>
        </w:rPr>
      </w:pPr>
      <w:r w:rsidRPr="00A570DC">
        <w:rPr>
          <w:rFonts w:ascii="Arial" w:eastAsia="Calibri" w:hAnsi="Arial" w:cs="Arial"/>
          <w:b/>
          <w:bCs/>
        </w:rPr>
        <w:t>DELEGATED FUL PLANNING APPLICATION REPORT</w:t>
      </w:r>
    </w:p>
    <w:p w14:paraId="7C22D601" w14:textId="77777777"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rPr>
      </w:pPr>
    </w:p>
    <w:p w14:paraId="5F78E84F" w14:textId="1BCD3613"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rPr>
      </w:pPr>
      <w:r w:rsidRPr="00A570DC">
        <w:rPr>
          <w:rFonts w:ascii="Arial" w:eastAsia="Calibri" w:hAnsi="Arial" w:cs="Arial"/>
        </w:rPr>
        <w:t xml:space="preserve">Ward: </w:t>
      </w:r>
      <w:r w:rsidR="00E84104" w:rsidRPr="00CD6F33">
        <w:rPr>
          <w:rFonts w:ascii="Arial" w:eastAsia="Calibri" w:hAnsi="Arial" w:cs="Arial"/>
        </w:rPr>
        <w:t>Kentwood Ward</w:t>
      </w:r>
    </w:p>
    <w:p w14:paraId="3C7519F5" w14:textId="5BB4F1F1" w:rsidR="00A570DC" w:rsidRPr="00A570DC" w:rsidRDefault="00A570DC" w:rsidP="00A570DC">
      <w:pPr>
        <w:tabs>
          <w:tab w:val="left" w:pos="2552"/>
        </w:tabs>
        <w:overflowPunct w:val="0"/>
        <w:autoSpaceDE w:val="0"/>
        <w:autoSpaceDN w:val="0"/>
        <w:spacing w:after="0" w:line="240" w:lineRule="auto"/>
        <w:ind w:left="2552" w:hanging="2552"/>
        <w:jc w:val="both"/>
        <w:rPr>
          <w:rFonts w:ascii="Arial" w:eastAsia="Calibri" w:hAnsi="Arial" w:cs="Arial"/>
        </w:rPr>
      </w:pPr>
      <w:r w:rsidRPr="00A570DC">
        <w:rPr>
          <w:rFonts w:ascii="Arial" w:eastAsia="Calibri" w:hAnsi="Arial" w:cs="Arial"/>
        </w:rPr>
        <w:t>App Ref:</w:t>
      </w:r>
      <w:r w:rsidR="00443F74" w:rsidRPr="00CD6F33">
        <w:rPr>
          <w:rFonts w:ascii="Arial" w:hAnsi="Arial" w:cs="Arial"/>
        </w:rPr>
        <w:t xml:space="preserve"> </w:t>
      </w:r>
      <w:r w:rsidR="00443F74" w:rsidRPr="00CD6F33">
        <w:rPr>
          <w:rFonts w:ascii="Arial" w:eastAsia="Calibri" w:hAnsi="Arial" w:cs="Arial"/>
        </w:rPr>
        <w:t>PL/25/0989</w:t>
      </w:r>
      <w:r w:rsidRPr="00A570DC">
        <w:rPr>
          <w:rFonts w:ascii="Arial" w:eastAsia="Calibri" w:hAnsi="Arial" w:cs="Arial"/>
        </w:rPr>
        <w:t xml:space="preserve"> </w:t>
      </w:r>
    </w:p>
    <w:p w14:paraId="73719E1F" w14:textId="4B0342A3" w:rsidR="00A570DC" w:rsidRPr="00A570DC" w:rsidRDefault="00A570DC" w:rsidP="00A570DC">
      <w:pPr>
        <w:autoSpaceDE w:val="0"/>
        <w:autoSpaceDN w:val="0"/>
        <w:spacing w:after="0" w:line="240" w:lineRule="auto"/>
        <w:jc w:val="both"/>
        <w:rPr>
          <w:rFonts w:ascii="Arial" w:eastAsia="Times New Roman" w:hAnsi="Arial" w:cs="Arial"/>
          <w:lang w:eastAsia="en-GB"/>
        </w:rPr>
      </w:pPr>
      <w:r w:rsidRPr="00A570DC">
        <w:rPr>
          <w:rFonts w:ascii="Arial" w:eastAsia="Times New Roman" w:hAnsi="Arial" w:cs="Arial"/>
          <w:lang w:eastAsia="en-GB"/>
        </w:rPr>
        <w:t xml:space="preserve">Address: </w:t>
      </w:r>
      <w:r w:rsidR="00045F16" w:rsidRPr="00CD6F33">
        <w:rPr>
          <w:rFonts w:ascii="Arial" w:eastAsia="Times New Roman" w:hAnsi="Arial" w:cs="Arial"/>
          <w:lang w:eastAsia="en-GB"/>
        </w:rPr>
        <w:t>Lower Tilehurst Post Office, 229 Kentwood Hill, Tilehurst, Reading, RG31 6JD</w:t>
      </w:r>
    </w:p>
    <w:p w14:paraId="68CC0E76" w14:textId="77777777" w:rsidR="00A570DC" w:rsidRPr="00A570DC" w:rsidRDefault="00A570DC" w:rsidP="00A570DC">
      <w:pPr>
        <w:autoSpaceDE w:val="0"/>
        <w:autoSpaceDN w:val="0"/>
        <w:spacing w:after="0" w:line="240" w:lineRule="auto"/>
        <w:jc w:val="both"/>
        <w:rPr>
          <w:rFonts w:ascii="Arial" w:eastAsia="Times New Roman" w:hAnsi="Arial" w:cs="Arial"/>
          <w:lang w:eastAsia="en-GB"/>
        </w:rPr>
      </w:pPr>
      <w:r w:rsidRPr="00A570DC">
        <w:rPr>
          <w:rFonts w:ascii="Arial" w:eastAsia="Times New Roman" w:hAnsi="Arial" w:cs="Arial"/>
          <w:lang w:eastAsia="en-GB"/>
        </w:rPr>
        <w:t>Proposal: Retrospective application for installation of In Post Parcel Locker</w:t>
      </w:r>
    </w:p>
    <w:p w14:paraId="7753A0CD" w14:textId="77777777" w:rsidR="00A570DC" w:rsidRPr="00A570DC" w:rsidRDefault="00A570DC" w:rsidP="00A570DC">
      <w:pPr>
        <w:tabs>
          <w:tab w:val="left" w:pos="2552"/>
        </w:tabs>
        <w:autoSpaceDE w:val="0"/>
        <w:autoSpaceDN w:val="0"/>
        <w:spacing w:after="0" w:line="240" w:lineRule="auto"/>
        <w:ind w:left="2552" w:hanging="2552"/>
        <w:jc w:val="both"/>
        <w:rPr>
          <w:rFonts w:ascii="Arial" w:eastAsia="Times New Roman" w:hAnsi="Arial" w:cs="Arial"/>
          <w:lang w:eastAsia="en-GB"/>
        </w:rPr>
      </w:pPr>
      <w:r w:rsidRPr="00A570DC">
        <w:rPr>
          <w:rFonts w:ascii="Arial" w:eastAsia="Times New Roman" w:hAnsi="Arial" w:cs="Arial"/>
          <w:lang w:eastAsia="en-GB"/>
        </w:rPr>
        <w:t>Case Officer: Louise Coveney-Fuller</w:t>
      </w:r>
    </w:p>
    <w:p w14:paraId="5E4CD3CE" w14:textId="77777777" w:rsidR="00A570DC" w:rsidRPr="00A570DC" w:rsidRDefault="00A570DC" w:rsidP="00A570DC">
      <w:pPr>
        <w:autoSpaceDE w:val="0"/>
        <w:autoSpaceDN w:val="0"/>
        <w:spacing w:after="0" w:line="240" w:lineRule="auto"/>
        <w:rPr>
          <w:rFonts w:ascii="Arial" w:eastAsia="Times New Roman" w:hAnsi="Arial" w:cs="Arial"/>
          <w:lang w:eastAsia="en-GB"/>
        </w:rPr>
      </w:pPr>
      <w:r w:rsidRPr="00A570DC">
        <w:rPr>
          <w:rFonts w:ascii="Arial" w:eastAsia="Times New Roman" w:hAnsi="Arial" w:cs="Arial"/>
          <w:lang w:eastAsia="en-GB"/>
        </w:rPr>
        <w:t>Applicant: In Post UK In Post UK</w:t>
      </w:r>
    </w:p>
    <w:p w14:paraId="44665F13" w14:textId="47B28B35" w:rsidR="00A570DC" w:rsidRPr="00A570DC" w:rsidRDefault="00A570DC" w:rsidP="00A570DC">
      <w:pPr>
        <w:overflowPunct w:val="0"/>
        <w:autoSpaceDE w:val="0"/>
        <w:autoSpaceDN w:val="0"/>
        <w:spacing w:after="0" w:line="240" w:lineRule="auto"/>
        <w:jc w:val="both"/>
        <w:rPr>
          <w:rFonts w:ascii="Arial" w:eastAsia="Calibri" w:hAnsi="Arial" w:cs="Arial"/>
        </w:rPr>
      </w:pPr>
      <w:r w:rsidRPr="00A570DC">
        <w:rPr>
          <w:rFonts w:ascii="Arial" w:eastAsia="Calibri" w:hAnsi="Arial" w:cs="Arial"/>
        </w:rPr>
        <w:t>Decision date: 04/</w:t>
      </w:r>
      <w:r w:rsidRPr="00CD6F33">
        <w:rPr>
          <w:rFonts w:ascii="Arial" w:eastAsia="Calibri" w:hAnsi="Arial" w:cs="Arial"/>
        </w:rPr>
        <w:t>09/2025</w:t>
      </w:r>
    </w:p>
    <w:p w14:paraId="255DE2B9" w14:textId="77777777" w:rsidR="007C7A3E" w:rsidRPr="00CD6F33" w:rsidRDefault="007C7A3E" w:rsidP="007C7A3E">
      <w:pPr>
        <w:autoSpaceDE w:val="0"/>
        <w:autoSpaceDN w:val="0"/>
        <w:spacing w:after="0" w:line="240" w:lineRule="auto"/>
        <w:rPr>
          <w:rFonts w:ascii="Arial" w:eastAsia="Times New Roman" w:hAnsi="Arial" w:cs="Arial"/>
          <w:b/>
          <w:bCs/>
          <w:lang w:eastAsia="en-GB"/>
        </w:rPr>
      </w:pPr>
    </w:p>
    <w:p w14:paraId="263F91F0" w14:textId="04F77C08" w:rsidR="007C7A3E" w:rsidRPr="007C7A3E" w:rsidRDefault="007C7A3E" w:rsidP="007C7A3E">
      <w:pPr>
        <w:autoSpaceDE w:val="0"/>
        <w:autoSpaceDN w:val="0"/>
        <w:spacing w:after="0" w:line="240" w:lineRule="auto"/>
        <w:rPr>
          <w:rFonts w:ascii="Arial" w:eastAsia="Times New Roman" w:hAnsi="Arial" w:cs="Arial"/>
          <w:b/>
          <w:bCs/>
          <w:lang w:eastAsia="en-GB"/>
        </w:rPr>
      </w:pPr>
      <w:r w:rsidRPr="007C7A3E">
        <w:rPr>
          <w:rFonts w:ascii="Arial" w:eastAsia="Times New Roman" w:hAnsi="Arial" w:cs="Arial"/>
          <w:b/>
          <w:bCs/>
          <w:lang w:eastAsia="en-GB"/>
        </w:rPr>
        <w:t>SITE DESCRIPTION</w:t>
      </w:r>
    </w:p>
    <w:p w14:paraId="6FCE6393" w14:textId="77777777" w:rsidR="007C7A3E" w:rsidRPr="007C7A3E" w:rsidRDefault="007C7A3E" w:rsidP="007C7A3E">
      <w:pPr>
        <w:autoSpaceDE w:val="0"/>
        <w:autoSpaceDN w:val="0"/>
        <w:spacing w:after="0" w:line="240" w:lineRule="auto"/>
        <w:rPr>
          <w:rFonts w:ascii="Arial" w:eastAsia="Times New Roman" w:hAnsi="Arial" w:cs="Arial"/>
          <w:lang w:eastAsia="en-GB"/>
        </w:rPr>
      </w:pPr>
    </w:p>
    <w:p w14:paraId="5BCEF1DE" w14:textId="19FE21B9" w:rsidR="007C7A3E" w:rsidRPr="007C7A3E" w:rsidRDefault="007C7A3E" w:rsidP="007C7A3E">
      <w:pPr>
        <w:autoSpaceDE w:val="0"/>
        <w:autoSpaceDN w:val="0"/>
        <w:spacing w:after="0" w:line="240" w:lineRule="auto"/>
        <w:rPr>
          <w:rFonts w:ascii="Arial" w:eastAsia="Times New Roman" w:hAnsi="Arial" w:cs="Arial"/>
          <w:lang w:eastAsia="en-GB"/>
        </w:rPr>
      </w:pPr>
      <w:r w:rsidRPr="007C7A3E">
        <w:rPr>
          <w:rFonts w:ascii="Arial" w:eastAsia="Times New Roman" w:hAnsi="Arial" w:cs="Arial"/>
          <w:lang w:eastAsia="en-GB"/>
        </w:rPr>
        <w:t>The application site is known as</w:t>
      </w:r>
      <w:r w:rsidRPr="00CD6F33">
        <w:rPr>
          <w:rFonts w:ascii="Arial" w:eastAsia="Times New Roman" w:hAnsi="Arial" w:cs="Arial"/>
          <w:lang w:eastAsia="en-GB"/>
        </w:rPr>
        <w:t xml:space="preserve"> Premier Stores and</w:t>
      </w:r>
      <w:r w:rsidRPr="007C7A3E">
        <w:rPr>
          <w:rFonts w:ascii="Arial" w:eastAsia="Times New Roman" w:hAnsi="Arial" w:cs="Arial"/>
          <w:lang w:eastAsia="en-GB"/>
        </w:rPr>
        <w:t xml:space="preserve"> is located on </w:t>
      </w:r>
      <w:r w:rsidRPr="00CD6F33">
        <w:rPr>
          <w:rFonts w:ascii="Arial" w:eastAsia="Times New Roman" w:hAnsi="Arial" w:cs="Arial"/>
          <w:lang w:eastAsia="en-GB"/>
        </w:rPr>
        <w:t>Lower Tilehurst Road</w:t>
      </w:r>
    </w:p>
    <w:p w14:paraId="2D21A80B" w14:textId="77777777" w:rsidR="007C7A3E" w:rsidRPr="007C7A3E" w:rsidRDefault="007C7A3E" w:rsidP="007C7A3E">
      <w:pPr>
        <w:autoSpaceDE w:val="0"/>
        <w:autoSpaceDN w:val="0"/>
        <w:spacing w:after="0" w:line="240" w:lineRule="auto"/>
        <w:rPr>
          <w:rFonts w:ascii="Arial" w:eastAsia="Times New Roman" w:hAnsi="Arial" w:cs="Arial"/>
          <w:i/>
          <w:iCs/>
          <w:lang w:eastAsia="en-GB"/>
        </w:rPr>
      </w:pPr>
    </w:p>
    <w:p w14:paraId="7F387207" w14:textId="77777777" w:rsidR="007C7A3E" w:rsidRPr="007C7A3E" w:rsidRDefault="007C7A3E" w:rsidP="007C7A3E">
      <w:pPr>
        <w:autoSpaceDE w:val="0"/>
        <w:autoSpaceDN w:val="0"/>
        <w:spacing w:after="0" w:line="240" w:lineRule="auto"/>
        <w:rPr>
          <w:rFonts w:ascii="Arial" w:eastAsia="Times New Roman" w:hAnsi="Arial" w:cs="Arial"/>
          <w:i/>
          <w:iCs/>
          <w:lang w:eastAsia="en-GB"/>
        </w:rPr>
      </w:pPr>
    </w:p>
    <w:p w14:paraId="337B740D" w14:textId="77777777" w:rsidR="007C7A3E" w:rsidRPr="007C7A3E" w:rsidRDefault="007C7A3E" w:rsidP="007C7A3E">
      <w:pPr>
        <w:autoSpaceDE w:val="0"/>
        <w:autoSpaceDN w:val="0"/>
        <w:spacing w:after="0" w:line="240" w:lineRule="auto"/>
        <w:rPr>
          <w:rFonts w:ascii="Arial" w:eastAsia="Times New Roman" w:hAnsi="Arial" w:cs="Arial"/>
          <w:b/>
          <w:bCs/>
          <w:lang w:eastAsia="en-GB"/>
        </w:rPr>
      </w:pPr>
      <w:r w:rsidRPr="007C7A3E">
        <w:rPr>
          <w:rFonts w:ascii="Arial" w:eastAsia="Times New Roman" w:hAnsi="Arial" w:cs="Arial"/>
          <w:b/>
          <w:bCs/>
          <w:lang w:eastAsia="en-GB"/>
        </w:rPr>
        <w:t xml:space="preserve">PROPOSAL </w:t>
      </w:r>
    </w:p>
    <w:p w14:paraId="221FD3CB" w14:textId="77777777" w:rsidR="007C7A3E" w:rsidRPr="007C7A3E" w:rsidRDefault="007C7A3E" w:rsidP="007C7A3E">
      <w:pPr>
        <w:overflowPunct w:val="0"/>
        <w:autoSpaceDE w:val="0"/>
        <w:autoSpaceDN w:val="0"/>
        <w:spacing w:after="0" w:line="240" w:lineRule="auto"/>
        <w:jc w:val="both"/>
        <w:rPr>
          <w:rFonts w:ascii="Arial" w:eastAsia="Calibri" w:hAnsi="Arial" w:cs="Arial"/>
        </w:rPr>
      </w:pPr>
    </w:p>
    <w:p w14:paraId="3A0CC7A5" w14:textId="77777777" w:rsidR="007C7A3E" w:rsidRPr="007C7A3E" w:rsidRDefault="007C7A3E" w:rsidP="007C7A3E">
      <w:pPr>
        <w:overflowPunct w:val="0"/>
        <w:autoSpaceDE w:val="0"/>
        <w:autoSpaceDN w:val="0"/>
        <w:spacing w:after="0" w:line="240" w:lineRule="auto"/>
        <w:jc w:val="both"/>
        <w:rPr>
          <w:rFonts w:ascii="Arial" w:eastAsia="Calibri" w:hAnsi="Arial" w:cs="Arial"/>
        </w:rPr>
      </w:pPr>
      <w:r w:rsidRPr="007C7A3E">
        <w:rPr>
          <w:rFonts w:ascii="Arial" w:eastAsia="Calibri" w:hAnsi="Arial" w:cs="Arial"/>
        </w:rPr>
        <w:t>This application seeks to obtain retrospective planning permission installation of In Post Parcel Locker.</w:t>
      </w:r>
    </w:p>
    <w:p w14:paraId="1753E7ED" w14:textId="77777777" w:rsidR="007C7A3E" w:rsidRPr="007C7A3E" w:rsidRDefault="007C7A3E" w:rsidP="007C7A3E">
      <w:pPr>
        <w:overflowPunct w:val="0"/>
        <w:autoSpaceDE w:val="0"/>
        <w:autoSpaceDN w:val="0"/>
        <w:spacing w:after="0" w:line="240" w:lineRule="auto"/>
        <w:jc w:val="both"/>
        <w:rPr>
          <w:rFonts w:ascii="Arial" w:eastAsia="Calibri" w:hAnsi="Arial" w:cs="Arial"/>
        </w:rPr>
      </w:pPr>
    </w:p>
    <w:p w14:paraId="77B9ED9D"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32DD9EF7"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r w:rsidRPr="007C7A3E">
        <w:rPr>
          <w:rFonts w:ascii="Arial" w:eastAsia="Times New Roman" w:hAnsi="Arial" w:cs="Arial"/>
          <w:b/>
          <w:bCs/>
          <w:lang w:eastAsia="en-GB"/>
        </w:rPr>
        <w:t xml:space="preserve">RELEVANT PLANNING HISTORY </w:t>
      </w:r>
    </w:p>
    <w:p w14:paraId="7B28382D"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09905E71" w14:textId="7578C93B"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CD6F33">
        <w:rPr>
          <w:rFonts w:ascii="Arial" w:eastAsia="Times New Roman" w:hAnsi="Arial" w:cs="Arial"/>
          <w:lang w:eastAsia="en-GB"/>
        </w:rPr>
        <w:t>None</w:t>
      </w:r>
    </w:p>
    <w:p w14:paraId="0283DA97"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p>
    <w:p w14:paraId="1765758D"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p>
    <w:p w14:paraId="2A5B5986" w14:textId="77777777" w:rsidR="007C7A3E" w:rsidRPr="007C7A3E" w:rsidRDefault="007C7A3E" w:rsidP="007C7A3E">
      <w:pPr>
        <w:autoSpaceDE w:val="0"/>
        <w:autoSpaceDN w:val="0"/>
        <w:spacing w:after="0" w:line="240" w:lineRule="auto"/>
        <w:jc w:val="both"/>
        <w:rPr>
          <w:rFonts w:ascii="Arial" w:eastAsia="Times New Roman" w:hAnsi="Arial" w:cs="Arial"/>
          <w:b/>
          <w:bCs/>
          <w:color w:val="000000"/>
          <w:lang w:eastAsia="en-GB"/>
        </w:rPr>
      </w:pPr>
      <w:r w:rsidRPr="007C7A3E">
        <w:rPr>
          <w:rFonts w:ascii="Arial" w:eastAsia="Times New Roman" w:hAnsi="Arial" w:cs="Arial"/>
          <w:b/>
          <w:bCs/>
          <w:color w:val="000000"/>
          <w:lang w:eastAsia="en-GB"/>
        </w:rPr>
        <w:t>Equality Act 2010:</w:t>
      </w:r>
    </w:p>
    <w:p w14:paraId="0D86361C" w14:textId="77777777" w:rsidR="007C7A3E" w:rsidRPr="007C7A3E" w:rsidRDefault="007C7A3E" w:rsidP="007C7A3E">
      <w:pPr>
        <w:autoSpaceDE w:val="0"/>
        <w:autoSpaceDN w:val="0"/>
        <w:spacing w:after="0" w:line="240" w:lineRule="auto"/>
        <w:jc w:val="both"/>
        <w:rPr>
          <w:rFonts w:ascii="Arial" w:eastAsia="Times New Roman" w:hAnsi="Arial" w:cs="Arial"/>
          <w:bCs/>
          <w:color w:val="000000"/>
          <w:lang w:eastAsia="en-GB"/>
        </w:rPr>
      </w:pPr>
      <w:r w:rsidRPr="007C7A3E">
        <w:rPr>
          <w:rFonts w:ascii="Arial" w:eastAsia="Times New Roman" w:hAnsi="Arial" w:cs="Arial"/>
          <w:bCs/>
          <w:color w:val="000000"/>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C7A3E">
        <w:rPr>
          <w:rFonts w:ascii="Arial" w:eastAsia="Times New Roman" w:hAnsi="Arial" w:cs="Arial"/>
          <w:bCs/>
          <w:color w:val="000000"/>
          <w:lang w:eastAsia="en-GB"/>
        </w:rPr>
        <w:t>particular planning</w:t>
      </w:r>
      <w:proofErr w:type="gramEnd"/>
      <w:r w:rsidRPr="007C7A3E">
        <w:rPr>
          <w:rFonts w:ascii="Arial" w:eastAsia="Times New Roman" w:hAnsi="Arial" w:cs="Arial"/>
          <w:bCs/>
          <w:color w:val="000000"/>
          <w:lang w:eastAsia="en-GB"/>
        </w:rPr>
        <w:t xml:space="preserve"> application.  Therefore, in terms of the key equalities protected characteristics it is considered there would be no significant adverse impacts </w:t>
      </w:r>
      <w:proofErr w:type="gramStart"/>
      <w:r w:rsidRPr="007C7A3E">
        <w:rPr>
          <w:rFonts w:ascii="Arial" w:eastAsia="Times New Roman" w:hAnsi="Arial" w:cs="Arial"/>
          <w:bCs/>
          <w:color w:val="000000"/>
          <w:lang w:eastAsia="en-GB"/>
        </w:rPr>
        <w:t>as a result of</w:t>
      </w:r>
      <w:proofErr w:type="gramEnd"/>
      <w:r w:rsidRPr="007C7A3E">
        <w:rPr>
          <w:rFonts w:ascii="Arial" w:eastAsia="Times New Roman" w:hAnsi="Arial" w:cs="Arial"/>
          <w:bCs/>
          <w:color w:val="000000"/>
          <w:lang w:eastAsia="en-GB"/>
        </w:rPr>
        <w:t xml:space="preserve"> the development.</w:t>
      </w:r>
    </w:p>
    <w:p w14:paraId="70D68E23" w14:textId="77777777" w:rsidR="007C7A3E" w:rsidRPr="007C7A3E" w:rsidRDefault="007C7A3E" w:rsidP="007C7A3E">
      <w:pPr>
        <w:autoSpaceDE w:val="0"/>
        <w:autoSpaceDN w:val="0"/>
        <w:spacing w:after="0" w:line="240" w:lineRule="auto"/>
        <w:ind w:left="720" w:hanging="720"/>
        <w:jc w:val="both"/>
        <w:rPr>
          <w:rFonts w:ascii="Arial" w:eastAsia="Times New Roman" w:hAnsi="Arial" w:cs="Arial"/>
          <w:lang w:eastAsia="en-GB"/>
        </w:rPr>
      </w:pPr>
    </w:p>
    <w:p w14:paraId="7217B6DE"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r w:rsidRPr="007C7A3E">
        <w:rPr>
          <w:rFonts w:ascii="Arial" w:eastAsia="Times New Roman" w:hAnsi="Arial" w:cs="Arial"/>
          <w:b/>
          <w:bCs/>
          <w:lang w:eastAsia="en-GB"/>
        </w:rPr>
        <w:t>LEGAL AND PLANNING POLICY CONTEXT</w:t>
      </w:r>
    </w:p>
    <w:p w14:paraId="12CF610E" w14:textId="77777777" w:rsidR="007C7A3E" w:rsidRPr="007C7A3E" w:rsidRDefault="007C7A3E" w:rsidP="007C7A3E">
      <w:pPr>
        <w:autoSpaceDE w:val="0"/>
        <w:autoSpaceDN w:val="0"/>
        <w:spacing w:after="0" w:line="240" w:lineRule="auto"/>
        <w:ind w:left="720"/>
        <w:jc w:val="both"/>
        <w:rPr>
          <w:rFonts w:ascii="Arial" w:eastAsia="Times New Roman" w:hAnsi="Arial" w:cs="Arial"/>
          <w:bCs/>
          <w:lang w:eastAsia="en-GB"/>
        </w:rPr>
      </w:pPr>
    </w:p>
    <w:p w14:paraId="38CB1A0C"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62B30E88"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0A415EE3" w14:textId="77777777" w:rsidR="007C7A3E" w:rsidRPr="007C7A3E" w:rsidRDefault="007C7A3E" w:rsidP="007C7A3E">
      <w:pPr>
        <w:autoSpaceDE w:val="0"/>
        <w:autoSpaceDN w:val="0"/>
        <w:spacing w:after="0" w:line="240" w:lineRule="auto"/>
        <w:jc w:val="both"/>
        <w:rPr>
          <w:rFonts w:ascii="Arial" w:eastAsia="Times New Roman" w:hAnsi="Arial" w:cs="Arial"/>
          <w:b/>
          <w:bCs/>
          <w:u w:val="single"/>
          <w:lang w:eastAsia="en-GB"/>
        </w:rPr>
      </w:pPr>
      <w:r w:rsidRPr="007C7A3E">
        <w:rPr>
          <w:rFonts w:ascii="Arial" w:eastAsia="Times New Roman" w:hAnsi="Arial" w:cs="Arial"/>
          <w:b/>
          <w:bCs/>
          <w:u w:val="single"/>
          <w:lang w:eastAsia="en-GB"/>
        </w:rPr>
        <w:t>National Policy</w:t>
      </w:r>
    </w:p>
    <w:p w14:paraId="08E1D806"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National Planning Policy Framework 2023 (as amended)</w:t>
      </w:r>
    </w:p>
    <w:p w14:paraId="5B292270"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 xml:space="preserve">National Planning Practice Guidance 2014 onwards </w:t>
      </w:r>
    </w:p>
    <w:p w14:paraId="541B0EBC"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p>
    <w:p w14:paraId="2D11194A" w14:textId="77777777" w:rsidR="007C7A3E" w:rsidRPr="007C7A3E" w:rsidRDefault="007C7A3E" w:rsidP="007C7A3E">
      <w:pPr>
        <w:autoSpaceDE w:val="0"/>
        <w:autoSpaceDN w:val="0"/>
        <w:spacing w:after="0" w:line="240" w:lineRule="auto"/>
        <w:jc w:val="both"/>
        <w:rPr>
          <w:rFonts w:ascii="Arial" w:eastAsia="Times New Roman" w:hAnsi="Arial" w:cs="Arial"/>
          <w:b/>
          <w:bCs/>
          <w:u w:val="single"/>
          <w:lang w:eastAsia="en-GB"/>
        </w:rPr>
      </w:pPr>
      <w:r w:rsidRPr="007C7A3E">
        <w:rPr>
          <w:rFonts w:ascii="Arial" w:eastAsia="Times New Roman" w:hAnsi="Arial" w:cs="Arial"/>
          <w:b/>
          <w:bCs/>
          <w:u w:val="single"/>
          <w:lang w:eastAsia="en-GB"/>
        </w:rPr>
        <w:lastRenderedPageBreak/>
        <w:t>Reading Borough Local Plan (2019)</w:t>
      </w:r>
    </w:p>
    <w:p w14:paraId="0404014E"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CC1: PRESUMPTION IN FAVOUR OF SUSTAINABLE DEVELOPMENT</w:t>
      </w:r>
    </w:p>
    <w:p w14:paraId="28B2C383"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CC2: SUSTAINABLE DESIGN AND CONSTRUCTION</w:t>
      </w:r>
    </w:p>
    <w:p w14:paraId="6D033894"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CC7: DESIGN AND THE PUBLIC REALM</w:t>
      </w:r>
    </w:p>
    <w:p w14:paraId="2F9E6440" w14:textId="77777777"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CC8: SAFEGUARDING AMENITY</w:t>
      </w:r>
    </w:p>
    <w:p w14:paraId="6A78C709" w14:textId="77777777" w:rsidR="007C7A3E" w:rsidRPr="007C7A3E" w:rsidRDefault="007C7A3E" w:rsidP="007C7A3E">
      <w:pPr>
        <w:autoSpaceDE w:val="0"/>
        <w:autoSpaceDN w:val="0"/>
        <w:spacing w:after="0" w:line="240" w:lineRule="auto"/>
        <w:jc w:val="both"/>
        <w:rPr>
          <w:rFonts w:ascii="Arial" w:eastAsia="Times New Roman" w:hAnsi="Arial" w:cs="Arial"/>
          <w:color w:val="000000" w:themeColor="text1"/>
          <w:lang w:eastAsia="en-GB"/>
        </w:rPr>
      </w:pPr>
      <w:r w:rsidRPr="007C7A3E">
        <w:rPr>
          <w:rFonts w:ascii="Arial" w:eastAsia="Times New Roman" w:hAnsi="Arial" w:cs="Arial"/>
          <w:bCs/>
          <w:lang w:eastAsia="en-GB"/>
        </w:rPr>
        <w:t xml:space="preserve">TR3: ACCESS TRAFFIC AND HIGHWAY-RELATED MATTERS </w:t>
      </w:r>
    </w:p>
    <w:p w14:paraId="367891AA"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7C7A3E">
        <w:rPr>
          <w:rFonts w:ascii="Arial" w:eastAsia="Times New Roman" w:hAnsi="Arial" w:cs="Arial"/>
          <w:bCs/>
          <w:lang w:eastAsia="en-GB"/>
        </w:rPr>
        <w:t xml:space="preserve">TR5: CAR AND CYCLE PARKING </w:t>
      </w:r>
    </w:p>
    <w:p w14:paraId="4A790817"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7C7A3E">
        <w:rPr>
          <w:rFonts w:ascii="Arial" w:eastAsia="Times New Roman" w:hAnsi="Arial" w:cs="Arial"/>
          <w:bCs/>
          <w:lang w:eastAsia="en-GB"/>
        </w:rPr>
        <w:t>RL1 – HIERACHY OF CENTRES</w:t>
      </w:r>
    </w:p>
    <w:p w14:paraId="20383253"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7C7A3E">
        <w:rPr>
          <w:rFonts w:ascii="Arial" w:eastAsia="Times New Roman" w:hAnsi="Arial" w:cs="Arial"/>
          <w:lang w:eastAsia="en-GB"/>
        </w:rPr>
        <w:t xml:space="preserve">OU5 – SHOPFRONTS AND CASH MACHINES </w:t>
      </w:r>
    </w:p>
    <w:p w14:paraId="6ACF7B81"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u w:val="single"/>
          <w:lang w:eastAsia="en-GB"/>
        </w:rPr>
      </w:pPr>
    </w:p>
    <w:p w14:paraId="34C2014B"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u w:val="single"/>
          <w:lang w:eastAsia="en-GB"/>
        </w:rPr>
      </w:pPr>
      <w:r w:rsidRPr="007C7A3E">
        <w:rPr>
          <w:rFonts w:ascii="Arial" w:eastAsia="Times New Roman" w:hAnsi="Arial" w:cs="Arial"/>
          <w:u w:val="single"/>
          <w:lang w:eastAsia="en-GB"/>
        </w:rPr>
        <w:t>SPG/SPD</w:t>
      </w:r>
    </w:p>
    <w:p w14:paraId="11B876C9" w14:textId="77777777"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7C7A3E">
        <w:rPr>
          <w:rFonts w:ascii="Arial" w:eastAsia="Times New Roman" w:hAnsi="Arial" w:cs="Arial"/>
          <w:bCs/>
          <w:lang w:eastAsia="en-GB"/>
        </w:rPr>
        <w:t>Revised Parking Standards and Design 2011</w:t>
      </w:r>
    </w:p>
    <w:p w14:paraId="6CB1BD02"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lang w:eastAsia="en-GB"/>
        </w:rPr>
        <w:t>Design Guide for Shopfronts, Adopted January 2022</w:t>
      </w:r>
    </w:p>
    <w:p w14:paraId="79ACD435"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53FE47D7"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5D16DDEB" w14:textId="699DB844"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CD6F33">
        <w:rPr>
          <w:rFonts w:ascii="Arial" w:eastAsia="Times New Roman" w:hAnsi="Arial" w:cs="Arial"/>
          <w:lang w:eastAsia="en-GB"/>
        </w:rPr>
        <w:t>CONSULTATIONS</w:t>
      </w:r>
    </w:p>
    <w:p w14:paraId="099A5BC2" w14:textId="77777777"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1EAFB95" w14:textId="525992E1"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CD6F33">
        <w:rPr>
          <w:rFonts w:ascii="Arial" w:eastAsia="Times New Roman" w:hAnsi="Arial" w:cs="Arial"/>
          <w:lang w:eastAsia="en-GB"/>
        </w:rPr>
        <w:t>A site notice has been displayed covering the consultation period.</w:t>
      </w:r>
    </w:p>
    <w:p w14:paraId="1A0AC173" w14:textId="77777777"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A96A6BA" w14:textId="3948E335"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CD6F33">
        <w:rPr>
          <w:rFonts w:ascii="Arial" w:eastAsia="Times New Roman" w:hAnsi="Arial" w:cs="Arial"/>
          <w:lang w:eastAsia="en-GB"/>
        </w:rPr>
        <w:t>Internal Consultees</w:t>
      </w:r>
    </w:p>
    <w:p w14:paraId="4A8F9226" w14:textId="77777777" w:rsidR="007C7A3E" w:rsidRPr="00CD6F33"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CD9D7AF" w14:textId="37E1F748" w:rsidR="007C7A3E" w:rsidRPr="007C7A3E" w:rsidRDefault="007C7A3E" w:rsidP="007C7A3E">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CD6F33">
        <w:rPr>
          <w:rFonts w:ascii="Arial" w:eastAsia="Times New Roman" w:hAnsi="Arial" w:cs="Arial"/>
          <w:lang w:eastAsia="en-GB"/>
        </w:rPr>
        <w:t>Highways- No Objection</w:t>
      </w:r>
    </w:p>
    <w:p w14:paraId="4E739199" w14:textId="77777777" w:rsidR="007C7A3E" w:rsidRPr="00CD6F33" w:rsidRDefault="007C7A3E" w:rsidP="007C7A3E">
      <w:pPr>
        <w:autoSpaceDE w:val="0"/>
        <w:autoSpaceDN w:val="0"/>
        <w:spacing w:after="0" w:line="240" w:lineRule="auto"/>
        <w:jc w:val="both"/>
        <w:rPr>
          <w:rFonts w:ascii="Arial" w:eastAsia="Times New Roman" w:hAnsi="Arial" w:cs="Arial"/>
          <w:bCs/>
          <w:lang w:eastAsia="en-GB"/>
        </w:rPr>
      </w:pPr>
    </w:p>
    <w:p w14:paraId="514C5FE7" w14:textId="74FDFA2D" w:rsidR="007C7A3E" w:rsidRPr="007C7A3E" w:rsidRDefault="007C7A3E" w:rsidP="007C7A3E">
      <w:pPr>
        <w:autoSpaceDE w:val="0"/>
        <w:autoSpaceDN w:val="0"/>
        <w:spacing w:after="0" w:line="240" w:lineRule="auto"/>
        <w:jc w:val="both"/>
        <w:rPr>
          <w:rFonts w:ascii="Arial" w:eastAsia="Times New Roman" w:hAnsi="Arial" w:cs="Arial"/>
          <w:bCs/>
          <w:lang w:eastAsia="en-GB"/>
        </w:rPr>
      </w:pPr>
      <w:r w:rsidRPr="007C7A3E">
        <w:rPr>
          <w:rFonts w:ascii="Arial" w:eastAsia="Times New Roman" w:hAnsi="Arial" w:cs="Arial"/>
          <w:bCs/>
          <w:lang w:eastAsia="en-GB"/>
        </w:rPr>
        <w:t>REPRESENTATIONS</w:t>
      </w:r>
    </w:p>
    <w:p w14:paraId="7A081175" w14:textId="77777777" w:rsidR="007C7A3E" w:rsidRPr="007C7A3E" w:rsidRDefault="007C7A3E" w:rsidP="007C7A3E">
      <w:pPr>
        <w:autoSpaceDE w:val="0"/>
        <w:autoSpaceDN w:val="0"/>
        <w:spacing w:after="0" w:line="240" w:lineRule="auto"/>
        <w:jc w:val="both"/>
        <w:rPr>
          <w:rFonts w:ascii="Arial" w:eastAsia="Times New Roman" w:hAnsi="Arial" w:cs="Arial"/>
          <w:bCs/>
          <w:highlight w:val="yellow"/>
          <w:lang w:eastAsia="en-GB"/>
        </w:rPr>
      </w:pPr>
    </w:p>
    <w:p w14:paraId="46F3A660" w14:textId="434CD115" w:rsidR="007C7A3E" w:rsidRPr="007C7A3E" w:rsidRDefault="007C7A3E" w:rsidP="007C7A3E">
      <w:pPr>
        <w:autoSpaceDE w:val="0"/>
        <w:autoSpaceDN w:val="0"/>
        <w:spacing w:after="0" w:line="240" w:lineRule="auto"/>
        <w:jc w:val="both"/>
        <w:rPr>
          <w:rFonts w:ascii="Arial" w:eastAsia="Times New Roman" w:hAnsi="Arial" w:cs="Arial"/>
          <w:bCs/>
          <w:highlight w:val="yellow"/>
          <w:lang w:eastAsia="en-GB"/>
        </w:rPr>
      </w:pPr>
      <w:r w:rsidRPr="007C7A3E">
        <w:rPr>
          <w:rFonts w:ascii="Arial" w:eastAsia="Times New Roman" w:hAnsi="Arial" w:cs="Arial"/>
          <w:bCs/>
          <w:lang w:eastAsia="en-GB"/>
        </w:rPr>
        <w:t xml:space="preserve">At the time of writing this report </w:t>
      </w:r>
      <w:r w:rsidRPr="00CD6F33">
        <w:rPr>
          <w:rFonts w:ascii="Arial" w:eastAsia="Times New Roman" w:hAnsi="Arial" w:cs="Arial"/>
          <w:bCs/>
          <w:lang w:eastAsia="en-GB"/>
        </w:rPr>
        <w:t>no l</w:t>
      </w:r>
      <w:r w:rsidRPr="007C7A3E">
        <w:rPr>
          <w:rFonts w:ascii="Arial" w:eastAsia="Times New Roman" w:hAnsi="Arial" w:cs="Arial"/>
          <w:bCs/>
          <w:lang w:eastAsia="en-GB"/>
        </w:rPr>
        <w:t>etters of representation have been received</w:t>
      </w:r>
      <w:r w:rsidRPr="00CD6F33">
        <w:rPr>
          <w:rFonts w:ascii="Arial" w:eastAsia="Times New Roman" w:hAnsi="Arial" w:cs="Arial"/>
          <w:bCs/>
          <w:lang w:eastAsia="en-GB"/>
        </w:rPr>
        <w:t>.</w:t>
      </w:r>
      <w:r w:rsidRPr="007C7A3E">
        <w:rPr>
          <w:rFonts w:ascii="Arial" w:eastAsia="Times New Roman" w:hAnsi="Arial" w:cs="Arial"/>
          <w:bCs/>
          <w:lang w:eastAsia="en-GB"/>
        </w:rPr>
        <w:t xml:space="preserve"> </w:t>
      </w:r>
    </w:p>
    <w:p w14:paraId="0C428912" w14:textId="77777777" w:rsidR="007C7A3E" w:rsidRPr="007C7A3E" w:rsidRDefault="007C7A3E" w:rsidP="007C7A3E">
      <w:pPr>
        <w:autoSpaceDE w:val="0"/>
        <w:autoSpaceDN w:val="0"/>
        <w:spacing w:after="0" w:line="240" w:lineRule="auto"/>
        <w:jc w:val="both"/>
        <w:rPr>
          <w:rFonts w:ascii="Arial" w:eastAsia="Times New Roman" w:hAnsi="Arial" w:cs="Arial"/>
          <w:bCs/>
          <w:highlight w:val="yellow"/>
          <w:lang w:eastAsia="en-GB"/>
        </w:rPr>
      </w:pPr>
    </w:p>
    <w:p w14:paraId="6F9122FF"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2DF877F7"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r w:rsidRPr="007C7A3E">
        <w:rPr>
          <w:rFonts w:ascii="Arial" w:eastAsia="Times New Roman" w:hAnsi="Arial" w:cs="Arial"/>
          <w:b/>
          <w:bCs/>
          <w:lang w:eastAsia="en-GB"/>
        </w:rPr>
        <w:t xml:space="preserve">PLANNING CONSIDERATIONS </w:t>
      </w:r>
    </w:p>
    <w:p w14:paraId="301F04CA"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31078CDB" w14:textId="77777777" w:rsidR="007C7A3E" w:rsidRPr="007C7A3E" w:rsidRDefault="007C7A3E" w:rsidP="007C7A3E">
      <w:pPr>
        <w:autoSpaceDE w:val="0"/>
        <w:autoSpaceDN w:val="0"/>
        <w:spacing w:after="0" w:line="240" w:lineRule="auto"/>
        <w:jc w:val="both"/>
        <w:rPr>
          <w:rFonts w:ascii="Arial" w:eastAsia="Times New Roman" w:hAnsi="Arial" w:cs="Arial"/>
          <w:b/>
          <w:bCs/>
          <w:color w:val="000000"/>
          <w:u w:val="single"/>
          <w:lang w:eastAsia="en-GB"/>
        </w:rPr>
      </w:pPr>
      <w:r w:rsidRPr="007C7A3E">
        <w:rPr>
          <w:rFonts w:ascii="Arial" w:eastAsia="Times New Roman" w:hAnsi="Arial" w:cs="Arial"/>
          <w:b/>
          <w:bCs/>
          <w:color w:val="000000"/>
          <w:u w:val="single"/>
          <w:lang w:eastAsia="en-GB"/>
        </w:rPr>
        <w:t>Design &amp; Character</w:t>
      </w:r>
    </w:p>
    <w:p w14:paraId="09B36E60" w14:textId="77777777" w:rsidR="007C7A3E" w:rsidRPr="007C7A3E" w:rsidRDefault="007C7A3E" w:rsidP="007C7A3E">
      <w:pPr>
        <w:autoSpaceDE w:val="0"/>
        <w:autoSpaceDN w:val="0"/>
        <w:spacing w:after="0" w:line="240" w:lineRule="auto"/>
        <w:jc w:val="both"/>
        <w:rPr>
          <w:rFonts w:ascii="Arial" w:eastAsia="Times New Roman" w:hAnsi="Arial" w:cs="Arial"/>
          <w:color w:val="000000"/>
          <w:lang w:eastAsia="en-GB"/>
        </w:rPr>
      </w:pPr>
    </w:p>
    <w:p w14:paraId="439E10EC"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lang w:eastAsia="en-GB"/>
        </w:rPr>
        <w:t xml:space="preserve">Policy CC7: Design and the Public Realm is a strategic policy seeking high standards of design quality in new development. It sets out how various components of development including layout, urban structure and urban grain, and scale, make a positive contribution to their surroundings and respond positively to their local context. </w:t>
      </w:r>
    </w:p>
    <w:p w14:paraId="21FC027B"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5146E5BA"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27E7EBAF" w14:textId="43C572A1"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lang w:eastAsia="en-GB"/>
        </w:rPr>
        <w:t>The in-parcel locker is situated</w:t>
      </w:r>
      <w:r w:rsidRPr="00CD6F33">
        <w:rPr>
          <w:rFonts w:ascii="Arial" w:eastAsia="Times New Roman" w:hAnsi="Arial" w:cs="Arial"/>
          <w:lang w:eastAsia="en-GB"/>
        </w:rPr>
        <w:t xml:space="preserve"> to the side of premier stores on Lower Tilehurst Road</w:t>
      </w:r>
      <w:r w:rsidRPr="007C7A3E">
        <w:rPr>
          <w:rFonts w:ascii="Arial" w:eastAsia="Times New Roman" w:hAnsi="Arial" w:cs="Arial"/>
          <w:lang w:eastAsia="en-GB"/>
        </w:rPr>
        <w:t xml:space="preserve">. Therefore, the location of the addition is highly prominent within the street scene. The locker is clearly visible in views </w:t>
      </w:r>
      <w:r w:rsidRPr="00CD6F33">
        <w:rPr>
          <w:rFonts w:ascii="Arial" w:eastAsia="Times New Roman" w:hAnsi="Arial" w:cs="Arial"/>
          <w:lang w:eastAsia="en-GB"/>
        </w:rPr>
        <w:t xml:space="preserve">at the junction and at various vantage </w:t>
      </w:r>
      <w:proofErr w:type="spellStart"/>
      <w:r w:rsidRPr="00CD6F33">
        <w:rPr>
          <w:rFonts w:ascii="Arial" w:eastAsia="Times New Roman" w:hAnsi="Arial" w:cs="Arial"/>
          <w:lang w:eastAsia="en-GB"/>
        </w:rPr>
        <w:t>poins</w:t>
      </w:r>
      <w:proofErr w:type="spellEnd"/>
      <w:r w:rsidRPr="00CD6F33">
        <w:rPr>
          <w:rFonts w:ascii="Arial" w:eastAsia="Times New Roman" w:hAnsi="Arial" w:cs="Arial"/>
          <w:lang w:eastAsia="en-GB"/>
        </w:rPr>
        <w:t xml:space="preserve"> when approaching the roundabout.</w:t>
      </w:r>
      <w:r w:rsidRPr="007C7A3E">
        <w:rPr>
          <w:rFonts w:ascii="Arial" w:eastAsia="Times New Roman" w:hAnsi="Arial" w:cs="Arial"/>
          <w:lang w:eastAsia="en-GB"/>
        </w:rPr>
        <w:t xml:space="preserve"> </w:t>
      </w:r>
    </w:p>
    <w:p w14:paraId="07496D9F"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26FF2675" w14:textId="08CB52B9"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lang w:eastAsia="en-GB"/>
        </w:rPr>
        <w:t xml:space="preserve">Furthermore, it is considered that the installation of the in-parcel locker has resulted in materially harmful impact to the character and appearance of the surrounding </w:t>
      </w:r>
      <w:proofErr w:type="gramStart"/>
      <w:r w:rsidRPr="007C7A3E">
        <w:rPr>
          <w:rFonts w:ascii="Arial" w:eastAsia="Times New Roman" w:hAnsi="Arial" w:cs="Arial"/>
          <w:lang w:eastAsia="en-GB"/>
        </w:rPr>
        <w:t>area,.</w:t>
      </w:r>
      <w:proofErr w:type="gramEnd"/>
      <w:r w:rsidRPr="007C7A3E">
        <w:rPr>
          <w:rFonts w:ascii="Arial" w:eastAsia="Times New Roman" w:hAnsi="Arial" w:cs="Arial"/>
          <w:lang w:eastAsia="en-GB"/>
        </w:rPr>
        <w:t xml:space="preserve"> </w:t>
      </w:r>
      <w:r w:rsidRPr="007C7A3E">
        <w:rPr>
          <w:rFonts w:ascii="Arial" w:eastAsia="Trebuchet MS" w:hAnsi="Arial" w:cs="Arial"/>
          <w:lang w:eastAsia="en-GB"/>
        </w:rPr>
        <w:t xml:space="preserve">As such it is considered that the development represents an incongruous and visually dominating addition which is out of character with, and harmful to the surrounding environment. </w:t>
      </w:r>
    </w:p>
    <w:p w14:paraId="25732B1A" w14:textId="77777777" w:rsidR="007C7A3E" w:rsidRPr="007C7A3E" w:rsidRDefault="007C7A3E" w:rsidP="007C7A3E">
      <w:pPr>
        <w:autoSpaceDE w:val="0"/>
        <w:autoSpaceDN w:val="0"/>
        <w:spacing w:after="0" w:line="240" w:lineRule="auto"/>
        <w:jc w:val="both"/>
        <w:rPr>
          <w:rFonts w:ascii="Arial" w:eastAsia="Trebuchet MS" w:hAnsi="Arial" w:cs="Arial"/>
          <w:lang w:eastAsia="en-GB"/>
        </w:rPr>
      </w:pPr>
    </w:p>
    <w:p w14:paraId="4E493AB1" w14:textId="77777777" w:rsidR="007C7A3E" w:rsidRPr="007C7A3E" w:rsidRDefault="007C7A3E" w:rsidP="007C7A3E">
      <w:pPr>
        <w:autoSpaceDE w:val="0"/>
        <w:autoSpaceDN w:val="0"/>
        <w:spacing w:after="0" w:line="240" w:lineRule="auto"/>
        <w:jc w:val="both"/>
        <w:rPr>
          <w:rFonts w:ascii="Arial" w:eastAsia="Trebuchet MS" w:hAnsi="Arial" w:cs="Arial"/>
          <w:lang w:eastAsia="en-GB"/>
        </w:rPr>
      </w:pPr>
      <w:r w:rsidRPr="007C7A3E">
        <w:rPr>
          <w:rFonts w:ascii="Arial" w:eastAsia="Trebuchet MS" w:hAnsi="Arial" w:cs="Arial"/>
          <w:color w:val="000000" w:themeColor="text1"/>
          <w:lang w:eastAsia="en-GB"/>
        </w:rPr>
        <w:t xml:space="preserve">Accordingly, by virtue of its design, the development conflicts with the advice and guidance contained within </w:t>
      </w:r>
      <w:r w:rsidRPr="007C7A3E">
        <w:rPr>
          <w:rFonts w:ascii="Arial" w:eastAsia="Trebuchet MS" w:hAnsi="Arial" w:cs="Arial"/>
          <w:lang w:eastAsia="en-GB"/>
        </w:rPr>
        <w:t>Chapter 12 and 16 of the NPPF (Dec 2023) and Policy CC7, of the Reading Borough Local Plan (2019).</w:t>
      </w:r>
    </w:p>
    <w:p w14:paraId="6A5D859E"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p>
    <w:p w14:paraId="20DBFF21" w14:textId="77777777" w:rsidR="007C7A3E" w:rsidRPr="007C7A3E" w:rsidRDefault="007C7A3E" w:rsidP="007C7A3E">
      <w:pPr>
        <w:autoSpaceDE w:val="0"/>
        <w:autoSpaceDN w:val="0"/>
        <w:spacing w:after="0" w:line="240" w:lineRule="auto"/>
        <w:jc w:val="both"/>
        <w:rPr>
          <w:rFonts w:ascii="Arial" w:eastAsia="Times New Roman" w:hAnsi="Arial" w:cs="Arial"/>
          <w:color w:val="000000"/>
          <w:lang w:eastAsia="en-GB"/>
        </w:rPr>
      </w:pPr>
    </w:p>
    <w:p w14:paraId="32D74AB7" w14:textId="77777777" w:rsidR="007C7A3E" w:rsidRPr="007C7A3E" w:rsidRDefault="007C7A3E" w:rsidP="007C7A3E">
      <w:pPr>
        <w:autoSpaceDE w:val="0"/>
        <w:autoSpaceDN w:val="0"/>
        <w:spacing w:after="0" w:line="240" w:lineRule="auto"/>
        <w:jc w:val="both"/>
        <w:rPr>
          <w:rFonts w:ascii="Arial" w:eastAsia="Times New Roman" w:hAnsi="Arial" w:cs="Arial"/>
          <w:b/>
          <w:bCs/>
          <w:color w:val="000000"/>
          <w:u w:val="single"/>
          <w:lang w:eastAsia="en-GB"/>
        </w:rPr>
      </w:pPr>
      <w:r w:rsidRPr="007C7A3E">
        <w:rPr>
          <w:rFonts w:ascii="Arial" w:eastAsia="Times New Roman" w:hAnsi="Arial" w:cs="Arial"/>
          <w:b/>
          <w:bCs/>
          <w:color w:val="000000"/>
          <w:u w:val="single"/>
          <w:lang w:eastAsia="en-GB"/>
        </w:rPr>
        <w:t xml:space="preserve">Residential amenity </w:t>
      </w:r>
    </w:p>
    <w:p w14:paraId="085A0B07" w14:textId="77777777" w:rsidR="007C7A3E" w:rsidRPr="007C7A3E" w:rsidRDefault="007C7A3E" w:rsidP="007C7A3E">
      <w:pPr>
        <w:autoSpaceDE w:val="0"/>
        <w:autoSpaceDN w:val="0"/>
        <w:spacing w:after="0" w:line="240" w:lineRule="auto"/>
        <w:jc w:val="both"/>
        <w:rPr>
          <w:rFonts w:ascii="Arial" w:eastAsia="Times New Roman" w:hAnsi="Arial" w:cs="Arial"/>
          <w:color w:val="000000"/>
          <w:lang w:eastAsia="en-GB"/>
        </w:rPr>
      </w:pPr>
    </w:p>
    <w:p w14:paraId="0165B608" w14:textId="77777777" w:rsidR="007C7A3E" w:rsidRPr="007C7A3E" w:rsidRDefault="007C7A3E" w:rsidP="007C7A3E">
      <w:pPr>
        <w:autoSpaceDE w:val="0"/>
        <w:autoSpaceDN w:val="0"/>
        <w:spacing w:after="0" w:line="240" w:lineRule="auto"/>
        <w:jc w:val="both"/>
        <w:rPr>
          <w:rFonts w:ascii="Arial" w:eastAsia="Times New Roman" w:hAnsi="Arial" w:cs="Arial"/>
          <w:color w:val="000000"/>
          <w:lang w:eastAsia="en-GB"/>
        </w:rPr>
      </w:pPr>
      <w:r w:rsidRPr="007C7A3E">
        <w:rPr>
          <w:rFonts w:ascii="Arial" w:eastAsia="Times New Roman" w:hAnsi="Arial" w:cs="Arial"/>
          <w:iCs/>
          <w:lang w:eastAsia="en-GB"/>
        </w:rPr>
        <w:t>Policy CC8: Safeguarding Amenity sets out expectations to ensure that new development does not reduce the quality of the environment for others, particularly where it would affect residential properties.</w:t>
      </w:r>
    </w:p>
    <w:p w14:paraId="36050402" w14:textId="77777777" w:rsidR="007C7A3E" w:rsidRPr="007C7A3E" w:rsidRDefault="007C7A3E" w:rsidP="007C7A3E">
      <w:pPr>
        <w:autoSpaceDE w:val="0"/>
        <w:autoSpaceDN w:val="0"/>
        <w:spacing w:after="0" w:line="240" w:lineRule="auto"/>
        <w:jc w:val="both"/>
        <w:rPr>
          <w:rFonts w:ascii="Arial" w:eastAsia="Times New Roman" w:hAnsi="Arial" w:cs="Arial"/>
          <w:color w:val="000000"/>
          <w:lang w:eastAsia="en-GB"/>
        </w:rPr>
      </w:pPr>
    </w:p>
    <w:p w14:paraId="797795EB" w14:textId="77777777" w:rsidR="007C7A3E" w:rsidRPr="007C7A3E" w:rsidRDefault="007C7A3E" w:rsidP="007C7A3E">
      <w:pPr>
        <w:autoSpaceDE w:val="0"/>
        <w:autoSpaceDN w:val="0"/>
        <w:spacing w:after="0" w:line="240" w:lineRule="auto"/>
        <w:jc w:val="both"/>
        <w:rPr>
          <w:rFonts w:ascii="Arial" w:eastAsia="Times New Roman" w:hAnsi="Arial" w:cs="Arial"/>
          <w:i/>
          <w:iCs/>
          <w:color w:val="000000"/>
          <w:lang w:eastAsia="en-GB"/>
        </w:rPr>
      </w:pPr>
      <w:r w:rsidRPr="007C7A3E">
        <w:rPr>
          <w:rFonts w:ascii="Arial" w:eastAsia="Times New Roman" w:hAnsi="Arial" w:cs="Arial"/>
          <w:color w:val="000000"/>
          <w:lang w:eastAsia="en-GB"/>
        </w:rPr>
        <w:t xml:space="preserve">Due to the nature of the development, the in-parcel locker has not resulted in any materially harmful </w:t>
      </w:r>
      <w:proofErr w:type="gramStart"/>
      <w:r w:rsidRPr="007C7A3E">
        <w:rPr>
          <w:rFonts w:ascii="Arial" w:eastAsia="Times New Roman" w:hAnsi="Arial" w:cs="Arial"/>
          <w:color w:val="000000"/>
          <w:lang w:eastAsia="en-GB"/>
        </w:rPr>
        <w:t>affect</w:t>
      </w:r>
      <w:proofErr w:type="gramEnd"/>
      <w:r w:rsidRPr="007C7A3E">
        <w:rPr>
          <w:rFonts w:ascii="Arial" w:eastAsia="Times New Roman" w:hAnsi="Arial" w:cs="Arial"/>
          <w:color w:val="000000"/>
          <w:lang w:eastAsia="en-GB"/>
        </w:rPr>
        <w:t xml:space="preserve"> to neighbouring properties.</w:t>
      </w:r>
    </w:p>
    <w:p w14:paraId="7BBF51D4" w14:textId="77777777" w:rsidR="007C7A3E" w:rsidRPr="007C7A3E" w:rsidRDefault="007C7A3E" w:rsidP="007C7A3E">
      <w:pPr>
        <w:autoSpaceDE w:val="0"/>
        <w:autoSpaceDN w:val="0"/>
        <w:spacing w:after="0" w:line="240" w:lineRule="auto"/>
        <w:jc w:val="both"/>
        <w:rPr>
          <w:rFonts w:ascii="Arial" w:eastAsia="Times New Roman" w:hAnsi="Arial" w:cs="Arial"/>
          <w:i/>
          <w:iCs/>
          <w:color w:val="000000"/>
          <w:lang w:eastAsia="en-GB"/>
        </w:rPr>
      </w:pPr>
    </w:p>
    <w:p w14:paraId="5D276511" w14:textId="77777777" w:rsidR="007C7A3E" w:rsidRPr="007C7A3E" w:rsidRDefault="007C7A3E" w:rsidP="007C7A3E">
      <w:pPr>
        <w:autoSpaceDE w:val="0"/>
        <w:autoSpaceDN w:val="0"/>
        <w:spacing w:after="0" w:line="240" w:lineRule="auto"/>
        <w:jc w:val="both"/>
        <w:rPr>
          <w:rFonts w:ascii="Arial" w:eastAsia="Times New Roman" w:hAnsi="Arial" w:cs="Arial"/>
          <w:color w:val="000000"/>
          <w:u w:val="single"/>
          <w:lang w:eastAsia="en-GB"/>
        </w:rPr>
      </w:pPr>
      <w:r w:rsidRPr="007C7A3E">
        <w:rPr>
          <w:rFonts w:ascii="Arial" w:eastAsia="Times New Roman" w:hAnsi="Arial" w:cs="Arial"/>
          <w:color w:val="000000"/>
          <w:u w:val="single"/>
          <w:lang w:eastAsia="en-GB"/>
        </w:rPr>
        <w:t>Highways considerations</w:t>
      </w:r>
    </w:p>
    <w:p w14:paraId="4B5D2E18" w14:textId="77777777" w:rsidR="007C7A3E" w:rsidRPr="007C7A3E" w:rsidRDefault="007C7A3E" w:rsidP="007C7A3E">
      <w:pPr>
        <w:autoSpaceDE w:val="0"/>
        <w:autoSpaceDN w:val="0"/>
        <w:spacing w:after="0" w:line="240" w:lineRule="auto"/>
        <w:jc w:val="both"/>
        <w:rPr>
          <w:rFonts w:ascii="Arial" w:eastAsia="Times New Roman" w:hAnsi="Arial" w:cs="Arial"/>
          <w:color w:val="000000"/>
          <w:u w:val="single"/>
          <w:lang w:eastAsia="en-GB"/>
        </w:rPr>
      </w:pPr>
    </w:p>
    <w:p w14:paraId="50BE1E4B" w14:textId="77777777" w:rsidR="007C7A3E" w:rsidRPr="007C7A3E" w:rsidRDefault="007C7A3E" w:rsidP="007C7A3E">
      <w:pPr>
        <w:autoSpaceDE w:val="0"/>
        <w:autoSpaceDN w:val="0"/>
        <w:spacing w:after="0" w:line="240" w:lineRule="auto"/>
        <w:jc w:val="both"/>
        <w:rPr>
          <w:rFonts w:ascii="Arial" w:eastAsia="Times New Roman" w:hAnsi="Arial" w:cs="Arial"/>
          <w:lang w:eastAsia="en-GB"/>
        </w:rPr>
      </w:pPr>
      <w:r w:rsidRPr="007C7A3E">
        <w:rPr>
          <w:rFonts w:ascii="Arial" w:eastAsia="Times New Roman" w:hAnsi="Arial" w:cs="Arial"/>
          <w:color w:val="000000"/>
          <w:lang w:eastAsia="en-GB"/>
        </w:rPr>
        <w:t xml:space="preserve">Whilst the in-parcel locker has been constructed close to the highway, it is set back, and adequate sight lines are retained. No adverse impact has occurred </w:t>
      </w:r>
      <w:proofErr w:type="gramStart"/>
      <w:r w:rsidRPr="007C7A3E">
        <w:rPr>
          <w:rFonts w:ascii="Arial" w:eastAsia="Times New Roman" w:hAnsi="Arial" w:cs="Arial"/>
          <w:color w:val="000000"/>
          <w:lang w:eastAsia="en-GB"/>
        </w:rPr>
        <w:t>as a result of</w:t>
      </w:r>
      <w:proofErr w:type="gramEnd"/>
      <w:r w:rsidRPr="007C7A3E">
        <w:rPr>
          <w:rFonts w:ascii="Arial" w:eastAsia="Times New Roman" w:hAnsi="Arial" w:cs="Arial"/>
          <w:color w:val="000000"/>
          <w:lang w:eastAsia="en-GB"/>
        </w:rPr>
        <w:t xml:space="preserve"> the installation of this in parcel locker.</w:t>
      </w:r>
    </w:p>
    <w:p w14:paraId="289CF957" w14:textId="77777777" w:rsidR="007C7A3E" w:rsidRPr="007C7A3E" w:rsidRDefault="007C7A3E" w:rsidP="007C7A3E">
      <w:pPr>
        <w:autoSpaceDE w:val="0"/>
        <w:autoSpaceDN w:val="0"/>
        <w:spacing w:after="0" w:line="240" w:lineRule="auto"/>
        <w:rPr>
          <w:rFonts w:ascii="Arial" w:eastAsia="Times New Roman" w:hAnsi="Arial" w:cs="Arial"/>
          <w:lang w:eastAsia="en-GB"/>
        </w:rPr>
      </w:pPr>
    </w:p>
    <w:p w14:paraId="29164D22"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5799D29D"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r w:rsidRPr="007C7A3E">
        <w:rPr>
          <w:rFonts w:ascii="Arial" w:eastAsia="Times New Roman" w:hAnsi="Arial" w:cs="Arial"/>
          <w:b/>
          <w:bCs/>
          <w:lang w:eastAsia="en-GB"/>
        </w:rPr>
        <w:t>Conclusion</w:t>
      </w:r>
    </w:p>
    <w:p w14:paraId="4331B2E4"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64A8B735" w14:textId="77777777" w:rsidR="007C7A3E" w:rsidRPr="007C7A3E" w:rsidRDefault="007C7A3E" w:rsidP="007C7A3E">
      <w:pPr>
        <w:autoSpaceDE w:val="0"/>
        <w:autoSpaceDN w:val="0"/>
        <w:spacing w:after="0" w:line="240" w:lineRule="auto"/>
        <w:jc w:val="both"/>
        <w:rPr>
          <w:rFonts w:ascii="Arial" w:eastAsia="Times New Roman" w:hAnsi="Arial" w:cs="Arial"/>
          <w:iCs/>
          <w:lang w:eastAsia="en-GB"/>
        </w:rPr>
      </w:pPr>
      <w:r w:rsidRPr="007C7A3E">
        <w:rPr>
          <w:rFonts w:ascii="Arial" w:eastAsia="Times New Roman" w:hAnsi="Arial" w:cs="Arial"/>
          <w:iCs/>
          <w:lang w:eastAsia="en-GB"/>
        </w:rPr>
        <w:t xml:space="preserve">The retrospective development has been assessed against the adopted policies as outlined above and is considered, to be contrary </w:t>
      </w:r>
      <w:r w:rsidRPr="007C7A3E">
        <w:rPr>
          <w:rFonts w:ascii="Arial" w:eastAsia="Times New Roman" w:hAnsi="Arial" w:cs="Arial"/>
        </w:rPr>
        <w:t xml:space="preserve">to comply with to policies CC7: Design and the Public Realm, EN1: Protection and Enhancement of the Historic Environment, EN3: Enhancement of Conservation Areas and OU5 shopfronts and cash machines of the Reading Borough Local Plan (2019) </w:t>
      </w:r>
      <w:r w:rsidRPr="007C7A3E">
        <w:rPr>
          <w:rFonts w:ascii="Arial" w:eastAsia="Times New Roman" w:hAnsi="Arial" w:cs="Arial"/>
          <w:color w:val="000000"/>
        </w:rPr>
        <w:t xml:space="preserve">and the advice and guidance contained within </w:t>
      </w:r>
      <w:r w:rsidRPr="007C7A3E">
        <w:rPr>
          <w:rFonts w:ascii="Arial" w:eastAsia="Times New Roman" w:hAnsi="Arial" w:cs="Arial"/>
        </w:rPr>
        <w:t>Chapter 12 and Chapter 16 of the NPPF (Dec 2023).</w:t>
      </w:r>
      <w:r w:rsidRPr="007C7A3E">
        <w:rPr>
          <w:rFonts w:ascii="Arial" w:eastAsia="Times New Roman" w:hAnsi="Arial" w:cs="Arial"/>
          <w:iCs/>
          <w:lang w:eastAsia="en-GB"/>
        </w:rPr>
        <w:t>.</w:t>
      </w:r>
    </w:p>
    <w:p w14:paraId="3789590D" w14:textId="77777777" w:rsidR="007C7A3E" w:rsidRPr="007C7A3E" w:rsidRDefault="007C7A3E" w:rsidP="007C7A3E">
      <w:pPr>
        <w:autoSpaceDE w:val="0"/>
        <w:autoSpaceDN w:val="0"/>
        <w:spacing w:after="0" w:line="240" w:lineRule="auto"/>
        <w:jc w:val="both"/>
        <w:rPr>
          <w:rFonts w:ascii="Arial" w:eastAsia="Times New Roman" w:hAnsi="Arial" w:cs="Arial"/>
          <w:b/>
          <w:bCs/>
          <w:lang w:eastAsia="en-GB"/>
        </w:rPr>
      </w:pPr>
    </w:p>
    <w:p w14:paraId="2B2A17AC" w14:textId="77777777" w:rsidR="007C7A3E" w:rsidRPr="007C7A3E" w:rsidRDefault="007C7A3E" w:rsidP="007C7A3E">
      <w:pPr>
        <w:autoSpaceDE w:val="0"/>
        <w:autoSpaceDN w:val="0"/>
        <w:spacing w:after="0" w:line="240" w:lineRule="auto"/>
        <w:rPr>
          <w:rFonts w:ascii="Arial" w:eastAsia="Times New Roman" w:hAnsi="Arial" w:cs="Arial"/>
          <w:lang w:eastAsia="en-GB"/>
        </w:rPr>
      </w:pPr>
    </w:p>
    <w:p w14:paraId="08DAF40F" w14:textId="77777777" w:rsidR="007C7A3E" w:rsidRPr="007C7A3E" w:rsidRDefault="007C7A3E" w:rsidP="007C7A3E">
      <w:pPr>
        <w:autoSpaceDE w:val="0"/>
        <w:autoSpaceDN w:val="0"/>
        <w:spacing w:after="0" w:line="240" w:lineRule="auto"/>
        <w:ind w:firstLine="720"/>
        <w:rPr>
          <w:rFonts w:ascii="Arial" w:eastAsia="Times New Roman" w:hAnsi="Arial" w:cs="Arial"/>
          <w:lang w:eastAsia="en-GB"/>
        </w:rPr>
      </w:pPr>
      <w:r w:rsidRPr="007C7A3E">
        <w:rPr>
          <w:rFonts w:ascii="Arial" w:eastAsia="Times New Roman" w:hAnsi="Arial" w:cs="Arial"/>
          <w:lang w:eastAsia="en-GB"/>
        </w:rPr>
        <w:t>RECOMMENDATION</w:t>
      </w:r>
    </w:p>
    <w:p w14:paraId="52D19D5E" w14:textId="77777777" w:rsidR="007C7A3E" w:rsidRPr="007C7A3E" w:rsidRDefault="007C7A3E" w:rsidP="007C7A3E">
      <w:pPr>
        <w:autoSpaceDE w:val="0"/>
        <w:autoSpaceDN w:val="0"/>
        <w:spacing w:after="0" w:line="240" w:lineRule="auto"/>
        <w:ind w:firstLine="720"/>
        <w:rPr>
          <w:rFonts w:ascii="Arial" w:eastAsia="Times New Roman" w:hAnsi="Arial" w:cs="Arial"/>
          <w:lang w:eastAsia="en-GB"/>
        </w:rPr>
      </w:pPr>
      <w:r w:rsidRPr="007C7A3E">
        <w:rPr>
          <w:rFonts w:ascii="Arial" w:eastAsia="Times New Roman" w:hAnsi="Arial" w:cs="Arial"/>
          <w:lang w:eastAsia="en-GB"/>
        </w:rPr>
        <w:t xml:space="preserve">REFUSE PLANNING PERMISSION </w:t>
      </w:r>
    </w:p>
    <w:p w14:paraId="4E8F08A6" w14:textId="77777777" w:rsidR="007C7A3E" w:rsidRPr="007C7A3E" w:rsidRDefault="007C7A3E" w:rsidP="007C7A3E">
      <w:pPr>
        <w:autoSpaceDE w:val="0"/>
        <w:autoSpaceDN w:val="0"/>
        <w:spacing w:after="0" w:line="240" w:lineRule="auto"/>
        <w:rPr>
          <w:rFonts w:ascii="Arial" w:eastAsia="Times New Roman" w:hAnsi="Arial" w:cs="Arial"/>
          <w:lang w:eastAsia="en-GB"/>
        </w:rPr>
      </w:pPr>
    </w:p>
    <w:p w14:paraId="2DB5AFD1" w14:textId="77777777" w:rsidR="007E0849" w:rsidRDefault="007E0849"/>
    <w:sectPr w:rsidR="007E08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3E"/>
    <w:rsid w:val="00012E76"/>
    <w:rsid w:val="00045F16"/>
    <w:rsid w:val="00236BEA"/>
    <w:rsid w:val="00443F74"/>
    <w:rsid w:val="004E10BA"/>
    <w:rsid w:val="007C7A3E"/>
    <w:rsid w:val="007E0849"/>
    <w:rsid w:val="008A2BB8"/>
    <w:rsid w:val="00A570DC"/>
    <w:rsid w:val="00CD6F33"/>
    <w:rsid w:val="00E84104"/>
    <w:rsid w:val="00ED6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0EC15"/>
  <w15:chartTrackingRefBased/>
  <w15:docId w15:val="{C3F58214-FE9D-457E-A29F-F0222670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A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A3E"/>
    <w:rPr>
      <w:rFonts w:eastAsiaTheme="majorEastAsia" w:cstheme="majorBidi"/>
      <w:color w:val="272727" w:themeColor="text1" w:themeTint="D8"/>
    </w:rPr>
  </w:style>
  <w:style w:type="paragraph" w:styleId="Title">
    <w:name w:val="Title"/>
    <w:basedOn w:val="Normal"/>
    <w:next w:val="Normal"/>
    <w:link w:val="TitleChar"/>
    <w:uiPriority w:val="10"/>
    <w:qFormat/>
    <w:rsid w:val="007C7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A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A3E"/>
    <w:pPr>
      <w:spacing w:before="160"/>
      <w:jc w:val="center"/>
    </w:pPr>
    <w:rPr>
      <w:i/>
      <w:iCs/>
      <w:color w:val="404040" w:themeColor="text1" w:themeTint="BF"/>
    </w:rPr>
  </w:style>
  <w:style w:type="character" w:customStyle="1" w:styleId="QuoteChar">
    <w:name w:val="Quote Char"/>
    <w:basedOn w:val="DefaultParagraphFont"/>
    <w:link w:val="Quote"/>
    <w:uiPriority w:val="29"/>
    <w:rsid w:val="007C7A3E"/>
    <w:rPr>
      <w:i/>
      <w:iCs/>
      <w:color w:val="404040" w:themeColor="text1" w:themeTint="BF"/>
    </w:rPr>
  </w:style>
  <w:style w:type="paragraph" w:styleId="ListParagraph">
    <w:name w:val="List Paragraph"/>
    <w:basedOn w:val="Normal"/>
    <w:uiPriority w:val="34"/>
    <w:qFormat/>
    <w:rsid w:val="007C7A3E"/>
    <w:pPr>
      <w:ind w:left="720"/>
      <w:contextualSpacing/>
    </w:pPr>
  </w:style>
  <w:style w:type="character" w:styleId="IntenseEmphasis">
    <w:name w:val="Intense Emphasis"/>
    <w:basedOn w:val="DefaultParagraphFont"/>
    <w:uiPriority w:val="21"/>
    <w:qFormat/>
    <w:rsid w:val="007C7A3E"/>
    <w:rPr>
      <w:i/>
      <w:iCs/>
      <w:color w:val="0F4761" w:themeColor="accent1" w:themeShade="BF"/>
    </w:rPr>
  </w:style>
  <w:style w:type="paragraph" w:styleId="IntenseQuote">
    <w:name w:val="Intense Quote"/>
    <w:basedOn w:val="Normal"/>
    <w:next w:val="Normal"/>
    <w:link w:val="IntenseQuoteChar"/>
    <w:uiPriority w:val="30"/>
    <w:qFormat/>
    <w:rsid w:val="007C7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A3E"/>
    <w:rPr>
      <w:i/>
      <w:iCs/>
      <w:color w:val="0F4761" w:themeColor="accent1" w:themeShade="BF"/>
    </w:rPr>
  </w:style>
  <w:style w:type="character" w:styleId="IntenseReference">
    <w:name w:val="Intense Reference"/>
    <w:basedOn w:val="DefaultParagraphFont"/>
    <w:uiPriority w:val="32"/>
    <w:qFormat/>
    <w:rsid w:val="007C7A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720</Words>
  <Characters>4108</Characters>
  <Application>Microsoft Office Word</Application>
  <DocSecurity>0</DocSecurity>
  <Lines>34</Lines>
  <Paragraphs>9</Paragraphs>
  <ScaleCrop>false</ScaleCrop>
  <Company>Reading Borough Council</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Fuller, Louise</dc:creator>
  <cp:keywords/>
  <dc:description/>
  <cp:lastModifiedBy>Fuller, Louise</cp:lastModifiedBy>
  <cp:revision>3</cp:revision>
  <dcterms:created xsi:type="dcterms:W3CDTF">2025-08-13T09:59:00Z</dcterms:created>
  <dcterms:modified xsi:type="dcterms:W3CDTF">2025-08-13T10:00:00Z</dcterms:modified>
</cp:coreProperties>
</file>