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263" w:type="dxa"/>
        <w:shd w:val="clear" w:color="auto" w:fill="D9E2F3" w:themeFill="accent1" w:themeFillTint="33"/>
        <w:tblLook w:val="04A0" w:firstRow="1" w:lastRow="0" w:firstColumn="1" w:lastColumn="0" w:noHBand="0" w:noVBand="1"/>
      </w:tblPr>
      <w:tblGrid>
        <w:gridCol w:w="5103"/>
      </w:tblGrid>
      <w:tr w:rsidR="00EF7E5B" w:rsidRPr="00EF7E5B" w14:paraId="129F0A9B" w14:textId="77777777" w:rsidTr="00EF7E5B">
        <w:tc>
          <w:tcPr>
            <w:tcW w:w="5103" w:type="dxa"/>
            <w:shd w:val="clear" w:color="auto" w:fill="D9E2F3" w:themeFill="accent1" w:themeFillTint="33"/>
          </w:tcPr>
          <w:p w14:paraId="57632C15" w14:textId="6A6C7B9A" w:rsidR="00EF7E5B" w:rsidRPr="00BE67CF" w:rsidRDefault="00EF7E5B" w:rsidP="00645E0D">
            <w:pPr>
              <w:jc w:val="center"/>
              <w:rPr>
                <w:sz w:val="36"/>
                <w:szCs w:val="36"/>
              </w:rPr>
            </w:pPr>
            <w:r w:rsidRPr="00BE67CF">
              <w:rPr>
                <w:sz w:val="36"/>
                <w:szCs w:val="36"/>
              </w:rPr>
              <w:t>PLANNING STATEMENT</w:t>
            </w:r>
          </w:p>
        </w:tc>
      </w:tr>
    </w:tbl>
    <w:p w14:paraId="2CE62ADA" w14:textId="77777777" w:rsidR="00EF7E5B" w:rsidRDefault="00EF7E5B" w:rsidP="009D62FA">
      <w:pPr>
        <w:jc w:val="center"/>
        <w:rPr>
          <w:b/>
          <w:bCs/>
          <w:sz w:val="24"/>
          <w:szCs w:val="24"/>
        </w:rPr>
      </w:pPr>
    </w:p>
    <w:p w14:paraId="235B86B1" w14:textId="763085F8" w:rsidR="009D62FA" w:rsidRDefault="009D62FA" w:rsidP="009D62FA">
      <w:pPr>
        <w:jc w:val="center"/>
        <w:rPr>
          <w:b/>
          <w:bCs/>
          <w:sz w:val="24"/>
          <w:szCs w:val="24"/>
        </w:rPr>
      </w:pPr>
      <w:r w:rsidRPr="009D62FA">
        <w:rPr>
          <w:b/>
          <w:bCs/>
          <w:sz w:val="24"/>
          <w:szCs w:val="24"/>
        </w:rPr>
        <w:t xml:space="preserve">in respect of a revised application for a proposed change of use from restaurant/café (formerly Class A3, now Class E(b)) to </w:t>
      </w:r>
      <w:r w:rsidR="00E80E34">
        <w:rPr>
          <w:b/>
          <w:bCs/>
          <w:sz w:val="24"/>
          <w:szCs w:val="24"/>
        </w:rPr>
        <w:t xml:space="preserve">hot food </w:t>
      </w:r>
      <w:r w:rsidRPr="009D62FA">
        <w:rPr>
          <w:b/>
          <w:bCs/>
          <w:sz w:val="24"/>
          <w:szCs w:val="24"/>
        </w:rPr>
        <w:t xml:space="preserve">take-away (Sui </w:t>
      </w:r>
      <w:r>
        <w:rPr>
          <w:b/>
          <w:bCs/>
          <w:sz w:val="24"/>
          <w:szCs w:val="24"/>
        </w:rPr>
        <w:t>G</w:t>
      </w:r>
      <w:r w:rsidRPr="009D62FA">
        <w:rPr>
          <w:b/>
          <w:bCs/>
          <w:sz w:val="24"/>
          <w:szCs w:val="24"/>
        </w:rPr>
        <w:t>eneris)</w:t>
      </w:r>
      <w:r w:rsidR="00EF7E5B">
        <w:rPr>
          <w:b/>
          <w:bCs/>
          <w:sz w:val="24"/>
          <w:szCs w:val="24"/>
        </w:rPr>
        <w:t xml:space="preserve">, to the </w:t>
      </w:r>
      <w:r w:rsidR="00F87D51">
        <w:rPr>
          <w:b/>
          <w:bCs/>
          <w:sz w:val="24"/>
          <w:szCs w:val="24"/>
        </w:rPr>
        <w:t>Use Classe</w:t>
      </w:r>
      <w:r w:rsidR="00E80E34">
        <w:rPr>
          <w:b/>
          <w:bCs/>
          <w:sz w:val="24"/>
          <w:szCs w:val="24"/>
        </w:rPr>
        <w:t>s</w:t>
      </w:r>
      <w:r w:rsidR="00F87D51">
        <w:rPr>
          <w:b/>
          <w:bCs/>
          <w:sz w:val="24"/>
          <w:szCs w:val="24"/>
        </w:rPr>
        <w:t xml:space="preserve"> </w:t>
      </w:r>
      <w:r w:rsidR="007D7891">
        <w:rPr>
          <w:b/>
          <w:bCs/>
          <w:sz w:val="24"/>
          <w:szCs w:val="24"/>
        </w:rPr>
        <w:t>Order (as amended)</w:t>
      </w:r>
      <w:r w:rsidR="00F87D51">
        <w:rPr>
          <w:b/>
          <w:bCs/>
          <w:sz w:val="24"/>
          <w:szCs w:val="24"/>
        </w:rPr>
        <w:t>.</w:t>
      </w:r>
      <w:r w:rsidR="00EF7E5B">
        <w:rPr>
          <w:b/>
          <w:bCs/>
          <w:sz w:val="24"/>
          <w:szCs w:val="24"/>
        </w:rPr>
        <w:t xml:space="preserve"> </w:t>
      </w:r>
    </w:p>
    <w:p w14:paraId="575FBAFE" w14:textId="7C56F657" w:rsidR="00BE67CF" w:rsidRPr="00BE67CF" w:rsidRDefault="00BE67CF" w:rsidP="00BE67CF">
      <w:pPr>
        <w:jc w:val="center"/>
        <w:rPr>
          <w:b/>
          <w:bCs/>
          <w:sz w:val="28"/>
          <w:szCs w:val="28"/>
        </w:rPr>
      </w:pPr>
      <w:r w:rsidRPr="00BE67CF">
        <w:rPr>
          <w:b/>
          <w:bCs/>
          <w:sz w:val="28"/>
          <w:szCs w:val="28"/>
        </w:rPr>
        <w:t xml:space="preserve">168 Whitley Wood Road, Reading, RG2 8LQ </w:t>
      </w:r>
    </w:p>
    <w:tbl>
      <w:tblPr>
        <w:tblStyle w:val="TableGrid"/>
        <w:tblW w:w="0" w:type="auto"/>
        <w:tblInd w:w="1555" w:type="dxa"/>
        <w:tblLook w:val="04A0" w:firstRow="1" w:lastRow="0" w:firstColumn="1" w:lastColumn="0" w:noHBand="0" w:noVBand="1"/>
      </w:tblPr>
      <w:tblGrid>
        <w:gridCol w:w="5670"/>
      </w:tblGrid>
      <w:tr w:rsidR="00E47478" w14:paraId="3F3C250D" w14:textId="77777777" w:rsidTr="00E47478">
        <w:tc>
          <w:tcPr>
            <w:tcW w:w="5670" w:type="dxa"/>
          </w:tcPr>
          <w:p w14:paraId="7B0D106D" w14:textId="77777777" w:rsidR="00E47478" w:rsidRDefault="00E47478" w:rsidP="00E47478">
            <w:pPr>
              <w:ind w:left="-389" w:right="-334"/>
              <w:jc w:val="center"/>
              <w:rPr>
                <w:rFonts w:ascii="Abadi" w:hAnsi="Abadi"/>
                <w:b/>
                <w:bCs/>
              </w:rPr>
            </w:pPr>
            <w:r w:rsidRPr="00E47478">
              <w:rPr>
                <w:rFonts w:ascii="Abadi" w:hAnsi="Abadi"/>
                <w:b/>
                <w:bCs/>
              </w:rPr>
              <w:drawing>
                <wp:inline distT="0" distB="0" distL="0" distR="0" wp14:anchorId="01663C84" wp14:editId="4A2C50CB">
                  <wp:extent cx="3589994" cy="2190750"/>
                  <wp:effectExtent l="0" t="0" r="0" b="0"/>
                  <wp:docPr id="797469504" name="Picture 1" descr="A building with a garage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69504" name="Picture 1" descr="A building with a garage door&#10;&#10;AI-generated content may be incorrect."/>
                          <pic:cNvPicPr/>
                        </pic:nvPicPr>
                        <pic:blipFill>
                          <a:blip r:embed="rId8"/>
                          <a:stretch>
                            <a:fillRect/>
                          </a:stretch>
                        </pic:blipFill>
                        <pic:spPr>
                          <a:xfrm>
                            <a:off x="0" y="0"/>
                            <a:ext cx="3606250" cy="2200670"/>
                          </a:xfrm>
                          <a:prstGeom prst="rect">
                            <a:avLst/>
                          </a:prstGeom>
                        </pic:spPr>
                      </pic:pic>
                    </a:graphicData>
                  </a:graphic>
                </wp:inline>
              </w:drawing>
            </w:r>
          </w:p>
        </w:tc>
      </w:tr>
    </w:tbl>
    <w:p w14:paraId="1B1A7E6A" w14:textId="7519D4FE" w:rsidR="009D62FA" w:rsidRDefault="009D62FA" w:rsidP="00E47478">
      <w:pPr>
        <w:jc w:val="center"/>
        <w:rPr>
          <w:rFonts w:ascii="Abadi" w:hAnsi="Abadi"/>
          <w:b/>
          <w:bCs/>
        </w:rPr>
      </w:pPr>
    </w:p>
    <w:p w14:paraId="16223959" w14:textId="77777777" w:rsidR="00DC6DAB" w:rsidRDefault="00DC6DAB" w:rsidP="00E47478">
      <w:pPr>
        <w:jc w:val="center"/>
        <w:rPr>
          <w:rFonts w:ascii="Abadi" w:hAnsi="Abadi"/>
          <w:b/>
          <w:bCs/>
        </w:rPr>
      </w:pPr>
    </w:p>
    <w:tbl>
      <w:tblPr>
        <w:tblStyle w:val="TableGrid"/>
        <w:tblW w:w="0" w:type="auto"/>
        <w:tblLook w:val="04A0" w:firstRow="1" w:lastRow="0" w:firstColumn="1" w:lastColumn="0" w:noHBand="0" w:noVBand="1"/>
      </w:tblPr>
      <w:tblGrid>
        <w:gridCol w:w="2405"/>
      </w:tblGrid>
      <w:tr w:rsidR="00DC6DAB" w:rsidRPr="00DC6DAB" w14:paraId="3FE7E281" w14:textId="77777777" w:rsidTr="00DC6DAB">
        <w:tc>
          <w:tcPr>
            <w:tcW w:w="2405" w:type="dxa"/>
            <w:shd w:val="clear" w:color="auto" w:fill="D9E2F3" w:themeFill="accent1" w:themeFillTint="33"/>
          </w:tcPr>
          <w:p w14:paraId="366E48B4" w14:textId="77777777" w:rsidR="00DC6DAB" w:rsidRPr="00DC6DAB" w:rsidRDefault="00DC6DAB" w:rsidP="00856D4E">
            <w:pPr>
              <w:rPr>
                <w:sz w:val="28"/>
                <w:szCs w:val="28"/>
              </w:rPr>
            </w:pPr>
            <w:r w:rsidRPr="00DC6DAB">
              <w:rPr>
                <w:sz w:val="28"/>
                <w:szCs w:val="28"/>
              </w:rPr>
              <w:t>BACKGROUND</w:t>
            </w:r>
          </w:p>
        </w:tc>
      </w:tr>
    </w:tbl>
    <w:p w14:paraId="09F2F3EC" w14:textId="77777777" w:rsidR="00DC6DAB" w:rsidRDefault="00DC6DAB" w:rsidP="00DC6DAB">
      <w:pPr>
        <w:jc w:val="both"/>
        <w:rPr>
          <w:sz w:val="24"/>
          <w:szCs w:val="24"/>
        </w:rPr>
      </w:pPr>
    </w:p>
    <w:p w14:paraId="374B5581" w14:textId="7786D053" w:rsidR="009D62FA" w:rsidRPr="00606378" w:rsidRDefault="009D62FA" w:rsidP="00DC6DAB">
      <w:pPr>
        <w:jc w:val="both"/>
        <w:rPr>
          <w:sz w:val="24"/>
          <w:szCs w:val="24"/>
        </w:rPr>
      </w:pPr>
      <w:r w:rsidRPr="00606378">
        <w:rPr>
          <w:sz w:val="24"/>
          <w:szCs w:val="24"/>
        </w:rPr>
        <w:t xml:space="preserve">This application follows an earlier application in 2024 (Reading Borough Council – RBC) </w:t>
      </w:r>
      <w:r w:rsidR="00EF7E5B" w:rsidRPr="00606378">
        <w:rPr>
          <w:sz w:val="24"/>
          <w:szCs w:val="24"/>
        </w:rPr>
        <w:t>(REF:</w:t>
      </w:r>
      <w:r w:rsidRPr="00606378">
        <w:rPr>
          <w:sz w:val="24"/>
          <w:szCs w:val="24"/>
        </w:rPr>
        <w:t>24/0462</w:t>
      </w:r>
      <w:r w:rsidR="00EF7E5B" w:rsidRPr="00606378">
        <w:rPr>
          <w:sz w:val="24"/>
          <w:szCs w:val="24"/>
        </w:rPr>
        <w:t>)</w:t>
      </w:r>
      <w:r w:rsidRPr="00606378">
        <w:rPr>
          <w:sz w:val="24"/>
          <w:szCs w:val="24"/>
        </w:rPr>
        <w:t xml:space="preserve">, which was withdrawn at the advice of the Case Officer and the local Ward Councillor. </w:t>
      </w:r>
      <w:r w:rsidR="00EF7E5B" w:rsidRPr="00606378">
        <w:rPr>
          <w:sz w:val="24"/>
          <w:szCs w:val="24"/>
        </w:rPr>
        <w:t>That application sought a variation of hours of an earlier Planning Permission (REF: Pl/18/1107)</w:t>
      </w:r>
      <w:r w:rsidRPr="00606378">
        <w:rPr>
          <w:sz w:val="24"/>
          <w:szCs w:val="24"/>
        </w:rPr>
        <w:t xml:space="preserve"> </w:t>
      </w:r>
      <w:r w:rsidR="00EF7E5B" w:rsidRPr="00606378">
        <w:rPr>
          <w:sz w:val="24"/>
          <w:szCs w:val="24"/>
        </w:rPr>
        <w:t xml:space="preserve">which itself was an application to change the previous Post Office here into the café, with ancillary take-away use.  </w:t>
      </w:r>
      <w:r w:rsidRPr="00606378">
        <w:rPr>
          <w:sz w:val="24"/>
          <w:szCs w:val="24"/>
        </w:rPr>
        <w:t xml:space="preserve">  </w:t>
      </w:r>
    </w:p>
    <w:p w14:paraId="249F74C1" w14:textId="31AEFE36" w:rsidR="00217383" w:rsidRPr="00606378" w:rsidRDefault="00217383" w:rsidP="00DC6DAB">
      <w:pPr>
        <w:jc w:val="both"/>
        <w:rPr>
          <w:sz w:val="24"/>
          <w:szCs w:val="24"/>
        </w:rPr>
      </w:pPr>
      <w:r w:rsidRPr="00606378">
        <w:rPr>
          <w:sz w:val="24"/>
          <w:szCs w:val="24"/>
        </w:rPr>
        <w:t xml:space="preserve">So, the following documents have been provided to support this application, essentially for a </w:t>
      </w:r>
      <w:r w:rsidR="00E80E34" w:rsidRPr="00606378">
        <w:rPr>
          <w:sz w:val="24"/>
          <w:szCs w:val="24"/>
        </w:rPr>
        <w:t xml:space="preserve">hot food </w:t>
      </w:r>
      <w:r w:rsidRPr="00606378">
        <w:rPr>
          <w:sz w:val="24"/>
          <w:szCs w:val="24"/>
        </w:rPr>
        <w:t>take-away</w:t>
      </w:r>
      <w:r w:rsidR="00E80E34" w:rsidRPr="00606378">
        <w:rPr>
          <w:sz w:val="24"/>
          <w:szCs w:val="24"/>
        </w:rPr>
        <w:t xml:space="preserve">, where consumption of that food is mostly off the premises </w:t>
      </w:r>
      <w:r w:rsidRPr="00606378">
        <w:rPr>
          <w:sz w:val="24"/>
          <w:szCs w:val="24"/>
        </w:rPr>
        <w:t xml:space="preserve">(Use Class: Sui generis – </w:t>
      </w:r>
      <w:r w:rsidRPr="00606378">
        <w:rPr>
          <w:i/>
          <w:iCs/>
          <w:sz w:val="24"/>
          <w:szCs w:val="24"/>
        </w:rPr>
        <w:t>“a class of its own”)</w:t>
      </w:r>
      <w:r w:rsidRPr="00606378">
        <w:rPr>
          <w:sz w:val="24"/>
          <w:szCs w:val="24"/>
        </w:rPr>
        <w:t xml:space="preserve"> by the Applicant, </w:t>
      </w:r>
      <w:r w:rsidR="009D62FA" w:rsidRPr="00606378">
        <w:rPr>
          <w:sz w:val="24"/>
          <w:szCs w:val="24"/>
        </w:rPr>
        <w:t>Zubair Qureshi</w:t>
      </w:r>
      <w:r w:rsidRPr="00606378">
        <w:rPr>
          <w:sz w:val="24"/>
          <w:szCs w:val="24"/>
        </w:rPr>
        <w:t xml:space="preserve">: </w:t>
      </w:r>
    </w:p>
    <w:p w14:paraId="32104BB6" w14:textId="0AC29672" w:rsidR="00217383" w:rsidRPr="00B85796" w:rsidRDefault="00217383" w:rsidP="00DC6DAB">
      <w:pPr>
        <w:pStyle w:val="ListParagraph"/>
        <w:numPr>
          <w:ilvl w:val="0"/>
          <w:numId w:val="1"/>
        </w:numPr>
        <w:jc w:val="both"/>
        <w:rPr>
          <w:i/>
          <w:iCs/>
          <w:sz w:val="24"/>
          <w:szCs w:val="24"/>
        </w:rPr>
      </w:pPr>
      <w:r w:rsidRPr="00B85796">
        <w:rPr>
          <w:i/>
          <w:iCs/>
          <w:sz w:val="24"/>
          <w:szCs w:val="24"/>
        </w:rPr>
        <w:t xml:space="preserve">Ordnance Survey – Location </w:t>
      </w:r>
      <w:proofErr w:type="gramStart"/>
      <w:r w:rsidRPr="00B85796">
        <w:rPr>
          <w:i/>
          <w:iCs/>
          <w:sz w:val="24"/>
          <w:szCs w:val="24"/>
        </w:rPr>
        <w:t>Plan;</w:t>
      </w:r>
      <w:proofErr w:type="gramEnd"/>
    </w:p>
    <w:p w14:paraId="02FE8108" w14:textId="7E51C5D5" w:rsidR="00217383" w:rsidRPr="00B85796" w:rsidRDefault="00217383" w:rsidP="00DC6DAB">
      <w:pPr>
        <w:pStyle w:val="ListParagraph"/>
        <w:numPr>
          <w:ilvl w:val="0"/>
          <w:numId w:val="1"/>
        </w:numPr>
        <w:jc w:val="both"/>
        <w:rPr>
          <w:i/>
          <w:iCs/>
          <w:sz w:val="24"/>
          <w:szCs w:val="24"/>
        </w:rPr>
      </w:pPr>
      <w:r w:rsidRPr="00B85796">
        <w:rPr>
          <w:i/>
          <w:iCs/>
          <w:sz w:val="24"/>
          <w:szCs w:val="24"/>
        </w:rPr>
        <w:t xml:space="preserve">Block </w:t>
      </w:r>
      <w:proofErr w:type="gramStart"/>
      <w:r w:rsidRPr="00B85796">
        <w:rPr>
          <w:i/>
          <w:iCs/>
          <w:sz w:val="24"/>
          <w:szCs w:val="24"/>
        </w:rPr>
        <w:t>Plan;</w:t>
      </w:r>
      <w:proofErr w:type="gramEnd"/>
    </w:p>
    <w:p w14:paraId="7714A968" w14:textId="2B395627" w:rsidR="00217383" w:rsidRPr="00B85796" w:rsidRDefault="00217383" w:rsidP="00DC6DAB">
      <w:pPr>
        <w:pStyle w:val="ListParagraph"/>
        <w:numPr>
          <w:ilvl w:val="0"/>
          <w:numId w:val="1"/>
        </w:numPr>
        <w:jc w:val="both"/>
        <w:rPr>
          <w:i/>
          <w:iCs/>
          <w:sz w:val="24"/>
          <w:szCs w:val="24"/>
        </w:rPr>
      </w:pPr>
      <w:r w:rsidRPr="00B85796">
        <w:rPr>
          <w:i/>
          <w:iCs/>
          <w:sz w:val="24"/>
          <w:szCs w:val="24"/>
        </w:rPr>
        <w:t xml:space="preserve">Red Line existing and proposed </w:t>
      </w:r>
      <w:proofErr w:type="gramStart"/>
      <w:r w:rsidRPr="00B85796">
        <w:rPr>
          <w:i/>
          <w:iCs/>
          <w:sz w:val="24"/>
          <w:szCs w:val="24"/>
        </w:rPr>
        <w:t>floorplan;</w:t>
      </w:r>
      <w:proofErr w:type="gramEnd"/>
    </w:p>
    <w:p w14:paraId="64116333" w14:textId="45CA768A" w:rsidR="00217383" w:rsidRPr="00B85796" w:rsidRDefault="007D7891" w:rsidP="00DC6DAB">
      <w:pPr>
        <w:pStyle w:val="ListParagraph"/>
        <w:numPr>
          <w:ilvl w:val="0"/>
          <w:numId w:val="1"/>
        </w:numPr>
        <w:jc w:val="both"/>
        <w:rPr>
          <w:i/>
          <w:iCs/>
          <w:sz w:val="24"/>
          <w:szCs w:val="24"/>
        </w:rPr>
      </w:pPr>
      <w:r w:rsidRPr="00B85796">
        <w:rPr>
          <w:i/>
          <w:iCs/>
          <w:sz w:val="24"/>
          <w:szCs w:val="24"/>
        </w:rPr>
        <w:t xml:space="preserve">Updated </w:t>
      </w:r>
      <w:r w:rsidR="00217383" w:rsidRPr="00B85796">
        <w:rPr>
          <w:i/>
          <w:iCs/>
          <w:sz w:val="24"/>
          <w:szCs w:val="24"/>
        </w:rPr>
        <w:t xml:space="preserve">Noise Impact Assessment </w:t>
      </w:r>
      <w:r w:rsidRPr="00B85796">
        <w:rPr>
          <w:i/>
          <w:iCs/>
          <w:sz w:val="24"/>
          <w:szCs w:val="24"/>
        </w:rPr>
        <w:t xml:space="preserve">(NIA) </w:t>
      </w:r>
      <w:r w:rsidR="00217383" w:rsidRPr="00B85796">
        <w:rPr>
          <w:i/>
          <w:iCs/>
          <w:sz w:val="24"/>
          <w:szCs w:val="24"/>
        </w:rPr>
        <w:t xml:space="preserve">by Syntegra, May 2024.  </w:t>
      </w:r>
    </w:p>
    <w:p w14:paraId="2DF27794" w14:textId="5DFFDBBC" w:rsidR="007D7891" w:rsidRPr="00B85796" w:rsidRDefault="007D7891" w:rsidP="00DC6DAB">
      <w:pPr>
        <w:pStyle w:val="ListParagraph"/>
        <w:numPr>
          <w:ilvl w:val="0"/>
          <w:numId w:val="1"/>
        </w:numPr>
        <w:jc w:val="both"/>
        <w:rPr>
          <w:i/>
          <w:iCs/>
          <w:sz w:val="24"/>
          <w:szCs w:val="24"/>
        </w:rPr>
      </w:pPr>
      <w:r w:rsidRPr="00B85796">
        <w:rPr>
          <w:i/>
          <w:iCs/>
          <w:sz w:val="24"/>
          <w:szCs w:val="24"/>
        </w:rPr>
        <w:t xml:space="preserve">Planning Officers report into the original change of use from Post Office to Café. </w:t>
      </w:r>
    </w:p>
    <w:p w14:paraId="7709F30B" w14:textId="176F971C" w:rsidR="007D7891" w:rsidRPr="00606378" w:rsidRDefault="007D7891" w:rsidP="00DC6DAB">
      <w:pPr>
        <w:jc w:val="both"/>
        <w:rPr>
          <w:sz w:val="24"/>
          <w:szCs w:val="24"/>
        </w:rPr>
      </w:pPr>
      <w:r w:rsidRPr="00606378">
        <w:rPr>
          <w:sz w:val="24"/>
          <w:szCs w:val="24"/>
        </w:rPr>
        <w:t xml:space="preserve">So, we are </w:t>
      </w:r>
      <w:r w:rsidR="009D62FA" w:rsidRPr="00606378">
        <w:rPr>
          <w:sz w:val="24"/>
          <w:szCs w:val="24"/>
        </w:rPr>
        <w:t>submit</w:t>
      </w:r>
      <w:r w:rsidRPr="00606378">
        <w:rPr>
          <w:sz w:val="24"/>
          <w:szCs w:val="24"/>
        </w:rPr>
        <w:t xml:space="preserve">ting this </w:t>
      </w:r>
      <w:r w:rsidR="009D62FA" w:rsidRPr="00606378">
        <w:rPr>
          <w:sz w:val="24"/>
          <w:szCs w:val="24"/>
        </w:rPr>
        <w:t xml:space="preserve">planning application to Reading Borough Council to allow the </w:t>
      </w:r>
      <w:r w:rsidRPr="00606378">
        <w:rPr>
          <w:sz w:val="24"/>
          <w:szCs w:val="24"/>
        </w:rPr>
        <w:t xml:space="preserve">introduction of a new </w:t>
      </w:r>
      <w:r w:rsidR="00E80E34" w:rsidRPr="00606378">
        <w:rPr>
          <w:sz w:val="24"/>
          <w:szCs w:val="24"/>
        </w:rPr>
        <w:t xml:space="preserve">hot food </w:t>
      </w:r>
      <w:r w:rsidRPr="00606378">
        <w:rPr>
          <w:sz w:val="24"/>
          <w:szCs w:val="24"/>
        </w:rPr>
        <w:t xml:space="preserve">take-away here, to </w:t>
      </w:r>
      <w:r w:rsidRPr="00606378">
        <w:rPr>
          <w:i/>
          <w:iCs/>
          <w:sz w:val="24"/>
          <w:szCs w:val="24"/>
        </w:rPr>
        <w:t>“allow flexibility”</w:t>
      </w:r>
      <w:r w:rsidRPr="00606378">
        <w:rPr>
          <w:sz w:val="24"/>
          <w:szCs w:val="24"/>
        </w:rPr>
        <w:t xml:space="preserve"> (as stated by Case Officer Anthony Scholes) and open between the hours of 7AM and 21.00PM. The updated NIA reflect this increase in hours. </w:t>
      </w:r>
    </w:p>
    <w:tbl>
      <w:tblPr>
        <w:tblStyle w:val="TableGrid"/>
        <w:tblW w:w="0" w:type="auto"/>
        <w:shd w:val="clear" w:color="auto" w:fill="D9E2F3" w:themeFill="accent1" w:themeFillTint="33"/>
        <w:tblLook w:val="04A0" w:firstRow="1" w:lastRow="0" w:firstColumn="1" w:lastColumn="0" w:noHBand="0" w:noVBand="1"/>
      </w:tblPr>
      <w:tblGrid>
        <w:gridCol w:w="2405"/>
      </w:tblGrid>
      <w:tr w:rsidR="00DC6DAB" w:rsidRPr="00DC6DAB" w14:paraId="086F2A1F" w14:textId="77777777" w:rsidTr="00DC6DAB">
        <w:tc>
          <w:tcPr>
            <w:tcW w:w="2405" w:type="dxa"/>
            <w:shd w:val="clear" w:color="auto" w:fill="D9E2F3" w:themeFill="accent1" w:themeFillTint="33"/>
          </w:tcPr>
          <w:p w14:paraId="202A0E31" w14:textId="77777777" w:rsidR="00DC6DAB" w:rsidRPr="00DC6DAB" w:rsidRDefault="00DC6DAB" w:rsidP="00103768">
            <w:pPr>
              <w:jc w:val="both"/>
              <w:rPr>
                <w:sz w:val="24"/>
                <w:szCs w:val="24"/>
              </w:rPr>
            </w:pPr>
            <w:r w:rsidRPr="00DC6DAB">
              <w:rPr>
                <w:sz w:val="24"/>
                <w:szCs w:val="24"/>
              </w:rPr>
              <w:t>SITE DETAILS</w:t>
            </w:r>
          </w:p>
        </w:tc>
      </w:tr>
    </w:tbl>
    <w:p w14:paraId="7F4D86F6" w14:textId="77777777" w:rsidR="00DC6DAB" w:rsidRDefault="00DC6DAB" w:rsidP="00DC6DAB">
      <w:pPr>
        <w:jc w:val="both"/>
        <w:rPr>
          <w:sz w:val="24"/>
          <w:szCs w:val="24"/>
        </w:rPr>
      </w:pPr>
    </w:p>
    <w:p w14:paraId="2519954B" w14:textId="72609BFF" w:rsidR="009D62FA" w:rsidRPr="00606378" w:rsidRDefault="009D62FA" w:rsidP="00DC6DAB">
      <w:pPr>
        <w:jc w:val="both"/>
        <w:rPr>
          <w:sz w:val="24"/>
          <w:szCs w:val="24"/>
        </w:rPr>
      </w:pPr>
      <w:r w:rsidRPr="00606378">
        <w:rPr>
          <w:sz w:val="24"/>
          <w:szCs w:val="24"/>
        </w:rPr>
        <w:t>The application site is an L-shaped two storey building to the north of Whitley Wood Road,</w:t>
      </w:r>
      <w:r w:rsidR="00EF7E5B" w:rsidRPr="00606378">
        <w:rPr>
          <w:sz w:val="24"/>
          <w:szCs w:val="24"/>
        </w:rPr>
        <w:t xml:space="preserve"> </w:t>
      </w:r>
      <w:r w:rsidRPr="00606378">
        <w:rPr>
          <w:sz w:val="24"/>
          <w:szCs w:val="24"/>
        </w:rPr>
        <w:t>60m west of the junction with Northumberland Avenue. The site is located within Whitley</w:t>
      </w:r>
      <w:r w:rsidR="00EF7E5B" w:rsidRPr="00606378">
        <w:rPr>
          <w:sz w:val="24"/>
          <w:szCs w:val="24"/>
        </w:rPr>
        <w:t xml:space="preserve"> </w:t>
      </w:r>
      <w:r w:rsidRPr="00606378">
        <w:rPr>
          <w:sz w:val="24"/>
          <w:szCs w:val="24"/>
        </w:rPr>
        <w:t>Wood Local Centre and forms part of an identified Key Frontage. The parade includes the Coop</w:t>
      </w:r>
      <w:r w:rsidR="00EF7E5B" w:rsidRPr="00606378">
        <w:rPr>
          <w:sz w:val="24"/>
          <w:szCs w:val="24"/>
        </w:rPr>
        <w:t xml:space="preserve"> </w:t>
      </w:r>
      <w:r w:rsidRPr="00606378">
        <w:rPr>
          <w:sz w:val="24"/>
          <w:szCs w:val="24"/>
        </w:rPr>
        <w:t>supermarket directly to the east of the site.</w:t>
      </w:r>
    </w:p>
    <w:p w14:paraId="06D02D58" w14:textId="77A4C9B1" w:rsidR="009D62FA" w:rsidRPr="00606378" w:rsidRDefault="009D62FA" w:rsidP="00DC6DAB">
      <w:pPr>
        <w:jc w:val="both"/>
        <w:rPr>
          <w:sz w:val="24"/>
          <w:szCs w:val="24"/>
        </w:rPr>
      </w:pPr>
      <w:r w:rsidRPr="00606378">
        <w:rPr>
          <w:sz w:val="24"/>
          <w:szCs w:val="24"/>
        </w:rPr>
        <w:t xml:space="preserve">The building is </w:t>
      </w:r>
      <w:r w:rsidR="007D7891" w:rsidRPr="00606378">
        <w:rPr>
          <w:sz w:val="24"/>
          <w:szCs w:val="24"/>
        </w:rPr>
        <w:t xml:space="preserve">mainly single storey, but also part </w:t>
      </w:r>
      <w:r w:rsidRPr="00606378">
        <w:rPr>
          <w:sz w:val="24"/>
          <w:szCs w:val="24"/>
        </w:rPr>
        <w:t>two store</w:t>
      </w:r>
      <w:r w:rsidR="007D7891" w:rsidRPr="00606378">
        <w:rPr>
          <w:sz w:val="24"/>
          <w:szCs w:val="24"/>
        </w:rPr>
        <w:t>y</w:t>
      </w:r>
      <w:r w:rsidRPr="00606378">
        <w:rPr>
          <w:sz w:val="24"/>
          <w:szCs w:val="24"/>
        </w:rPr>
        <w:t xml:space="preserve"> with residential uses on the first floor, however, the application in</w:t>
      </w:r>
      <w:r w:rsidR="00EF7E5B" w:rsidRPr="00606378">
        <w:rPr>
          <w:sz w:val="24"/>
          <w:szCs w:val="24"/>
        </w:rPr>
        <w:t xml:space="preserve"> </w:t>
      </w:r>
      <w:r w:rsidRPr="00606378">
        <w:rPr>
          <w:sz w:val="24"/>
          <w:szCs w:val="24"/>
        </w:rPr>
        <w:t xml:space="preserve">question relates to the ground floor of the building only, </w:t>
      </w:r>
      <w:r w:rsidR="007D7891" w:rsidRPr="00606378">
        <w:rPr>
          <w:sz w:val="24"/>
          <w:szCs w:val="24"/>
        </w:rPr>
        <w:t xml:space="preserve">the exisitng </w:t>
      </w:r>
      <w:r w:rsidRPr="00606378">
        <w:rPr>
          <w:sz w:val="24"/>
          <w:szCs w:val="24"/>
        </w:rPr>
        <w:t>commercial premises. The site was</w:t>
      </w:r>
      <w:r w:rsidR="00EF7E5B" w:rsidRPr="00606378">
        <w:rPr>
          <w:sz w:val="24"/>
          <w:szCs w:val="24"/>
        </w:rPr>
        <w:t xml:space="preserve"> </w:t>
      </w:r>
      <w:r w:rsidRPr="00606378">
        <w:rPr>
          <w:sz w:val="24"/>
          <w:szCs w:val="24"/>
        </w:rPr>
        <w:t>vacant from approximately 2017-2019 and received planning approval for café with ancillary</w:t>
      </w:r>
      <w:r w:rsidR="00EF7E5B" w:rsidRPr="00606378">
        <w:rPr>
          <w:sz w:val="24"/>
          <w:szCs w:val="24"/>
        </w:rPr>
        <w:t xml:space="preserve"> </w:t>
      </w:r>
      <w:r w:rsidRPr="00606378">
        <w:rPr>
          <w:sz w:val="24"/>
          <w:szCs w:val="24"/>
        </w:rPr>
        <w:t>takeaway in April 2019 (see Planning History below).</w:t>
      </w:r>
    </w:p>
    <w:p w14:paraId="3B9464D3" w14:textId="00ED61A3" w:rsidR="009D62FA" w:rsidRPr="00606378" w:rsidRDefault="009D62FA" w:rsidP="00DC6DAB">
      <w:pPr>
        <w:jc w:val="both"/>
        <w:rPr>
          <w:sz w:val="24"/>
          <w:szCs w:val="24"/>
        </w:rPr>
      </w:pPr>
      <w:r w:rsidRPr="00606378">
        <w:rPr>
          <w:sz w:val="24"/>
          <w:szCs w:val="24"/>
        </w:rPr>
        <w:t>The current use is as a café (Class A3) with an ancillary takeaway (Class A5) function. The</w:t>
      </w:r>
      <w:r w:rsidR="00EF7E5B" w:rsidRPr="00606378">
        <w:rPr>
          <w:sz w:val="24"/>
          <w:szCs w:val="24"/>
        </w:rPr>
        <w:t xml:space="preserve"> </w:t>
      </w:r>
      <w:r w:rsidRPr="00606378">
        <w:rPr>
          <w:sz w:val="24"/>
          <w:szCs w:val="24"/>
        </w:rPr>
        <w:t>forward part of the premises comprises a seating area with the servery, kitchen, storage areas</w:t>
      </w:r>
      <w:r w:rsidR="00EF7E5B" w:rsidRPr="00606378">
        <w:rPr>
          <w:sz w:val="24"/>
          <w:szCs w:val="24"/>
        </w:rPr>
        <w:t xml:space="preserve"> </w:t>
      </w:r>
      <w:r w:rsidRPr="00606378">
        <w:rPr>
          <w:sz w:val="24"/>
          <w:szCs w:val="24"/>
        </w:rPr>
        <w:t>and bins to the front and rear. Forward of the building is located an area of hardstanding, used</w:t>
      </w:r>
      <w:r w:rsidR="00EF7E5B" w:rsidRPr="00606378">
        <w:rPr>
          <w:sz w:val="24"/>
          <w:szCs w:val="24"/>
        </w:rPr>
        <w:t xml:space="preserve"> </w:t>
      </w:r>
      <w:r w:rsidRPr="00606378">
        <w:rPr>
          <w:sz w:val="24"/>
          <w:szCs w:val="24"/>
        </w:rPr>
        <w:t>informally for vehicle parking. The surrounding area is comprised of a mix of commercial and</w:t>
      </w:r>
      <w:r w:rsidR="00EF7E5B" w:rsidRPr="00606378">
        <w:rPr>
          <w:sz w:val="24"/>
          <w:szCs w:val="24"/>
        </w:rPr>
        <w:t xml:space="preserve"> </w:t>
      </w:r>
      <w:r w:rsidRPr="00606378">
        <w:rPr>
          <w:sz w:val="24"/>
          <w:szCs w:val="24"/>
        </w:rPr>
        <w:t>residential uses.</w:t>
      </w:r>
    </w:p>
    <w:tbl>
      <w:tblPr>
        <w:tblStyle w:val="TableGrid"/>
        <w:tblW w:w="0" w:type="auto"/>
        <w:tblLook w:val="04A0" w:firstRow="1" w:lastRow="0" w:firstColumn="1" w:lastColumn="0" w:noHBand="0" w:noVBand="1"/>
      </w:tblPr>
      <w:tblGrid>
        <w:gridCol w:w="2689"/>
      </w:tblGrid>
      <w:tr w:rsidR="00DC6DAB" w:rsidRPr="00DC6DAB" w14:paraId="7497CA4E" w14:textId="77777777" w:rsidTr="00DC6DAB">
        <w:tc>
          <w:tcPr>
            <w:tcW w:w="2689" w:type="dxa"/>
            <w:shd w:val="clear" w:color="auto" w:fill="D9E2F3" w:themeFill="accent1" w:themeFillTint="33"/>
          </w:tcPr>
          <w:p w14:paraId="761DE99B" w14:textId="77777777" w:rsidR="00DC6DAB" w:rsidRPr="00DC6DAB" w:rsidRDefault="00DC6DAB" w:rsidP="00220418">
            <w:pPr>
              <w:jc w:val="both"/>
              <w:rPr>
                <w:sz w:val="24"/>
                <w:szCs w:val="24"/>
              </w:rPr>
            </w:pPr>
            <w:r w:rsidRPr="00DC6DAB">
              <w:rPr>
                <w:sz w:val="24"/>
                <w:szCs w:val="24"/>
              </w:rPr>
              <w:t>PLANNING HISTORY</w:t>
            </w:r>
          </w:p>
        </w:tc>
      </w:tr>
    </w:tbl>
    <w:p w14:paraId="03196872" w14:textId="77777777" w:rsidR="00DC6DAB" w:rsidRDefault="00DC6DAB" w:rsidP="00DC6DAB">
      <w:pPr>
        <w:spacing w:line="240" w:lineRule="auto"/>
        <w:jc w:val="both"/>
        <w:rPr>
          <w:sz w:val="24"/>
          <w:szCs w:val="24"/>
        </w:rPr>
      </w:pPr>
    </w:p>
    <w:p w14:paraId="2DF2B7F8" w14:textId="71E897EE" w:rsidR="009D62FA" w:rsidRPr="00606378" w:rsidRDefault="009D62FA" w:rsidP="00DC6DAB">
      <w:pPr>
        <w:spacing w:line="240" w:lineRule="auto"/>
        <w:jc w:val="both"/>
        <w:rPr>
          <w:sz w:val="24"/>
          <w:szCs w:val="24"/>
        </w:rPr>
      </w:pPr>
      <w:r w:rsidRPr="00606378">
        <w:rPr>
          <w:sz w:val="24"/>
          <w:szCs w:val="24"/>
        </w:rPr>
        <w:t>930144/OUT – Redevelopment to provide three storey building including a shop and four flats</w:t>
      </w:r>
      <w:r w:rsidR="00EF7E5B" w:rsidRPr="00606378">
        <w:rPr>
          <w:sz w:val="24"/>
          <w:szCs w:val="24"/>
        </w:rPr>
        <w:t xml:space="preserve"> </w:t>
      </w:r>
      <w:r w:rsidRPr="00606378">
        <w:rPr>
          <w:sz w:val="24"/>
          <w:szCs w:val="24"/>
        </w:rPr>
        <w:t>above – Refused 08/04/1993</w:t>
      </w:r>
    </w:p>
    <w:p w14:paraId="33D41E05" w14:textId="3786B96A" w:rsidR="009D62FA" w:rsidRPr="00606378" w:rsidRDefault="009D62FA" w:rsidP="00DC6DAB">
      <w:pPr>
        <w:jc w:val="both"/>
        <w:rPr>
          <w:sz w:val="24"/>
          <w:szCs w:val="24"/>
        </w:rPr>
      </w:pPr>
      <w:r w:rsidRPr="00606378">
        <w:rPr>
          <w:sz w:val="24"/>
          <w:szCs w:val="24"/>
        </w:rPr>
        <w:lastRenderedPageBreak/>
        <w:t>960478/FUL – Change of use from Class A1 to restaurant with ancillary takeaway function</w:t>
      </w:r>
      <w:r w:rsidR="00EF7E5B" w:rsidRPr="00606378">
        <w:rPr>
          <w:sz w:val="24"/>
          <w:szCs w:val="24"/>
        </w:rPr>
        <w:t xml:space="preserve"> </w:t>
      </w:r>
      <w:r w:rsidRPr="00606378">
        <w:rPr>
          <w:sz w:val="24"/>
          <w:szCs w:val="24"/>
        </w:rPr>
        <w:t>(Class A3) – Refused 30/05/96 – Appeal ref: APP/QO315/A/96/270762 – Allowed 02/01/1997</w:t>
      </w:r>
    </w:p>
    <w:p w14:paraId="22167ADA" w14:textId="4D75C486" w:rsidR="009D62FA" w:rsidRPr="00606378" w:rsidRDefault="009D62FA" w:rsidP="00DC6DAB">
      <w:pPr>
        <w:jc w:val="both"/>
        <w:rPr>
          <w:sz w:val="24"/>
          <w:szCs w:val="24"/>
        </w:rPr>
      </w:pPr>
      <w:r w:rsidRPr="00606378">
        <w:rPr>
          <w:sz w:val="24"/>
          <w:szCs w:val="24"/>
        </w:rPr>
        <w:t>020261/FUL – Alteration to shopfront to provide new external door entrance to 168b Whitley</w:t>
      </w:r>
      <w:r w:rsidR="00EF7E5B" w:rsidRPr="00606378">
        <w:rPr>
          <w:sz w:val="24"/>
          <w:szCs w:val="24"/>
        </w:rPr>
        <w:t xml:space="preserve"> </w:t>
      </w:r>
      <w:r w:rsidRPr="00606378">
        <w:rPr>
          <w:sz w:val="24"/>
          <w:szCs w:val="24"/>
        </w:rPr>
        <w:t>Wood Road – Permitted 04/03/2003</w:t>
      </w:r>
    </w:p>
    <w:p w14:paraId="6DD4A91E" w14:textId="10A89CAC" w:rsidR="009D62FA" w:rsidRPr="00606378" w:rsidRDefault="009D62FA" w:rsidP="00DC6DAB">
      <w:pPr>
        <w:jc w:val="both"/>
        <w:rPr>
          <w:sz w:val="24"/>
          <w:szCs w:val="24"/>
        </w:rPr>
      </w:pPr>
      <w:r w:rsidRPr="00606378">
        <w:rPr>
          <w:sz w:val="24"/>
          <w:szCs w:val="24"/>
        </w:rPr>
        <w:t>040828/FUL – Automatic entrance doors and fire escape – Permitted 29/06/2004</w:t>
      </w:r>
      <w:r w:rsidR="00EF7E5B" w:rsidRPr="00606378">
        <w:rPr>
          <w:sz w:val="24"/>
          <w:szCs w:val="24"/>
        </w:rPr>
        <w:t xml:space="preserve"> </w:t>
      </w:r>
      <w:r w:rsidRPr="00606378">
        <w:rPr>
          <w:sz w:val="24"/>
          <w:szCs w:val="24"/>
        </w:rPr>
        <w:t>171045/FUL - Shop front alterations and various external alterations – Permitted</w:t>
      </w:r>
      <w:r w:rsidR="00F87D51" w:rsidRPr="00606378">
        <w:rPr>
          <w:sz w:val="24"/>
          <w:szCs w:val="24"/>
        </w:rPr>
        <w:t xml:space="preserve"> </w:t>
      </w:r>
      <w:r w:rsidRPr="00606378">
        <w:rPr>
          <w:sz w:val="24"/>
          <w:szCs w:val="24"/>
        </w:rPr>
        <w:t>23/08/2017</w:t>
      </w:r>
    </w:p>
    <w:p w14:paraId="25195EB9" w14:textId="3BF647EE" w:rsidR="009D62FA" w:rsidRPr="00606378" w:rsidRDefault="009D62FA" w:rsidP="00DC6DAB">
      <w:pPr>
        <w:jc w:val="both"/>
        <w:rPr>
          <w:sz w:val="24"/>
          <w:szCs w:val="24"/>
        </w:rPr>
      </w:pPr>
      <w:r w:rsidRPr="00606378">
        <w:rPr>
          <w:sz w:val="24"/>
          <w:szCs w:val="24"/>
        </w:rPr>
        <w:t>171225/ ADV - Display of one internally illuminated fascia sign and one internally illuminated</w:t>
      </w:r>
      <w:r w:rsidR="00F87D51" w:rsidRPr="00606378">
        <w:rPr>
          <w:sz w:val="24"/>
          <w:szCs w:val="24"/>
        </w:rPr>
        <w:t xml:space="preserve"> </w:t>
      </w:r>
      <w:r w:rsidRPr="00606378">
        <w:rPr>
          <w:sz w:val="24"/>
          <w:szCs w:val="24"/>
        </w:rPr>
        <w:t>hanging sign to shop front and one non-illuminated panel sign at rear – Permitted</w:t>
      </w:r>
      <w:r w:rsidR="00F87D51" w:rsidRPr="00606378">
        <w:rPr>
          <w:sz w:val="24"/>
          <w:szCs w:val="24"/>
        </w:rPr>
        <w:t xml:space="preserve"> </w:t>
      </w:r>
      <w:r w:rsidRPr="00606378">
        <w:rPr>
          <w:sz w:val="24"/>
          <w:szCs w:val="24"/>
        </w:rPr>
        <w:t>14/09/2017</w:t>
      </w:r>
    </w:p>
    <w:p w14:paraId="79CCAB9A" w14:textId="22065C29" w:rsidR="009D62FA" w:rsidRPr="00606378" w:rsidRDefault="009D62FA" w:rsidP="00DC6DAB">
      <w:pPr>
        <w:jc w:val="both"/>
        <w:rPr>
          <w:sz w:val="24"/>
          <w:szCs w:val="24"/>
        </w:rPr>
      </w:pPr>
      <w:r w:rsidRPr="00606378">
        <w:rPr>
          <w:sz w:val="24"/>
          <w:szCs w:val="24"/>
        </w:rPr>
        <w:t>181107/FUL - Change of use of ground floor from post office (Class A1) to cafe (Class A3)</w:t>
      </w:r>
      <w:r w:rsidR="00F87D51" w:rsidRPr="00606378">
        <w:rPr>
          <w:sz w:val="24"/>
          <w:szCs w:val="24"/>
        </w:rPr>
        <w:t xml:space="preserve"> </w:t>
      </w:r>
      <w:r w:rsidRPr="00606378">
        <w:rPr>
          <w:sz w:val="24"/>
          <w:szCs w:val="24"/>
        </w:rPr>
        <w:t>with ancillary take-away (Class A5) function – Permitted 01/04/2019</w:t>
      </w:r>
    </w:p>
    <w:p w14:paraId="487B8D46" w14:textId="7961E40D" w:rsidR="009D62FA" w:rsidRPr="00606378" w:rsidRDefault="009D62FA" w:rsidP="00DC6DAB">
      <w:pPr>
        <w:jc w:val="both"/>
        <w:rPr>
          <w:sz w:val="24"/>
          <w:szCs w:val="24"/>
        </w:rPr>
      </w:pPr>
      <w:r w:rsidRPr="00606378">
        <w:rPr>
          <w:sz w:val="24"/>
          <w:szCs w:val="24"/>
        </w:rPr>
        <w:t>201257 - Notification of Prior Approval for a Change of Use from Retail, betting office or pay</w:t>
      </w:r>
      <w:r w:rsidR="00F87D51" w:rsidRPr="00606378">
        <w:rPr>
          <w:sz w:val="24"/>
          <w:szCs w:val="24"/>
        </w:rPr>
        <w:t xml:space="preserve"> </w:t>
      </w:r>
      <w:r w:rsidRPr="00606378">
        <w:rPr>
          <w:sz w:val="24"/>
          <w:szCs w:val="24"/>
        </w:rPr>
        <w:t>day loan shop or casino (Class A1 (shops) or Class A2 (financial and professional services)) to</w:t>
      </w:r>
      <w:r w:rsidR="00F87D51" w:rsidRPr="00606378">
        <w:rPr>
          <w:sz w:val="24"/>
          <w:szCs w:val="24"/>
        </w:rPr>
        <w:t xml:space="preserve"> </w:t>
      </w:r>
      <w:r w:rsidRPr="00606378">
        <w:rPr>
          <w:sz w:val="24"/>
          <w:szCs w:val="24"/>
        </w:rPr>
        <w:t>restaurant or cafe (Class A3). Prior Notification under Class C, Part 3 of Schedule 2 of the</w:t>
      </w:r>
      <w:r w:rsidR="00F87D51" w:rsidRPr="00606378">
        <w:rPr>
          <w:sz w:val="24"/>
          <w:szCs w:val="24"/>
        </w:rPr>
        <w:t xml:space="preserve"> </w:t>
      </w:r>
      <w:r w:rsidRPr="00606378">
        <w:rPr>
          <w:sz w:val="24"/>
          <w:szCs w:val="24"/>
        </w:rPr>
        <w:t>Town and Country Planning (General Permitted Development) Order 2015. – Application</w:t>
      </w:r>
      <w:r w:rsidR="00F87D51" w:rsidRPr="00606378">
        <w:rPr>
          <w:sz w:val="24"/>
          <w:szCs w:val="24"/>
        </w:rPr>
        <w:t xml:space="preserve"> </w:t>
      </w:r>
      <w:r w:rsidRPr="00606378">
        <w:rPr>
          <w:sz w:val="24"/>
          <w:szCs w:val="24"/>
        </w:rPr>
        <w:t>Withdrawn 15/09/2020</w:t>
      </w:r>
    </w:p>
    <w:p w14:paraId="3C73FA4A" w14:textId="3B76CCEB" w:rsidR="009D62FA" w:rsidRPr="00606378" w:rsidRDefault="009D62FA" w:rsidP="00DC6DAB">
      <w:pPr>
        <w:jc w:val="both"/>
        <w:rPr>
          <w:sz w:val="24"/>
          <w:szCs w:val="24"/>
        </w:rPr>
      </w:pPr>
      <w:r w:rsidRPr="00606378">
        <w:rPr>
          <w:sz w:val="24"/>
          <w:szCs w:val="24"/>
        </w:rPr>
        <w:t>201288 - Certificate of Lawfulness for proposed conversion from post office retail to café –Application Returned 30/04/2022</w:t>
      </w:r>
    </w:p>
    <w:p w14:paraId="0202C19B" w14:textId="1805AEE9" w:rsidR="009D62FA" w:rsidRPr="00606378" w:rsidRDefault="009D62FA" w:rsidP="00DC6DAB">
      <w:pPr>
        <w:jc w:val="both"/>
        <w:rPr>
          <w:sz w:val="24"/>
          <w:szCs w:val="24"/>
        </w:rPr>
      </w:pPr>
      <w:r w:rsidRPr="00606378">
        <w:rPr>
          <w:sz w:val="24"/>
          <w:szCs w:val="24"/>
        </w:rPr>
        <w:t>201401 - Discharge of conditions 3 (odour assessment), 4 (noise assessment), 5 (deliveries</w:t>
      </w:r>
      <w:r w:rsidR="00F87D51" w:rsidRPr="00606378">
        <w:rPr>
          <w:sz w:val="24"/>
          <w:szCs w:val="24"/>
        </w:rPr>
        <w:t xml:space="preserve"> </w:t>
      </w:r>
      <w:r w:rsidRPr="00606378">
        <w:rPr>
          <w:sz w:val="24"/>
          <w:szCs w:val="24"/>
        </w:rPr>
        <w:t>and servicing) and 8 (litter management) of planning permission 181107/FUL – Split Decision</w:t>
      </w:r>
      <w:r w:rsidR="00F87D51" w:rsidRPr="00606378">
        <w:rPr>
          <w:sz w:val="24"/>
          <w:szCs w:val="24"/>
        </w:rPr>
        <w:t xml:space="preserve"> </w:t>
      </w:r>
      <w:r w:rsidRPr="00606378">
        <w:rPr>
          <w:sz w:val="24"/>
          <w:szCs w:val="24"/>
        </w:rPr>
        <w:t>04/05/2022</w:t>
      </w:r>
    </w:p>
    <w:tbl>
      <w:tblPr>
        <w:tblStyle w:val="TableGrid"/>
        <w:tblW w:w="0" w:type="auto"/>
        <w:shd w:val="clear" w:color="auto" w:fill="D9E2F3" w:themeFill="accent1" w:themeFillTint="33"/>
        <w:tblLook w:val="04A0" w:firstRow="1" w:lastRow="0" w:firstColumn="1" w:lastColumn="0" w:noHBand="0" w:noVBand="1"/>
      </w:tblPr>
      <w:tblGrid>
        <w:gridCol w:w="2547"/>
      </w:tblGrid>
      <w:tr w:rsidR="00DC6DAB" w:rsidRPr="00DC6DAB" w14:paraId="1E85C401" w14:textId="77777777" w:rsidTr="00DC6DAB">
        <w:tc>
          <w:tcPr>
            <w:tcW w:w="2547" w:type="dxa"/>
            <w:shd w:val="clear" w:color="auto" w:fill="D9E2F3" w:themeFill="accent1" w:themeFillTint="33"/>
          </w:tcPr>
          <w:p w14:paraId="574C2073" w14:textId="3D8D2F23" w:rsidR="00DC6DAB" w:rsidRPr="00DC6DAB" w:rsidRDefault="00DC6DAB" w:rsidP="00E76E5A">
            <w:pPr>
              <w:jc w:val="both"/>
              <w:rPr>
                <w:sz w:val="24"/>
                <w:szCs w:val="24"/>
              </w:rPr>
            </w:pPr>
            <w:r w:rsidRPr="00DC6DAB">
              <w:rPr>
                <w:sz w:val="24"/>
                <w:szCs w:val="24"/>
              </w:rPr>
              <w:t>P</w:t>
            </w:r>
            <w:r>
              <w:rPr>
                <w:sz w:val="24"/>
                <w:szCs w:val="24"/>
              </w:rPr>
              <w:t>LANNING POLICY</w:t>
            </w:r>
          </w:p>
        </w:tc>
      </w:tr>
    </w:tbl>
    <w:p w14:paraId="797AF9D4" w14:textId="77777777" w:rsidR="00DC6DAB" w:rsidRDefault="00DC6DAB" w:rsidP="00DC6DAB">
      <w:pPr>
        <w:jc w:val="both"/>
        <w:rPr>
          <w:sz w:val="24"/>
          <w:szCs w:val="24"/>
        </w:rPr>
      </w:pPr>
    </w:p>
    <w:p w14:paraId="5E39D863" w14:textId="2E0B103F" w:rsidR="009D62FA" w:rsidRPr="00606378" w:rsidRDefault="009D62FA" w:rsidP="00DC6DAB">
      <w:pPr>
        <w:jc w:val="both"/>
        <w:rPr>
          <w:sz w:val="24"/>
          <w:szCs w:val="24"/>
        </w:rPr>
      </w:pPr>
      <w:r w:rsidRPr="00606378">
        <w:rPr>
          <w:sz w:val="24"/>
          <w:szCs w:val="24"/>
        </w:rPr>
        <w:t>The following local and national planning policy and guidance is relevant to this application:</w:t>
      </w:r>
    </w:p>
    <w:p w14:paraId="6C2F47A5" w14:textId="1EB25F7A" w:rsidR="009D62FA" w:rsidRPr="00606378" w:rsidRDefault="009D62FA" w:rsidP="00DC6DAB">
      <w:pPr>
        <w:jc w:val="both"/>
        <w:rPr>
          <w:sz w:val="24"/>
          <w:szCs w:val="24"/>
        </w:rPr>
      </w:pPr>
      <w:r w:rsidRPr="00606378">
        <w:rPr>
          <w:sz w:val="24"/>
          <w:szCs w:val="24"/>
        </w:rPr>
        <w:t>National Planning Policy Framework (</w:t>
      </w:r>
      <w:r w:rsidR="00F87D51" w:rsidRPr="00606378">
        <w:rPr>
          <w:sz w:val="24"/>
          <w:szCs w:val="24"/>
        </w:rPr>
        <w:t xml:space="preserve">Amended </w:t>
      </w:r>
      <w:r w:rsidRPr="00606378">
        <w:rPr>
          <w:sz w:val="24"/>
          <w:szCs w:val="24"/>
        </w:rPr>
        <w:t>December 202</w:t>
      </w:r>
      <w:r w:rsidR="00F87D51" w:rsidRPr="00606378">
        <w:rPr>
          <w:sz w:val="24"/>
          <w:szCs w:val="24"/>
        </w:rPr>
        <w:t>4</w:t>
      </w:r>
      <w:r w:rsidRPr="00606378">
        <w:rPr>
          <w:sz w:val="24"/>
          <w:szCs w:val="24"/>
        </w:rPr>
        <w:t>)</w:t>
      </w:r>
    </w:p>
    <w:p w14:paraId="0270FF4D" w14:textId="478A3304" w:rsidR="00E80E34" w:rsidRPr="00DC6DAB" w:rsidRDefault="00E80E34" w:rsidP="00DC6DAB">
      <w:pPr>
        <w:jc w:val="both"/>
        <w:rPr>
          <w:b/>
          <w:bCs/>
          <w:sz w:val="24"/>
          <w:szCs w:val="24"/>
        </w:rPr>
      </w:pPr>
      <w:r w:rsidRPr="00E80E34">
        <w:rPr>
          <w:b/>
          <w:bCs/>
          <w:sz w:val="24"/>
          <w:szCs w:val="24"/>
        </w:rPr>
        <w:t>Adopted Local Plan November 2019</w:t>
      </w:r>
      <w:r w:rsidRPr="00E80E34">
        <w:rPr>
          <w:sz w:val="24"/>
          <w:szCs w:val="24"/>
        </w:rPr>
        <w:t xml:space="preserve">. </w:t>
      </w:r>
      <w:r w:rsidRPr="00E80E34">
        <w:rPr>
          <w:b/>
          <w:bCs/>
          <w:sz w:val="24"/>
          <w:szCs w:val="24"/>
        </w:rPr>
        <w:t>Local Defined Shopping Centre</w:t>
      </w:r>
      <w:r w:rsidRPr="00E80E34">
        <w:rPr>
          <w:sz w:val="24"/>
          <w:szCs w:val="24"/>
        </w:rPr>
        <w:t xml:space="preserve">; </w:t>
      </w:r>
      <w:r w:rsidRPr="00DC6DAB">
        <w:rPr>
          <w:b/>
          <w:bCs/>
          <w:i/>
          <w:iCs/>
          <w:sz w:val="24"/>
          <w:szCs w:val="24"/>
        </w:rPr>
        <w:t>VITALITY AND VIABILITY OF SMALLER CENTRES</w:t>
      </w:r>
    </w:p>
    <w:p w14:paraId="6CDC848B" w14:textId="48F88E1E" w:rsidR="009D62FA" w:rsidRPr="00606378" w:rsidRDefault="009D62FA" w:rsidP="00DC6DAB">
      <w:pPr>
        <w:jc w:val="both"/>
        <w:rPr>
          <w:sz w:val="24"/>
          <w:szCs w:val="24"/>
        </w:rPr>
      </w:pPr>
      <w:r w:rsidRPr="00606378">
        <w:rPr>
          <w:sz w:val="24"/>
          <w:szCs w:val="24"/>
        </w:rPr>
        <w:t>Sites and Detailed Policies Document (2012) Policy DM4 – Safeguarding Amenity</w:t>
      </w:r>
    </w:p>
    <w:p w14:paraId="70FC61A0" w14:textId="77777777" w:rsidR="00BE67CF" w:rsidRPr="00606378" w:rsidRDefault="00BE67CF" w:rsidP="00DC6DAB">
      <w:pPr>
        <w:jc w:val="both"/>
        <w:rPr>
          <w:b/>
          <w:bCs/>
          <w:sz w:val="24"/>
          <w:szCs w:val="24"/>
        </w:rPr>
      </w:pPr>
    </w:p>
    <w:tbl>
      <w:tblPr>
        <w:tblStyle w:val="TableGrid"/>
        <w:tblW w:w="0" w:type="auto"/>
        <w:tblLook w:val="04A0" w:firstRow="1" w:lastRow="0" w:firstColumn="1" w:lastColumn="0" w:noHBand="0" w:noVBand="1"/>
      </w:tblPr>
      <w:tblGrid>
        <w:gridCol w:w="3964"/>
      </w:tblGrid>
      <w:tr w:rsidR="00DC6DAB" w:rsidRPr="00DC6DAB" w14:paraId="78F029D4" w14:textId="77777777" w:rsidTr="00DC6DAB">
        <w:tc>
          <w:tcPr>
            <w:tcW w:w="3964" w:type="dxa"/>
            <w:shd w:val="clear" w:color="auto" w:fill="D9E2F3" w:themeFill="accent1" w:themeFillTint="33"/>
          </w:tcPr>
          <w:p w14:paraId="308EFF98" w14:textId="77777777" w:rsidR="00DC6DAB" w:rsidRPr="00DC6DAB" w:rsidRDefault="00DC6DAB" w:rsidP="008E1737">
            <w:pPr>
              <w:jc w:val="both"/>
              <w:rPr>
                <w:sz w:val="28"/>
                <w:szCs w:val="28"/>
              </w:rPr>
            </w:pPr>
            <w:r w:rsidRPr="00DC6DAB">
              <w:rPr>
                <w:sz w:val="28"/>
                <w:szCs w:val="28"/>
              </w:rPr>
              <w:t>MATERIAL CONSIDERATIONS</w:t>
            </w:r>
          </w:p>
        </w:tc>
      </w:tr>
    </w:tbl>
    <w:p w14:paraId="2E48B314" w14:textId="77777777" w:rsidR="00DC6DAB" w:rsidRPr="00DC6DAB" w:rsidRDefault="00DC6DAB" w:rsidP="00DC6DAB">
      <w:pPr>
        <w:jc w:val="both"/>
        <w:rPr>
          <w:sz w:val="28"/>
          <w:szCs w:val="28"/>
        </w:rPr>
      </w:pPr>
    </w:p>
    <w:tbl>
      <w:tblPr>
        <w:tblStyle w:val="TableGrid"/>
        <w:tblW w:w="0" w:type="auto"/>
        <w:tblLook w:val="04A0" w:firstRow="1" w:lastRow="0" w:firstColumn="1" w:lastColumn="0" w:noHBand="0" w:noVBand="1"/>
      </w:tblPr>
      <w:tblGrid>
        <w:gridCol w:w="2122"/>
      </w:tblGrid>
      <w:tr w:rsidR="00DC6DAB" w:rsidRPr="00DC6DAB" w14:paraId="3A414D9E" w14:textId="77777777" w:rsidTr="00DC6DAB">
        <w:tc>
          <w:tcPr>
            <w:tcW w:w="2122" w:type="dxa"/>
            <w:shd w:val="clear" w:color="auto" w:fill="D9E2F3" w:themeFill="accent1" w:themeFillTint="33"/>
          </w:tcPr>
          <w:p w14:paraId="098479CC" w14:textId="77777777" w:rsidR="00DC6DAB" w:rsidRPr="00DC6DAB" w:rsidRDefault="00DC6DAB" w:rsidP="00B975BB">
            <w:pPr>
              <w:jc w:val="both"/>
              <w:rPr>
                <w:sz w:val="24"/>
                <w:szCs w:val="24"/>
              </w:rPr>
            </w:pPr>
            <w:r w:rsidRPr="00DC6DAB">
              <w:rPr>
                <w:sz w:val="24"/>
                <w:szCs w:val="24"/>
              </w:rPr>
              <w:t xml:space="preserve">CHANGE of USE: </w:t>
            </w:r>
          </w:p>
        </w:tc>
      </w:tr>
    </w:tbl>
    <w:p w14:paraId="107ECC69" w14:textId="77777777" w:rsidR="00DC6DAB" w:rsidRDefault="00DC6DAB" w:rsidP="00DC6DAB">
      <w:pPr>
        <w:jc w:val="both"/>
        <w:rPr>
          <w:sz w:val="24"/>
          <w:szCs w:val="24"/>
        </w:rPr>
      </w:pPr>
    </w:p>
    <w:p w14:paraId="23C24B65" w14:textId="516450DB" w:rsidR="00E80E34" w:rsidRPr="00606378" w:rsidRDefault="00F87D51" w:rsidP="00DC6DAB">
      <w:pPr>
        <w:jc w:val="both"/>
        <w:rPr>
          <w:sz w:val="24"/>
          <w:szCs w:val="24"/>
        </w:rPr>
      </w:pPr>
      <w:r w:rsidRPr="00606378">
        <w:rPr>
          <w:sz w:val="24"/>
          <w:szCs w:val="24"/>
        </w:rPr>
        <w:t xml:space="preserve">This revised application stems really from advice provided by both the original Case Officer, Anthony Scholes and the local Ward Councillor Amjad Tarar. </w:t>
      </w:r>
      <w:r w:rsidR="00E80E34" w:rsidRPr="00606378">
        <w:rPr>
          <w:sz w:val="24"/>
          <w:szCs w:val="24"/>
        </w:rPr>
        <w:t xml:space="preserve">The current hours of 7am to 3pm are 8 hours </w:t>
      </w:r>
      <w:r w:rsidR="00E80E34" w:rsidRPr="00606378">
        <w:rPr>
          <w:sz w:val="24"/>
          <w:szCs w:val="24"/>
        </w:rPr>
        <w:t xml:space="preserve">a </w:t>
      </w:r>
      <w:r w:rsidR="00E80E34" w:rsidRPr="00606378">
        <w:rPr>
          <w:sz w:val="24"/>
          <w:szCs w:val="24"/>
        </w:rPr>
        <w:t xml:space="preserve">day and the proposed change to 7am to 9pm would, (as stated by Case Officer Anthony Scholes, in an email to Zubair): </w:t>
      </w:r>
    </w:p>
    <w:p w14:paraId="6FD31BC2" w14:textId="77777777" w:rsidR="00E80E34" w:rsidRPr="00606378" w:rsidRDefault="00E80E34" w:rsidP="00DC6DAB">
      <w:pPr>
        <w:jc w:val="both"/>
        <w:rPr>
          <w:rFonts w:ascii="Abadi" w:hAnsi="Abadi"/>
          <w:i/>
          <w:iCs/>
          <w:sz w:val="24"/>
          <w:szCs w:val="24"/>
        </w:rPr>
      </w:pPr>
      <w:r w:rsidRPr="00606378">
        <w:rPr>
          <w:rFonts w:ascii="Abadi" w:hAnsi="Abadi"/>
          <w:i/>
          <w:iCs/>
          <w:sz w:val="24"/>
          <w:szCs w:val="24"/>
        </w:rPr>
        <w:t xml:space="preserve">“…allow more flexibility in the use of the business, should circumstances change and to avoid future variation applications.” </w:t>
      </w:r>
    </w:p>
    <w:p w14:paraId="422B7494" w14:textId="76E27D19" w:rsidR="009D62FA" w:rsidRPr="00606378" w:rsidRDefault="009D62FA" w:rsidP="00DC6DAB">
      <w:pPr>
        <w:jc w:val="both"/>
        <w:rPr>
          <w:sz w:val="24"/>
          <w:szCs w:val="24"/>
        </w:rPr>
      </w:pPr>
      <w:r w:rsidRPr="00606378">
        <w:rPr>
          <w:b/>
          <w:bCs/>
          <w:sz w:val="24"/>
          <w:szCs w:val="24"/>
        </w:rPr>
        <w:t>Policy DM4</w:t>
      </w:r>
      <w:r w:rsidRPr="00606378">
        <w:rPr>
          <w:sz w:val="24"/>
          <w:szCs w:val="24"/>
        </w:rPr>
        <w:t xml:space="preserve"> of the Sites and Detailed Policies Document seeks to ensure that new development</w:t>
      </w:r>
      <w:r w:rsidR="00F87D51" w:rsidRPr="00606378">
        <w:rPr>
          <w:sz w:val="24"/>
          <w:szCs w:val="24"/>
        </w:rPr>
        <w:t xml:space="preserve"> </w:t>
      </w:r>
      <w:r w:rsidRPr="00606378">
        <w:rPr>
          <w:sz w:val="24"/>
          <w:szCs w:val="24"/>
        </w:rPr>
        <w:t>will not cause a significant detrimental impact to the living environment of existing or new</w:t>
      </w:r>
      <w:r w:rsidR="00F87D51" w:rsidRPr="00606378">
        <w:rPr>
          <w:sz w:val="24"/>
          <w:szCs w:val="24"/>
        </w:rPr>
        <w:t xml:space="preserve"> </w:t>
      </w:r>
      <w:r w:rsidRPr="00606378">
        <w:rPr>
          <w:sz w:val="24"/>
          <w:szCs w:val="24"/>
        </w:rPr>
        <w:t>residential properties in terms of noise, disturbance and smells. There are residential</w:t>
      </w:r>
      <w:r w:rsidR="00F87D51" w:rsidRPr="00606378">
        <w:rPr>
          <w:sz w:val="24"/>
          <w:szCs w:val="24"/>
        </w:rPr>
        <w:t xml:space="preserve"> </w:t>
      </w:r>
      <w:r w:rsidRPr="00606378">
        <w:rPr>
          <w:sz w:val="24"/>
          <w:szCs w:val="24"/>
        </w:rPr>
        <w:t xml:space="preserve">dwellings </w:t>
      </w:r>
      <w:proofErr w:type="gramStart"/>
      <w:r w:rsidRPr="00606378">
        <w:rPr>
          <w:sz w:val="24"/>
          <w:szCs w:val="24"/>
        </w:rPr>
        <w:t>in close proximity to</w:t>
      </w:r>
      <w:proofErr w:type="gramEnd"/>
      <w:r w:rsidRPr="00606378">
        <w:rPr>
          <w:sz w:val="24"/>
          <w:szCs w:val="24"/>
        </w:rPr>
        <w:t xml:space="preserve"> the application site and the existing use of the premises</w:t>
      </w:r>
      <w:r w:rsidR="00BE67CF" w:rsidRPr="00606378">
        <w:rPr>
          <w:sz w:val="24"/>
          <w:szCs w:val="24"/>
        </w:rPr>
        <w:t xml:space="preserve">, however, an updated and detailed Noise Impact Assessment from Syntegra Consulting  </w:t>
      </w:r>
    </w:p>
    <w:p w14:paraId="13ABECCC" w14:textId="6DE2B638" w:rsidR="00E80E34" w:rsidRPr="00606378" w:rsidRDefault="009D62FA" w:rsidP="00DC6DAB">
      <w:pPr>
        <w:jc w:val="both"/>
        <w:rPr>
          <w:rFonts w:asciiTheme="minorHAnsi" w:hAnsiTheme="minorHAnsi"/>
          <w:sz w:val="24"/>
          <w:szCs w:val="24"/>
        </w:rPr>
      </w:pPr>
      <w:r w:rsidRPr="00606378">
        <w:rPr>
          <w:sz w:val="24"/>
          <w:szCs w:val="24"/>
        </w:rPr>
        <w:t>The current opening hours of 7am to 3pm are insufficient for the applicant, as the nature of</w:t>
      </w:r>
      <w:r w:rsidR="00F87D51" w:rsidRPr="00606378">
        <w:rPr>
          <w:sz w:val="24"/>
          <w:szCs w:val="24"/>
        </w:rPr>
        <w:t xml:space="preserve"> </w:t>
      </w:r>
      <w:r w:rsidRPr="00606378">
        <w:rPr>
          <w:sz w:val="24"/>
          <w:szCs w:val="24"/>
        </w:rPr>
        <w:t xml:space="preserve">the </w:t>
      </w:r>
      <w:r w:rsidR="00F87D51" w:rsidRPr="00606378">
        <w:rPr>
          <w:sz w:val="24"/>
          <w:szCs w:val="24"/>
        </w:rPr>
        <w:t xml:space="preserve">new take-away use would </w:t>
      </w:r>
      <w:r w:rsidRPr="00606378">
        <w:rPr>
          <w:sz w:val="24"/>
          <w:szCs w:val="24"/>
        </w:rPr>
        <w:t>operate most effectively within the evening hours serving</w:t>
      </w:r>
      <w:r w:rsidR="00F87D51" w:rsidRPr="00606378">
        <w:rPr>
          <w:sz w:val="24"/>
          <w:szCs w:val="24"/>
        </w:rPr>
        <w:t xml:space="preserve"> </w:t>
      </w:r>
      <w:r w:rsidRPr="00606378">
        <w:rPr>
          <w:sz w:val="24"/>
          <w:szCs w:val="24"/>
        </w:rPr>
        <w:t xml:space="preserve">evening </w:t>
      </w:r>
      <w:r w:rsidR="00F87D51" w:rsidRPr="00606378">
        <w:rPr>
          <w:sz w:val="24"/>
          <w:szCs w:val="24"/>
        </w:rPr>
        <w:t>passing customers</w:t>
      </w:r>
      <w:r w:rsidRPr="00606378">
        <w:rPr>
          <w:sz w:val="24"/>
          <w:szCs w:val="24"/>
        </w:rPr>
        <w:t xml:space="preserve">.  </w:t>
      </w:r>
      <w:r w:rsidR="00E80E34" w:rsidRPr="00606378">
        <w:rPr>
          <w:sz w:val="24"/>
          <w:szCs w:val="24"/>
        </w:rPr>
        <w:t xml:space="preserve">So, the </w:t>
      </w:r>
      <w:r w:rsidR="00E80E34" w:rsidRPr="00606378">
        <w:rPr>
          <w:rFonts w:asciiTheme="minorHAnsi" w:hAnsiTheme="minorHAnsi"/>
          <w:sz w:val="24"/>
          <w:szCs w:val="24"/>
        </w:rPr>
        <w:t>Adopted Local Plan November 2019</w:t>
      </w:r>
      <w:r w:rsidR="00E80E34" w:rsidRPr="00606378">
        <w:rPr>
          <w:rFonts w:asciiTheme="minorHAnsi" w:hAnsiTheme="minorHAnsi"/>
          <w:sz w:val="24"/>
          <w:szCs w:val="24"/>
        </w:rPr>
        <w:t xml:space="preserve">, includes </w:t>
      </w:r>
      <w:r w:rsidR="00E80E34" w:rsidRPr="00606378">
        <w:rPr>
          <w:rFonts w:asciiTheme="minorHAnsi" w:hAnsiTheme="minorHAnsi"/>
          <w:b/>
          <w:bCs/>
          <w:sz w:val="24"/>
          <w:szCs w:val="24"/>
        </w:rPr>
        <w:t>Local Defined Shopping Centre</w:t>
      </w:r>
      <w:r w:rsidR="00E80E34" w:rsidRPr="00606378">
        <w:rPr>
          <w:rFonts w:asciiTheme="minorHAnsi" w:hAnsiTheme="minorHAnsi"/>
          <w:b/>
          <w:bCs/>
          <w:sz w:val="24"/>
          <w:szCs w:val="24"/>
        </w:rPr>
        <w:t>s</w:t>
      </w:r>
      <w:r w:rsidR="00E80E34" w:rsidRPr="00606378">
        <w:rPr>
          <w:rFonts w:asciiTheme="minorHAnsi" w:hAnsiTheme="minorHAnsi"/>
          <w:b/>
          <w:bCs/>
          <w:sz w:val="24"/>
          <w:szCs w:val="24"/>
        </w:rPr>
        <w:t>:</w:t>
      </w:r>
    </w:p>
    <w:p w14:paraId="45A81B10" w14:textId="77777777" w:rsidR="00E80E34" w:rsidRPr="00606378" w:rsidRDefault="00E80E34" w:rsidP="00DC6DAB">
      <w:pPr>
        <w:spacing w:after="0"/>
        <w:ind w:left="16"/>
        <w:jc w:val="both"/>
        <w:rPr>
          <w:rFonts w:asciiTheme="minorHAnsi" w:hAnsiTheme="minorHAnsi"/>
          <w:b/>
          <w:bCs/>
          <w:i/>
          <w:iCs/>
          <w:sz w:val="24"/>
          <w:szCs w:val="24"/>
        </w:rPr>
      </w:pPr>
    </w:p>
    <w:p w14:paraId="0C669157" w14:textId="77777777" w:rsidR="00E80E34" w:rsidRPr="00606378" w:rsidRDefault="00E80E34" w:rsidP="00DC6DAB">
      <w:pPr>
        <w:spacing w:after="0"/>
        <w:ind w:left="16"/>
        <w:jc w:val="both"/>
        <w:rPr>
          <w:rFonts w:ascii="Abadi" w:hAnsi="Abadi"/>
          <w:b/>
          <w:bCs/>
          <w:i/>
          <w:iCs/>
          <w:sz w:val="24"/>
          <w:szCs w:val="24"/>
        </w:rPr>
      </w:pPr>
      <w:r w:rsidRPr="00606378">
        <w:rPr>
          <w:rFonts w:ascii="Abadi" w:hAnsi="Abadi"/>
          <w:b/>
          <w:bCs/>
          <w:i/>
          <w:iCs/>
          <w:sz w:val="24"/>
          <w:szCs w:val="24"/>
        </w:rPr>
        <w:t xml:space="preserve">RL3: VITALITY AND VIABILITY OF SMALLER CENTRES </w:t>
      </w:r>
    </w:p>
    <w:p w14:paraId="6D2E7537" w14:textId="77777777" w:rsidR="00E80E34" w:rsidRPr="00606378" w:rsidRDefault="00E80E34" w:rsidP="00DC6DAB">
      <w:pPr>
        <w:spacing w:after="0"/>
        <w:ind w:left="16"/>
        <w:jc w:val="both"/>
        <w:rPr>
          <w:rFonts w:ascii="Abadi" w:hAnsi="Abadi"/>
          <w:i/>
          <w:iCs/>
          <w:sz w:val="24"/>
          <w:szCs w:val="24"/>
        </w:rPr>
      </w:pPr>
    </w:p>
    <w:p w14:paraId="5D22FD31" w14:textId="55E27EFC" w:rsidR="00E80E34" w:rsidRPr="00606378" w:rsidRDefault="00E80E34" w:rsidP="00DC6DAB">
      <w:pPr>
        <w:spacing w:after="0"/>
        <w:ind w:left="16"/>
        <w:jc w:val="both"/>
        <w:rPr>
          <w:rFonts w:ascii="Abadi" w:hAnsi="Abadi"/>
          <w:i/>
          <w:iCs/>
          <w:sz w:val="24"/>
          <w:szCs w:val="24"/>
        </w:rPr>
      </w:pPr>
      <w:r w:rsidRPr="00606378">
        <w:rPr>
          <w:rFonts w:ascii="Abadi" w:hAnsi="Abadi"/>
          <w:i/>
          <w:iCs/>
          <w:sz w:val="24"/>
          <w:szCs w:val="24"/>
        </w:rPr>
        <w:t>a) Within the Key Frontages (identified on the Proposals Map), development involving a net loss of A1 retail or A2 financial and professional to other ‘centre uses’ will only be permitted where:</w:t>
      </w:r>
    </w:p>
    <w:p w14:paraId="22582C7A" w14:textId="77777777" w:rsidR="00E80E34" w:rsidRPr="00606378" w:rsidRDefault="00E80E34" w:rsidP="00DC6DAB">
      <w:pPr>
        <w:spacing w:after="0"/>
        <w:ind w:left="16"/>
        <w:jc w:val="both"/>
        <w:rPr>
          <w:rFonts w:ascii="Abadi" w:hAnsi="Abadi"/>
          <w:i/>
          <w:iCs/>
          <w:sz w:val="24"/>
          <w:szCs w:val="24"/>
        </w:rPr>
      </w:pPr>
    </w:p>
    <w:p w14:paraId="727EFD9D" w14:textId="7C988157" w:rsidR="00E80E34" w:rsidRPr="00606378" w:rsidRDefault="00E80E34" w:rsidP="00DC6DAB">
      <w:pPr>
        <w:spacing w:after="0"/>
        <w:ind w:left="16"/>
        <w:jc w:val="both"/>
        <w:rPr>
          <w:rFonts w:ascii="Abadi" w:hAnsi="Abadi"/>
          <w:i/>
          <w:iCs/>
          <w:sz w:val="24"/>
          <w:szCs w:val="24"/>
        </w:rPr>
      </w:pPr>
      <w:r w:rsidRPr="00606378">
        <w:rPr>
          <w:rFonts w:ascii="Abadi" w:hAnsi="Abadi"/>
          <w:i/>
          <w:iCs/>
          <w:sz w:val="24"/>
          <w:szCs w:val="24"/>
        </w:rPr>
        <w:t>There would be no more than 3 consecutive units which are not in A1 or A2 retail use; and</w:t>
      </w:r>
      <w:r w:rsidRPr="00606378">
        <w:rPr>
          <w:rFonts w:ascii="Abadi" w:hAnsi="Abadi"/>
          <w:i/>
          <w:iCs/>
          <w:sz w:val="24"/>
          <w:szCs w:val="24"/>
        </w:rPr>
        <w:t xml:space="preserve"> </w:t>
      </w:r>
    </w:p>
    <w:p w14:paraId="0CD47111" w14:textId="77777777" w:rsidR="00E80E34" w:rsidRPr="00606378" w:rsidRDefault="00E80E34" w:rsidP="00DC6DAB">
      <w:pPr>
        <w:spacing w:after="0"/>
        <w:ind w:left="16"/>
        <w:jc w:val="both"/>
        <w:rPr>
          <w:rFonts w:ascii="Abadi" w:hAnsi="Abadi"/>
          <w:i/>
          <w:iCs/>
          <w:sz w:val="24"/>
          <w:szCs w:val="24"/>
        </w:rPr>
      </w:pPr>
      <w:r w:rsidRPr="00606378">
        <w:rPr>
          <w:rFonts w:ascii="Abadi" w:hAnsi="Abadi"/>
          <w:i/>
          <w:iCs/>
          <w:sz w:val="24"/>
          <w:szCs w:val="24"/>
        </w:rPr>
        <w:t>The proportion of the total length of the Key Frontage within the centre that is in A1 or A2 use would exceed the relevant proportion below:</w:t>
      </w:r>
    </w:p>
    <w:p w14:paraId="4D02448F" w14:textId="77777777" w:rsidR="00E80E34" w:rsidRPr="00606378" w:rsidRDefault="00E80E34" w:rsidP="00DC6DAB">
      <w:pPr>
        <w:spacing w:after="0"/>
        <w:ind w:left="16"/>
        <w:jc w:val="both"/>
        <w:rPr>
          <w:rFonts w:ascii="Abadi" w:hAnsi="Abadi"/>
          <w:i/>
          <w:iCs/>
          <w:sz w:val="24"/>
          <w:szCs w:val="24"/>
        </w:rPr>
      </w:pPr>
    </w:p>
    <w:p w14:paraId="6B0D024E" w14:textId="77777777" w:rsidR="00E80E34" w:rsidRPr="00606378" w:rsidRDefault="00E80E34" w:rsidP="00DC6DAB">
      <w:pPr>
        <w:spacing w:after="0"/>
        <w:ind w:left="16"/>
        <w:jc w:val="both"/>
        <w:rPr>
          <w:rFonts w:ascii="Abadi" w:hAnsi="Abadi"/>
          <w:i/>
          <w:iCs/>
          <w:sz w:val="24"/>
          <w:szCs w:val="24"/>
        </w:rPr>
      </w:pPr>
      <w:r w:rsidRPr="00606378">
        <w:rPr>
          <w:rFonts w:ascii="Abadi" w:hAnsi="Abadi"/>
          <w:i/>
          <w:iCs/>
          <w:sz w:val="24"/>
          <w:szCs w:val="24"/>
        </w:rPr>
        <w:t>Caversham, Cemetery Junction, Tilehurst Triangle and Whitley District Centres; Christchurch Road, Coronation Square, Wensley Road and Whitley Wood Local Centres 60%</w:t>
      </w:r>
    </w:p>
    <w:p w14:paraId="6D1E5ACD" w14:textId="77777777" w:rsidR="00E80E34" w:rsidRPr="00606378" w:rsidRDefault="00E80E34" w:rsidP="00DC6DAB">
      <w:pPr>
        <w:spacing w:after="0"/>
        <w:ind w:left="16"/>
        <w:jc w:val="both"/>
        <w:rPr>
          <w:rFonts w:ascii="Abadi" w:hAnsi="Abadi"/>
          <w:i/>
          <w:iCs/>
          <w:sz w:val="24"/>
          <w:szCs w:val="24"/>
        </w:rPr>
      </w:pPr>
      <w:r w:rsidRPr="00606378">
        <w:rPr>
          <w:rFonts w:ascii="Abadi" w:hAnsi="Abadi"/>
          <w:i/>
          <w:iCs/>
          <w:sz w:val="24"/>
          <w:szCs w:val="24"/>
        </w:rPr>
        <w:t xml:space="preserve">Emmer Green, The </w:t>
      </w:r>
      <w:proofErr w:type="spellStart"/>
      <w:r w:rsidRPr="00606378">
        <w:rPr>
          <w:rFonts w:ascii="Abadi" w:hAnsi="Abadi"/>
          <w:i/>
          <w:iCs/>
          <w:sz w:val="24"/>
          <w:szCs w:val="24"/>
        </w:rPr>
        <w:t>Meadway</w:t>
      </w:r>
      <w:proofErr w:type="spellEnd"/>
      <w:r w:rsidRPr="00606378">
        <w:rPr>
          <w:rFonts w:ascii="Abadi" w:hAnsi="Abadi"/>
          <w:i/>
          <w:iCs/>
          <w:sz w:val="24"/>
          <w:szCs w:val="24"/>
        </w:rPr>
        <w:t xml:space="preserve">, Oxford Road West and </w:t>
      </w:r>
      <w:proofErr w:type="spellStart"/>
      <w:r w:rsidRPr="00606378">
        <w:rPr>
          <w:rFonts w:ascii="Abadi" w:hAnsi="Abadi"/>
          <w:i/>
          <w:iCs/>
          <w:sz w:val="24"/>
          <w:szCs w:val="24"/>
        </w:rPr>
        <w:t>Shinfield</w:t>
      </w:r>
      <w:proofErr w:type="spellEnd"/>
      <w:r w:rsidRPr="00606378">
        <w:rPr>
          <w:rFonts w:ascii="Abadi" w:hAnsi="Abadi"/>
          <w:i/>
          <w:iCs/>
          <w:sz w:val="24"/>
          <w:szCs w:val="24"/>
        </w:rPr>
        <w:t xml:space="preserve"> Road District Centres; Wokingham Road Major Local </w:t>
      </w:r>
      <w:proofErr w:type="gramStart"/>
      <w:r w:rsidRPr="00606378">
        <w:rPr>
          <w:rFonts w:ascii="Abadi" w:hAnsi="Abadi"/>
          <w:i/>
          <w:iCs/>
          <w:sz w:val="24"/>
          <w:szCs w:val="24"/>
        </w:rPr>
        <w:t>Centre;</w:t>
      </w:r>
      <w:proofErr w:type="gramEnd"/>
      <w:r w:rsidRPr="00606378">
        <w:rPr>
          <w:rFonts w:ascii="Abadi" w:hAnsi="Abadi"/>
          <w:i/>
          <w:iCs/>
          <w:sz w:val="24"/>
          <w:szCs w:val="24"/>
        </w:rPr>
        <w:t xml:space="preserve"> </w:t>
      </w:r>
    </w:p>
    <w:p w14:paraId="408E5D0A" w14:textId="77777777" w:rsidR="00E80E34" w:rsidRPr="00606378" w:rsidRDefault="00E80E34" w:rsidP="00DC6DAB">
      <w:pPr>
        <w:spacing w:after="0"/>
        <w:ind w:left="16"/>
        <w:jc w:val="both"/>
        <w:rPr>
          <w:rFonts w:ascii="Abadi" w:hAnsi="Abadi"/>
          <w:i/>
          <w:iCs/>
          <w:sz w:val="24"/>
          <w:szCs w:val="24"/>
        </w:rPr>
      </w:pPr>
      <w:r w:rsidRPr="00606378">
        <w:rPr>
          <w:rFonts w:ascii="Abadi" w:hAnsi="Abadi"/>
          <w:i/>
          <w:iCs/>
          <w:sz w:val="24"/>
          <w:szCs w:val="24"/>
        </w:rPr>
        <w:t xml:space="preserve">Basingstoke Road North, Dee Park, </w:t>
      </w:r>
      <w:proofErr w:type="spellStart"/>
      <w:r w:rsidRPr="00606378">
        <w:rPr>
          <w:rFonts w:ascii="Abadi" w:hAnsi="Abadi"/>
          <w:i/>
          <w:iCs/>
          <w:sz w:val="24"/>
          <w:szCs w:val="24"/>
        </w:rPr>
        <w:t>Erleigh</w:t>
      </w:r>
      <w:proofErr w:type="spellEnd"/>
      <w:r w:rsidRPr="00606378">
        <w:rPr>
          <w:rFonts w:ascii="Abadi" w:hAnsi="Abadi"/>
          <w:i/>
          <w:iCs/>
          <w:sz w:val="24"/>
          <w:szCs w:val="24"/>
        </w:rPr>
        <w:t xml:space="preserve"> Road and Northumberland Avenue North Local Centres 50% </w:t>
      </w:r>
    </w:p>
    <w:p w14:paraId="30941822" w14:textId="77777777" w:rsidR="00E80E34" w:rsidRPr="00606378" w:rsidRDefault="00E80E34" w:rsidP="00DC6DAB">
      <w:pPr>
        <w:spacing w:after="0"/>
        <w:ind w:left="16"/>
        <w:jc w:val="both"/>
        <w:rPr>
          <w:rFonts w:ascii="Abadi" w:hAnsi="Abadi"/>
          <w:i/>
          <w:iCs/>
          <w:sz w:val="24"/>
          <w:szCs w:val="24"/>
        </w:rPr>
      </w:pPr>
      <w:r w:rsidRPr="00606378">
        <w:rPr>
          <w:rFonts w:ascii="Abadi" w:hAnsi="Abadi"/>
          <w:i/>
          <w:iCs/>
          <w:sz w:val="24"/>
          <w:szCs w:val="24"/>
        </w:rPr>
        <w:t>Whitley Street Major Local Centre 40%</w:t>
      </w:r>
    </w:p>
    <w:p w14:paraId="3C6E9F7A" w14:textId="77777777" w:rsidR="00E80E34" w:rsidRPr="00606378" w:rsidRDefault="00E80E34" w:rsidP="00DC6DAB">
      <w:pPr>
        <w:spacing w:after="0"/>
        <w:ind w:left="16"/>
        <w:jc w:val="both"/>
        <w:rPr>
          <w:rFonts w:ascii="Abadi" w:hAnsi="Abadi"/>
          <w:i/>
          <w:iCs/>
          <w:sz w:val="24"/>
          <w:szCs w:val="24"/>
        </w:rPr>
      </w:pPr>
    </w:p>
    <w:p w14:paraId="79D4D1AC" w14:textId="77777777" w:rsidR="00E80E34" w:rsidRPr="00606378" w:rsidRDefault="00E80E34" w:rsidP="00DC6DAB">
      <w:pPr>
        <w:spacing w:after="0"/>
        <w:ind w:left="16"/>
        <w:jc w:val="both"/>
        <w:rPr>
          <w:rFonts w:ascii="Abadi" w:hAnsi="Abadi"/>
          <w:i/>
          <w:iCs/>
          <w:sz w:val="24"/>
          <w:szCs w:val="24"/>
        </w:rPr>
      </w:pPr>
      <w:r w:rsidRPr="00606378">
        <w:rPr>
          <w:rFonts w:ascii="Abadi" w:hAnsi="Abadi"/>
          <w:i/>
          <w:iCs/>
          <w:sz w:val="24"/>
          <w:szCs w:val="24"/>
        </w:rPr>
        <w:t xml:space="preserve">b) Within district, major local and local centres, development will be permitted provided that: </w:t>
      </w:r>
    </w:p>
    <w:p w14:paraId="6CDB7D1B" w14:textId="1E517EC1" w:rsidR="00E80E34" w:rsidRPr="00606378" w:rsidRDefault="00E80E34" w:rsidP="00DC6DAB">
      <w:pPr>
        <w:pStyle w:val="ListParagraph"/>
        <w:numPr>
          <w:ilvl w:val="0"/>
          <w:numId w:val="2"/>
        </w:numPr>
        <w:spacing w:after="0"/>
        <w:jc w:val="both"/>
        <w:rPr>
          <w:rFonts w:ascii="Abadi" w:hAnsi="Abadi"/>
          <w:i/>
          <w:iCs/>
          <w:sz w:val="24"/>
          <w:szCs w:val="24"/>
        </w:rPr>
      </w:pPr>
      <w:r w:rsidRPr="00606378">
        <w:rPr>
          <w:rFonts w:ascii="Abadi" w:hAnsi="Abadi"/>
          <w:i/>
          <w:iCs/>
          <w:sz w:val="24"/>
          <w:szCs w:val="24"/>
        </w:rPr>
        <w:t xml:space="preserve">There would be no more than 2 consecutive A5 takeaways, and </w:t>
      </w:r>
    </w:p>
    <w:p w14:paraId="7AE8DDF7" w14:textId="747CA539" w:rsidR="00E80E34" w:rsidRPr="00606378" w:rsidRDefault="00E80E34" w:rsidP="00DC6DAB">
      <w:pPr>
        <w:pStyle w:val="ListParagraph"/>
        <w:numPr>
          <w:ilvl w:val="0"/>
          <w:numId w:val="2"/>
        </w:numPr>
        <w:spacing w:after="0"/>
        <w:jc w:val="both"/>
        <w:rPr>
          <w:rFonts w:ascii="Abadi" w:hAnsi="Abadi"/>
          <w:i/>
          <w:iCs/>
          <w:sz w:val="24"/>
          <w:szCs w:val="24"/>
        </w:rPr>
      </w:pPr>
      <w:r w:rsidRPr="00606378">
        <w:rPr>
          <w:rFonts w:ascii="Abadi" w:hAnsi="Abadi"/>
          <w:i/>
          <w:iCs/>
          <w:sz w:val="24"/>
          <w:szCs w:val="24"/>
        </w:rPr>
        <w:t xml:space="preserve">no more than 30% of the length of the Key Frontage would be in takeaway </w:t>
      </w:r>
      <w:proofErr w:type="gramStart"/>
      <w:r w:rsidRPr="00606378">
        <w:rPr>
          <w:rFonts w:ascii="Abadi" w:hAnsi="Abadi"/>
          <w:i/>
          <w:iCs/>
          <w:sz w:val="24"/>
          <w:szCs w:val="24"/>
        </w:rPr>
        <w:t>use;</w:t>
      </w:r>
      <w:proofErr w:type="gramEnd"/>
    </w:p>
    <w:p w14:paraId="2AEAEB90" w14:textId="77777777" w:rsidR="00606378" w:rsidRDefault="00606378" w:rsidP="00DC6DAB">
      <w:pPr>
        <w:spacing w:after="0"/>
        <w:ind w:left="16" w:right="391"/>
        <w:jc w:val="both"/>
        <w:rPr>
          <w:sz w:val="24"/>
          <w:szCs w:val="24"/>
        </w:rPr>
      </w:pPr>
    </w:p>
    <w:p w14:paraId="212C245D" w14:textId="77777777" w:rsidR="00606378" w:rsidRDefault="00606378" w:rsidP="00DC6DAB">
      <w:pPr>
        <w:spacing w:after="0"/>
        <w:ind w:left="16" w:right="391"/>
        <w:jc w:val="both"/>
        <w:rPr>
          <w:sz w:val="24"/>
          <w:szCs w:val="24"/>
        </w:rPr>
      </w:pPr>
      <w:r w:rsidRPr="00606378">
        <w:rPr>
          <w:sz w:val="24"/>
          <w:szCs w:val="24"/>
        </w:rPr>
        <w:t>So, in terms of</w:t>
      </w:r>
      <w:r>
        <w:rPr>
          <w:sz w:val="24"/>
          <w:szCs w:val="24"/>
        </w:rPr>
        <w:t xml:space="preserve"> Policy RL3, set out above, and we completely understand the need to ensure the </w:t>
      </w:r>
      <w:r w:rsidRPr="00606378">
        <w:rPr>
          <w:i/>
          <w:iCs/>
          <w:sz w:val="24"/>
          <w:szCs w:val="24"/>
        </w:rPr>
        <w:t>“Vitality and viability of smaller centres”</w:t>
      </w:r>
      <w:r>
        <w:rPr>
          <w:sz w:val="24"/>
          <w:szCs w:val="24"/>
        </w:rPr>
        <w:t xml:space="preserve"> such as here at Whitley Wood Road, then the exisitng use is already a quasi “food use”, in the form of the café and we understand has a limited take-away element attached. </w:t>
      </w:r>
    </w:p>
    <w:p w14:paraId="6AD2A1BA" w14:textId="77777777" w:rsidR="00606378" w:rsidRDefault="00606378" w:rsidP="00DC6DAB">
      <w:pPr>
        <w:spacing w:after="0"/>
        <w:ind w:left="16" w:right="391"/>
        <w:jc w:val="both"/>
        <w:rPr>
          <w:sz w:val="24"/>
          <w:szCs w:val="24"/>
        </w:rPr>
      </w:pPr>
    </w:p>
    <w:p w14:paraId="592AA99E" w14:textId="77777777" w:rsidR="00DC6DAB" w:rsidRDefault="00606378" w:rsidP="00DC6DAB">
      <w:pPr>
        <w:spacing w:after="0"/>
        <w:ind w:left="16" w:right="391"/>
        <w:jc w:val="both"/>
        <w:rPr>
          <w:sz w:val="24"/>
          <w:szCs w:val="24"/>
        </w:rPr>
      </w:pPr>
      <w:r>
        <w:rPr>
          <w:sz w:val="24"/>
          <w:szCs w:val="24"/>
        </w:rPr>
        <w:t xml:space="preserve">We note the Case Officers report into the previous change of use to Class A3 and part Class A5 (under the old Use Classes Order) concluded on the change of use at that time: </w:t>
      </w:r>
    </w:p>
    <w:p w14:paraId="7B3B76BE" w14:textId="77777777" w:rsidR="00DC6DAB" w:rsidRDefault="00DC6DAB" w:rsidP="00DC6DAB">
      <w:pPr>
        <w:spacing w:after="0"/>
        <w:ind w:left="16" w:right="391"/>
        <w:jc w:val="both"/>
        <w:rPr>
          <w:sz w:val="24"/>
          <w:szCs w:val="24"/>
        </w:rPr>
      </w:pPr>
    </w:p>
    <w:p w14:paraId="334759ED" w14:textId="1A2421C4" w:rsidR="00DC6DAB" w:rsidRPr="00DC6DAB" w:rsidRDefault="00DC6DAB" w:rsidP="00DC6DAB">
      <w:pPr>
        <w:spacing w:line="240" w:lineRule="auto"/>
        <w:ind w:left="284" w:right="379"/>
        <w:jc w:val="both"/>
        <w:rPr>
          <w:rFonts w:ascii="Trebuchet MS" w:hAnsi="Trebuchet MS"/>
          <w:i/>
          <w:iCs/>
          <w:szCs w:val="24"/>
        </w:rPr>
      </w:pPr>
      <w:r>
        <w:rPr>
          <w:rFonts w:ascii="Trebuchet MS" w:hAnsi="Trebuchet MS"/>
          <w:i/>
          <w:iCs/>
          <w:szCs w:val="24"/>
        </w:rPr>
        <w:t>“</w:t>
      </w:r>
      <w:r w:rsidRPr="00DC6DAB">
        <w:rPr>
          <w:rFonts w:ascii="Trebuchet MS" w:hAnsi="Trebuchet MS"/>
          <w:i/>
          <w:iCs/>
          <w:szCs w:val="24"/>
        </w:rPr>
        <w:t>An assessment of the Local Centre Key Frontage has been undertaken. The Key Frontage contains seven units, six of which fall within an A1 use with one A2 use. The proposed change of use does not therefore create more than three consecutive units not in A1 use and does not exceed the 60% limit. The change of use would also not create more than two consecutive A5 takeaway units. Subject to other policy considerations as below, the principle of the change of use is acceptable.</w:t>
      </w:r>
      <w:r>
        <w:rPr>
          <w:rFonts w:ascii="Trebuchet MS" w:hAnsi="Trebuchet MS"/>
          <w:i/>
          <w:iCs/>
          <w:szCs w:val="24"/>
        </w:rPr>
        <w:t>”</w:t>
      </w:r>
      <w:r w:rsidRPr="00DC6DAB">
        <w:rPr>
          <w:rFonts w:ascii="Trebuchet MS" w:hAnsi="Trebuchet MS"/>
          <w:i/>
          <w:iCs/>
          <w:szCs w:val="24"/>
        </w:rPr>
        <w:t xml:space="preserve"> </w:t>
      </w:r>
    </w:p>
    <w:p w14:paraId="529833FB" w14:textId="54B9E964" w:rsidR="00E80E34" w:rsidRPr="00606378" w:rsidRDefault="00606378" w:rsidP="00DC6DAB">
      <w:pPr>
        <w:spacing w:after="0"/>
        <w:ind w:left="16" w:right="391"/>
        <w:jc w:val="both"/>
        <w:rPr>
          <w:sz w:val="24"/>
          <w:szCs w:val="24"/>
        </w:rPr>
      </w:pPr>
      <w:r>
        <w:rPr>
          <w:sz w:val="24"/>
          <w:szCs w:val="24"/>
        </w:rPr>
        <w:t xml:space="preserve">    </w:t>
      </w:r>
      <w:r w:rsidRPr="00606378">
        <w:rPr>
          <w:sz w:val="24"/>
          <w:szCs w:val="24"/>
        </w:rPr>
        <w:t xml:space="preserve"> </w:t>
      </w:r>
    </w:p>
    <w:p w14:paraId="1734AAB8" w14:textId="77777777" w:rsidR="00DC6DAB" w:rsidRDefault="00DC6DAB" w:rsidP="00DC6DAB">
      <w:pPr>
        <w:jc w:val="both"/>
        <w:rPr>
          <w:sz w:val="24"/>
          <w:szCs w:val="24"/>
        </w:rPr>
      </w:pPr>
      <w:r>
        <w:rPr>
          <w:sz w:val="24"/>
          <w:szCs w:val="24"/>
        </w:rPr>
        <w:t xml:space="preserve">Consequently, we will suggest this further change of use to take-away would also not push the non – retail % over and above the Local Centre Key frontage </w:t>
      </w:r>
      <w:proofErr w:type="gramStart"/>
      <w:r>
        <w:rPr>
          <w:sz w:val="24"/>
          <w:szCs w:val="24"/>
        </w:rPr>
        <w:t>threshold, and</w:t>
      </w:r>
      <w:proofErr w:type="gramEnd"/>
      <w:r>
        <w:rPr>
          <w:sz w:val="24"/>
          <w:szCs w:val="24"/>
        </w:rPr>
        <w:t xml:space="preserve"> should (subject to other usual planning considerations) be supported now. </w:t>
      </w:r>
    </w:p>
    <w:p w14:paraId="66723B7F" w14:textId="77777777" w:rsidR="00DC6DAB" w:rsidRDefault="00DC6DAB" w:rsidP="00DC6DAB">
      <w:pPr>
        <w:jc w:val="both"/>
        <w:rPr>
          <w:sz w:val="24"/>
          <w:szCs w:val="24"/>
        </w:rPr>
      </w:pPr>
    </w:p>
    <w:p w14:paraId="055F2071" w14:textId="77777777" w:rsidR="00357824" w:rsidRDefault="00357824" w:rsidP="00DC6DAB">
      <w:pPr>
        <w:jc w:val="both"/>
        <w:rPr>
          <w:sz w:val="24"/>
          <w:szCs w:val="24"/>
        </w:rPr>
      </w:pPr>
    </w:p>
    <w:tbl>
      <w:tblPr>
        <w:tblStyle w:val="TableGrid"/>
        <w:tblW w:w="0" w:type="auto"/>
        <w:tblLook w:val="04A0" w:firstRow="1" w:lastRow="0" w:firstColumn="1" w:lastColumn="0" w:noHBand="0" w:noVBand="1"/>
      </w:tblPr>
      <w:tblGrid>
        <w:gridCol w:w="2689"/>
      </w:tblGrid>
      <w:tr w:rsidR="00DC6DAB" w:rsidRPr="00606378" w14:paraId="67D30FFE" w14:textId="77777777" w:rsidTr="00DC6DAB">
        <w:tc>
          <w:tcPr>
            <w:tcW w:w="2689" w:type="dxa"/>
            <w:shd w:val="clear" w:color="auto" w:fill="D9E2F3" w:themeFill="accent1" w:themeFillTint="33"/>
          </w:tcPr>
          <w:p w14:paraId="23B8138F" w14:textId="39A269C6" w:rsidR="00DC6DAB" w:rsidRPr="00606378" w:rsidRDefault="00DC6DAB" w:rsidP="004C63EB">
            <w:pPr>
              <w:jc w:val="both"/>
              <w:rPr>
                <w:sz w:val="24"/>
                <w:szCs w:val="24"/>
              </w:rPr>
            </w:pPr>
            <w:r w:rsidRPr="00DC6DAB">
              <w:rPr>
                <w:sz w:val="24"/>
                <w:szCs w:val="24"/>
              </w:rPr>
              <w:t>RESIDENTI</w:t>
            </w:r>
            <w:r>
              <w:rPr>
                <w:sz w:val="24"/>
                <w:szCs w:val="24"/>
              </w:rPr>
              <w:t>A</w:t>
            </w:r>
            <w:r w:rsidRPr="00DC6DAB">
              <w:rPr>
                <w:sz w:val="24"/>
                <w:szCs w:val="24"/>
              </w:rPr>
              <w:t xml:space="preserve">L AMENITY </w:t>
            </w:r>
          </w:p>
        </w:tc>
      </w:tr>
    </w:tbl>
    <w:p w14:paraId="400153A9" w14:textId="03EFDB2E" w:rsidR="009D62FA" w:rsidRDefault="009D62FA" w:rsidP="00DC6DAB">
      <w:pPr>
        <w:jc w:val="both"/>
        <w:rPr>
          <w:sz w:val="24"/>
          <w:szCs w:val="24"/>
        </w:rPr>
      </w:pPr>
    </w:p>
    <w:p w14:paraId="6D69F471" w14:textId="35EC3555" w:rsidR="00DC6DAB" w:rsidRDefault="007373A6" w:rsidP="00DC6DAB">
      <w:pPr>
        <w:jc w:val="both"/>
        <w:rPr>
          <w:sz w:val="24"/>
          <w:szCs w:val="24"/>
        </w:rPr>
      </w:pPr>
      <w:r>
        <w:rPr>
          <w:sz w:val="24"/>
          <w:szCs w:val="24"/>
        </w:rPr>
        <w:t xml:space="preserve">NOISE: </w:t>
      </w:r>
      <w:r w:rsidR="00DC6DAB">
        <w:rPr>
          <w:sz w:val="24"/>
          <w:szCs w:val="24"/>
        </w:rPr>
        <w:t xml:space="preserve">Again, we would </w:t>
      </w:r>
      <w:proofErr w:type="gramStart"/>
      <w:r w:rsidR="00DC6DAB">
        <w:rPr>
          <w:sz w:val="24"/>
          <w:szCs w:val="24"/>
        </w:rPr>
        <w:t>refer back</w:t>
      </w:r>
      <w:proofErr w:type="gramEnd"/>
      <w:r w:rsidR="00DC6DAB">
        <w:rPr>
          <w:sz w:val="24"/>
          <w:szCs w:val="24"/>
        </w:rPr>
        <w:t xml:space="preserve"> to the 2018 planning officers report: </w:t>
      </w:r>
    </w:p>
    <w:p w14:paraId="199DEF72" w14:textId="2AC2FB55" w:rsidR="00DC6DAB" w:rsidRPr="00DC6DAB" w:rsidRDefault="00DC6DAB" w:rsidP="00DC6DAB">
      <w:pPr>
        <w:spacing w:line="240" w:lineRule="auto"/>
        <w:ind w:left="284" w:right="379"/>
        <w:jc w:val="both"/>
        <w:rPr>
          <w:rFonts w:ascii="Trebuchet MS" w:hAnsi="Trebuchet MS"/>
          <w:i/>
          <w:iCs/>
          <w:szCs w:val="24"/>
        </w:rPr>
      </w:pPr>
      <w:r>
        <w:rPr>
          <w:rFonts w:ascii="Trebuchet MS" w:hAnsi="Trebuchet MS"/>
          <w:i/>
          <w:iCs/>
          <w:szCs w:val="24"/>
        </w:rPr>
        <w:t>“</w:t>
      </w:r>
      <w:r w:rsidRPr="00DC6DAB">
        <w:rPr>
          <w:rFonts w:ascii="Trebuchet MS" w:hAnsi="Trebuchet MS"/>
          <w:i/>
          <w:iCs/>
          <w:szCs w:val="24"/>
        </w:rPr>
        <w:t xml:space="preserve">A noise assessment and an assessment of odours have not been </w:t>
      </w:r>
      <w:proofErr w:type="gramStart"/>
      <w:r w:rsidRPr="00DC6DAB">
        <w:rPr>
          <w:rFonts w:ascii="Trebuchet MS" w:hAnsi="Trebuchet MS"/>
          <w:i/>
          <w:iCs/>
          <w:szCs w:val="24"/>
        </w:rPr>
        <w:t>provided</w:t>
      </w:r>
      <w:proofErr w:type="gramEnd"/>
      <w:r w:rsidRPr="00DC6DAB">
        <w:rPr>
          <w:rFonts w:ascii="Trebuchet MS" w:hAnsi="Trebuchet MS"/>
          <w:i/>
          <w:iCs/>
          <w:szCs w:val="24"/>
        </w:rPr>
        <w:t xml:space="preserve"> and it is not therefore possible to determine the likely impacts of the proposal. However, appropriate conditions can be applied to ensure that this information is supplied and agreed by the Local Planning Authority prior to the commencement of the use. </w:t>
      </w:r>
    </w:p>
    <w:p w14:paraId="3046725C" w14:textId="342DC57C" w:rsidR="00DC6DAB" w:rsidRPr="00DC6DAB" w:rsidRDefault="00DC6DAB" w:rsidP="00DC6DAB">
      <w:pPr>
        <w:ind w:left="284" w:right="379"/>
        <w:jc w:val="both"/>
        <w:rPr>
          <w:i/>
          <w:iCs/>
          <w:sz w:val="24"/>
          <w:szCs w:val="24"/>
        </w:rPr>
      </w:pPr>
      <w:r w:rsidRPr="00DC6DAB">
        <w:rPr>
          <w:rFonts w:ascii="Trebuchet MS" w:hAnsi="Trebuchet MS"/>
          <w:i/>
          <w:iCs/>
          <w:szCs w:val="24"/>
        </w:rPr>
        <w:t>Noise would also be generated by deliveries and waste collection, and from patrons of the premises. It is therefore considered prudent to restrict the hours for deliveries, waste collection and the operation of the premises to protect the amenities of neighbouring owners and occupiers from the proposed development. Conditions are applied accordingly</w:t>
      </w:r>
      <w:r>
        <w:rPr>
          <w:rFonts w:ascii="Trebuchet MS" w:hAnsi="Trebuchet MS"/>
          <w:i/>
          <w:iCs/>
          <w:szCs w:val="24"/>
        </w:rPr>
        <w:t>.”</w:t>
      </w:r>
    </w:p>
    <w:p w14:paraId="44C3F24E" w14:textId="6CC8D4D8" w:rsidR="007373A6" w:rsidRDefault="00DC6DAB" w:rsidP="00DC6DAB">
      <w:pPr>
        <w:jc w:val="both"/>
        <w:rPr>
          <w:sz w:val="24"/>
          <w:szCs w:val="24"/>
        </w:rPr>
      </w:pPr>
      <w:r>
        <w:rPr>
          <w:sz w:val="24"/>
          <w:szCs w:val="24"/>
        </w:rPr>
        <w:t xml:space="preserve">So, </w:t>
      </w:r>
      <w:r w:rsidR="00744E54">
        <w:rPr>
          <w:sz w:val="24"/>
          <w:szCs w:val="24"/>
        </w:rPr>
        <w:t xml:space="preserve">since that application, </w:t>
      </w:r>
      <w:r>
        <w:rPr>
          <w:sz w:val="24"/>
          <w:szCs w:val="24"/>
        </w:rPr>
        <w:t>the current application/applicant has provided a comprehensive Noise Impact Assessment</w:t>
      </w:r>
      <w:r w:rsidR="00744E54">
        <w:rPr>
          <w:sz w:val="24"/>
          <w:szCs w:val="24"/>
        </w:rPr>
        <w:t xml:space="preserve"> from Syntegra Consulting, </w:t>
      </w:r>
      <w:r w:rsidR="007373A6">
        <w:rPr>
          <w:sz w:val="24"/>
          <w:szCs w:val="24"/>
        </w:rPr>
        <w:t xml:space="preserve">May 2024, </w:t>
      </w:r>
      <w:r w:rsidR="00744E54">
        <w:rPr>
          <w:sz w:val="24"/>
          <w:szCs w:val="24"/>
        </w:rPr>
        <w:t>which concludes</w:t>
      </w:r>
      <w:r w:rsidR="007373A6">
        <w:rPr>
          <w:sz w:val="24"/>
          <w:szCs w:val="24"/>
        </w:rPr>
        <w:t xml:space="preserve">: </w:t>
      </w:r>
    </w:p>
    <w:p w14:paraId="0C4C8E84" w14:textId="022ABE6F" w:rsidR="007373A6" w:rsidRPr="007373A6" w:rsidRDefault="007373A6" w:rsidP="007373A6">
      <w:pPr>
        <w:ind w:left="284"/>
        <w:jc w:val="both"/>
        <w:rPr>
          <w:rFonts w:ascii="Abadi" w:hAnsi="Abadi"/>
          <w:i/>
          <w:iCs/>
          <w:sz w:val="24"/>
          <w:szCs w:val="24"/>
        </w:rPr>
      </w:pPr>
      <w:r w:rsidRPr="007373A6">
        <w:rPr>
          <w:rFonts w:ascii="Abadi" w:hAnsi="Abadi"/>
          <w:i/>
          <w:iCs/>
          <w:sz w:val="24"/>
          <w:szCs w:val="24"/>
        </w:rPr>
        <w:t>The proposal is to extend the operating hours of the existing plant installation at the site to 0700hrs -2100hrs.</w:t>
      </w:r>
      <w:r>
        <w:rPr>
          <w:rFonts w:ascii="Abadi" w:hAnsi="Abadi"/>
          <w:i/>
          <w:iCs/>
          <w:sz w:val="24"/>
          <w:szCs w:val="24"/>
        </w:rPr>
        <w:t xml:space="preserve"> </w:t>
      </w:r>
      <w:r w:rsidRPr="007373A6">
        <w:rPr>
          <w:rFonts w:ascii="Abadi" w:hAnsi="Abadi"/>
          <w:i/>
          <w:iCs/>
          <w:sz w:val="24"/>
          <w:szCs w:val="24"/>
        </w:rPr>
        <w:t xml:space="preserve">The report assesses, through on-site noise measurements, the impact of the proposed plant on the surrounding noise sensitive receptors. </w:t>
      </w:r>
    </w:p>
    <w:p w14:paraId="70041FBD" w14:textId="77777777" w:rsidR="007373A6" w:rsidRPr="007373A6" w:rsidRDefault="007373A6" w:rsidP="007373A6">
      <w:pPr>
        <w:ind w:left="284"/>
        <w:jc w:val="both"/>
        <w:rPr>
          <w:rFonts w:ascii="Abadi" w:hAnsi="Abadi"/>
          <w:i/>
          <w:iCs/>
          <w:sz w:val="24"/>
          <w:szCs w:val="24"/>
        </w:rPr>
      </w:pPr>
      <w:r w:rsidRPr="007373A6">
        <w:rPr>
          <w:rFonts w:ascii="Abadi" w:hAnsi="Abadi"/>
          <w:i/>
          <w:iCs/>
          <w:sz w:val="24"/>
          <w:szCs w:val="24"/>
        </w:rPr>
        <w:t xml:space="preserve">The results of the assessment have identified: </w:t>
      </w:r>
    </w:p>
    <w:p w14:paraId="694281EE" w14:textId="77777777" w:rsidR="007373A6" w:rsidRPr="007373A6" w:rsidRDefault="007373A6" w:rsidP="007373A6">
      <w:pPr>
        <w:numPr>
          <w:ilvl w:val="0"/>
          <w:numId w:val="6"/>
        </w:numPr>
        <w:jc w:val="both"/>
        <w:rPr>
          <w:rFonts w:ascii="Abadi" w:hAnsi="Abadi"/>
          <w:i/>
          <w:iCs/>
          <w:sz w:val="24"/>
          <w:szCs w:val="24"/>
        </w:rPr>
      </w:pPr>
      <w:r w:rsidRPr="007373A6">
        <w:rPr>
          <w:rFonts w:ascii="Abadi" w:hAnsi="Abadi"/>
          <w:i/>
          <w:iCs/>
          <w:sz w:val="24"/>
          <w:szCs w:val="24"/>
        </w:rPr>
        <w:t xml:space="preserve">The plant as proposed would achieve an initial rating of a low impact at most. However, the noise level generated would not achieve the requirements of the Local Authority. </w:t>
      </w:r>
    </w:p>
    <w:p w14:paraId="7812F396" w14:textId="77777777" w:rsidR="007373A6" w:rsidRDefault="007373A6" w:rsidP="007373A6">
      <w:pPr>
        <w:numPr>
          <w:ilvl w:val="1"/>
          <w:numId w:val="7"/>
        </w:numPr>
        <w:ind w:left="709"/>
        <w:jc w:val="both"/>
        <w:rPr>
          <w:rFonts w:ascii="Abadi" w:hAnsi="Abadi"/>
          <w:i/>
          <w:iCs/>
          <w:sz w:val="24"/>
          <w:szCs w:val="24"/>
        </w:rPr>
      </w:pPr>
      <w:r w:rsidRPr="007373A6">
        <w:rPr>
          <w:rFonts w:ascii="Abadi" w:hAnsi="Abadi"/>
          <w:i/>
          <w:iCs/>
          <w:sz w:val="24"/>
          <w:szCs w:val="24"/>
        </w:rPr>
        <w:t xml:space="preserve">Further mitigation measures have been suggested </w:t>
      </w:r>
      <w:proofErr w:type="gramStart"/>
      <w:r w:rsidRPr="007373A6">
        <w:rPr>
          <w:rFonts w:ascii="Abadi" w:hAnsi="Abadi"/>
          <w:i/>
          <w:iCs/>
          <w:sz w:val="24"/>
          <w:szCs w:val="24"/>
        </w:rPr>
        <w:t>in order to</w:t>
      </w:r>
      <w:proofErr w:type="gramEnd"/>
      <w:r w:rsidRPr="007373A6">
        <w:rPr>
          <w:rFonts w:ascii="Abadi" w:hAnsi="Abadi"/>
          <w:i/>
          <w:iCs/>
          <w:sz w:val="24"/>
          <w:szCs w:val="24"/>
        </w:rPr>
        <w:t xml:space="preserve"> achieve the requirements of the Local Authority: </w:t>
      </w:r>
    </w:p>
    <w:p w14:paraId="377F736F" w14:textId="26B7E683" w:rsidR="007373A6" w:rsidRPr="007373A6" w:rsidRDefault="007373A6" w:rsidP="007373A6">
      <w:pPr>
        <w:ind w:left="709"/>
        <w:jc w:val="both"/>
        <w:rPr>
          <w:rFonts w:ascii="Abadi" w:hAnsi="Abadi"/>
          <w:i/>
          <w:iCs/>
          <w:sz w:val="24"/>
          <w:szCs w:val="24"/>
        </w:rPr>
      </w:pPr>
      <w:r w:rsidRPr="007373A6">
        <w:rPr>
          <w:rFonts w:ascii="Abadi" w:hAnsi="Abadi"/>
          <w:i/>
          <w:iCs/>
          <w:sz w:val="24"/>
          <w:szCs w:val="24"/>
        </w:rPr>
        <w:t xml:space="preserve">Operating the extractor fan at a lower fan speed </w:t>
      </w:r>
    </w:p>
    <w:p w14:paraId="2F7C3959" w14:textId="037F88D5" w:rsidR="007373A6" w:rsidRPr="007373A6" w:rsidRDefault="007373A6" w:rsidP="007373A6">
      <w:pPr>
        <w:ind w:left="709"/>
        <w:jc w:val="both"/>
        <w:rPr>
          <w:rFonts w:ascii="Abadi" w:hAnsi="Abadi"/>
          <w:i/>
          <w:iCs/>
          <w:sz w:val="24"/>
          <w:szCs w:val="24"/>
        </w:rPr>
      </w:pPr>
      <w:r w:rsidRPr="007373A6">
        <w:rPr>
          <w:rFonts w:ascii="Abadi" w:hAnsi="Abadi"/>
          <w:i/>
          <w:iCs/>
          <w:sz w:val="24"/>
          <w:szCs w:val="24"/>
        </w:rPr>
        <w:t>Installing</w:t>
      </w:r>
      <w:r w:rsidRPr="007373A6">
        <w:rPr>
          <w:rFonts w:ascii="Abadi" w:hAnsi="Abadi"/>
          <w:i/>
          <w:iCs/>
          <w:sz w:val="24"/>
          <w:szCs w:val="24"/>
        </w:rPr>
        <w:t xml:space="preserve"> an acoustically attenuated duct termination for the extract fan </w:t>
      </w:r>
    </w:p>
    <w:p w14:paraId="5C491B2C" w14:textId="77777777" w:rsidR="007373A6" w:rsidRPr="007373A6" w:rsidRDefault="007373A6" w:rsidP="007373A6">
      <w:pPr>
        <w:numPr>
          <w:ilvl w:val="1"/>
          <w:numId w:val="7"/>
        </w:numPr>
        <w:ind w:left="709"/>
        <w:jc w:val="both"/>
        <w:rPr>
          <w:rFonts w:ascii="Abadi" w:hAnsi="Abadi"/>
          <w:i/>
          <w:iCs/>
          <w:sz w:val="24"/>
          <w:szCs w:val="24"/>
        </w:rPr>
      </w:pPr>
      <w:r w:rsidRPr="007373A6">
        <w:rPr>
          <w:rFonts w:ascii="Abadi" w:hAnsi="Abadi"/>
          <w:i/>
          <w:iCs/>
          <w:sz w:val="24"/>
          <w:szCs w:val="24"/>
        </w:rPr>
        <w:t xml:space="preserve">Subject to the installation of appropriate mitigation measures to achieve 4 dBA reduction in noise levels, the proposal will meet the requirement of the Local Authority. </w:t>
      </w:r>
    </w:p>
    <w:p w14:paraId="5C5A2421" w14:textId="69BED4A5" w:rsidR="00DC6DAB" w:rsidRDefault="007373A6" w:rsidP="007373A6">
      <w:pPr>
        <w:ind w:left="284"/>
        <w:jc w:val="both"/>
        <w:rPr>
          <w:rFonts w:ascii="Abadi" w:hAnsi="Abadi"/>
          <w:i/>
          <w:iCs/>
          <w:sz w:val="24"/>
          <w:szCs w:val="24"/>
        </w:rPr>
      </w:pPr>
      <w:r w:rsidRPr="007373A6">
        <w:rPr>
          <w:rFonts w:ascii="Abadi" w:hAnsi="Abadi"/>
          <w:i/>
          <w:iCs/>
          <w:sz w:val="24"/>
          <w:szCs w:val="24"/>
        </w:rPr>
        <w:t>Achievement of the target noise criteria will ensure compliance with the aims of the NPPF and the PPG in that it will avoid noise from giving rise to significant adverse impacts on health or quality of life on nearby noise sensitive receptors.</w:t>
      </w:r>
    </w:p>
    <w:p w14:paraId="07FEBF6D" w14:textId="77777777" w:rsidR="007F30B5" w:rsidRDefault="007373A6" w:rsidP="007F30B5">
      <w:pPr>
        <w:ind w:left="-142"/>
        <w:jc w:val="both"/>
        <w:rPr>
          <w:sz w:val="24"/>
          <w:szCs w:val="24"/>
        </w:rPr>
      </w:pPr>
      <w:r>
        <w:rPr>
          <w:sz w:val="24"/>
          <w:szCs w:val="24"/>
        </w:rPr>
        <w:t xml:space="preserve">So, </w:t>
      </w:r>
      <w:r w:rsidR="007F30B5">
        <w:rPr>
          <w:sz w:val="24"/>
          <w:szCs w:val="24"/>
        </w:rPr>
        <w:t xml:space="preserve">we assume the Environmental Health Officer will be consulted as part of this revised application, and </w:t>
      </w:r>
      <w:proofErr w:type="gramStart"/>
      <w:r w:rsidR="007F30B5">
        <w:rPr>
          <w:sz w:val="24"/>
          <w:szCs w:val="24"/>
        </w:rPr>
        <w:t>clearly</w:t>
      </w:r>
      <w:proofErr w:type="gramEnd"/>
      <w:r w:rsidR="007F30B5">
        <w:rPr>
          <w:sz w:val="24"/>
          <w:szCs w:val="24"/>
        </w:rPr>
        <w:t xml:space="preserve"> we would appreciate the opportunity to respond to any comments they may have, and re-consult with our own Consultants again, if necessary. </w:t>
      </w:r>
    </w:p>
    <w:p w14:paraId="498C8557" w14:textId="77777777" w:rsidR="007F30B5" w:rsidRDefault="007F30B5" w:rsidP="007F30B5">
      <w:pPr>
        <w:ind w:left="-142"/>
        <w:jc w:val="both"/>
        <w:rPr>
          <w:sz w:val="24"/>
          <w:szCs w:val="24"/>
        </w:rPr>
      </w:pPr>
      <w:r>
        <w:rPr>
          <w:sz w:val="24"/>
          <w:szCs w:val="24"/>
        </w:rPr>
        <w:t xml:space="preserve">ODOURS and FUMES:  It is understood the existing extractor system will be sufficient for the new take-away use, however again if the Environmental health Officer has any comments or concerns, we would be happy to respond. </w:t>
      </w:r>
    </w:p>
    <w:p w14:paraId="1B497D07" w14:textId="77777777" w:rsidR="00357824" w:rsidRDefault="00357824" w:rsidP="007F30B5">
      <w:pPr>
        <w:ind w:left="-142"/>
        <w:jc w:val="both"/>
        <w:rPr>
          <w:sz w:val="24"/>
          <w:szCs w:val="24"/>
        </w:rPr>
      </w:pPr>
    </w:p>
    <w:tbl>
      <w:tblPr>
        <w:tblStyle w:val="TableGrid"/>
        <w:tblW w:w="0" w:type="auto"/>
        <w:tblInd w:w="-142" w:type="dxa"/>
        <w:tblLook w:val="04A0" w:firstRow="1" w:lastRow="0" w:firstColumn="1" w:lastColumn="0" w:noHBand="0" w:noVBand="1"/>
      </w:tblPr>
      <w:tblGrid>
        <w:gridCol w:w="1838"/>
      </w:tblGrid>
      <w:tr w:rsidR="007F30B5" w:rsidRPr="007F30B5" w14:paraId="08F22024" w14:textId="77777777" w:rsidTr="007F30B5">
        <w:tc>
          <w:tcPr>
            <w:tcW w:w="1838" w:type="dxa"/>
            <w:shd w:val="clear" w:color="auto" w:fill="D9E2F3" w:themeFill="accent1" w:themeFillTint="33"/>
          </w:tcPr>
          <w:p w14:paraId="2E0B7772" w14:textId="77777777" w:rsidR="007F30B5" w:rsidRPr="007F30B5" w:rsidRDefault="007F30B5" w:rsidP="004866EB">
            <w:pPr>
              <w:jc w:val="both"/>
              <w:rPr>
                <w:sz w:val="24"/>
                <w:szCs w:val="24"/>
              </w:rPr>
            </w:pPr>
            <w:r w:rsidRPr="007F30B5">
              <w:rPr>
                <w:sz w:val="24"/>
                <w:szCs w:val="24"/>
              </w:rPr>
              <w:t xml:space="preserve">PARKING: </w:t>
            </w:r>
          </w:p>
        </w:tc>
      </w:tr>
    </w:tbl>
    <w:p w14:paraId="3AC80715" w14:textId="77777777" w:rsidR="007F30B5" w:rsidRDefault="007F30B5" w:rsidP="007F30B5">
      <w:pPr>
        <w:ind w:left="-142"/>
        <w:jc w:val="both"/>
        <w:rPr>
          <w:sz w:val="24"/>
          <w:szCs w:val="24"/>
        </w:rPr>
      </w:pPr>
    </w:p>
    <w:p w14:paraId="17118A5F" w14:textId="1D4D3181" w:rsidR="007F30B5" w:rsidRDefault="007F30B5" w:rsidP="007F30B5">
      <w:pPr>
        <w:ind w:left="-142"/>
        <w:jc w:val="both"/>
        <w:rPr>
          <w:sz w:val="24"/>
          <w:szCs w:val="24"/>
        </w:rPr>
      </w:pPr>
      <w:r>
        <w:rPr>
          <w:sz w:val="24"/>
          <w:szCs w:val="24"/>
        </w:rPr>
        <w:t xml:space="preserve">Finally, as previously stated in the 2018 officers </w:t>
      </w:r>
      <w:proofErr w:type="gramStart"/>
      <w:r>
        <w:rPr>
          <w:sz w:val="24"/>
          <w:szCs w:val="24"/>
        </w:rPr>
        <w:t>report;</w:t>
      </w:r>
      <w:proofErr w:type="gramEnd"/>
      <w:r>
        <w:rPr>
          <w:sz w:val="24"/>
          <w:szCs w:val="24"/>
        </w:rPr>
        <w:t xml:space="preserve"> </w:t>
      </w:r>
    </w:p>
    <w:p w14:paraId="1C94C7EF" w14:textId="13F4A787" w:rsidR="007F30B5" w:rsidRPr="007F30B5" w:rsidRDefault="007F30B5" w:rsidP="007F30B5">
      <w:pPr>
        <w:spacing w:line="240" w:lineRule="auto"/>
        <w:ind w:left="284" w:right="521"/>
        <w:jc w:val="both"/>
        <w:rPr>
          <w:rFonts w:ascii="Trebuchet MS" w:hAnsi="Trebuchet MS"/>
          <w:i/>
          <w:iCs/>
          <w:szCs w:val="24"/>
        </w:rPr>
      </w:pPr>
      <w:r>
        <w:rPr>
          <w:rFonts w:ascii="Trebuchet MS" w:hAnsi="Trebuchet MS"/>
          <w:i/>
          <w:iCs/>
          <w:szCs w:val="24"/>
        </w:rPr>
        <w:t>“</w:t>
      </w:r>
      <w:r w:rsidRPr="007F30B5">
        <w:rPr>
          <w:rFonts w:ascii="Trebuchet MS" w:hAnsi="Trebuchet MS"/>
          <w:i/>
          <w:iCs/>
          <w:szCs w:val="24"/>
        </w:rPr>
        <w:t xml:space="preserve">The site is located within Zone 3, Secondary Core Area of the Council’s Parking Standards and Design SPD. This zone is within 400m walking distance of a high frequency bus service.  In accordance with the SPD, the proposed use would require an off-road parking provision of one space per 5sqm. The existing use requires a provision of one space per 40sqm. There is no formal off-road parking attributed to the premises. An area of hardstanding to the front of the premises is used informally for vehicle parking. In the consultation response received from Transport Development Control, concern was raised that the proposed use would generate a higher level of parking than the existing A1 use. The high level of on-street parking within the vicinity of the site was noted. </w:t>
      </w:r>
    </w:p>
    <w:p w14:paraId="49FC25D0" w14:textId="77777777" w:rsidR="007F30B5" w:rsidRPr="007F30B5" w:rsidRDefault="007F30B5" w:rsidP="007F30B5">
      <w:pPr>
        <w:spacing w:line="240" w:lineRule="auto"/>
        <w:ind w:left="284" w:right="521"/>
        <w:jc w:val="both"/>
        <w:rPr>
          <w:rFonts w:ascii="Trebuchet MS" w:hAnsi="Trebuchet MS"/>
          <w:i/>
          <w:iCs/>
          <w:szCs w:val="24"/>
        </w:rPr>
      </w:pPr>
      <w:r w:rsidRPr="007F30B5">
        <w:rPr>
          <w:rFonts w:ascii="Trebuchet MS" w:hAnsi="Trebuchet MS"/>
          <w:i/>
          <w:iCs/>
          <w:szCs w:val="24"/>
        </w:rPr>
        <w:t xml:space="preserve">The site is located within Whitley Wood Local Centre and forms part of an identified Key Frontage. At the time of the officers site visit, the Key Frontage contained seven units including a Co-op supermarket, a betting shop and a pharmacy. Policy DM13 seeks to protect and enhance the network of district and local centres across the Borough. These centres ensure that services are provided close to people’s homes and provide a heart to Reading’s various communities. The policy seeks a diverse range of services within each centre, with a strong retail element maintained.   </w:t>
      </w:r>
    </w:p>
    <w:p w14:paraId="69438683" w14:textId="77777777" w:rsidR="007F30B5" w:rsidRPr="007F30B5" w:rsidRDefault="007F30B5" w:rsidP="007F30B5">
      <w:pPr>
        <w:spacing w:line="240" w:lineRule="auto"/>
        <w:ind w:left="284" w:right="521"/>
        <w:jc w:val="both"/>
        <w:rPr>
          <w:rFonts w:ascii="Trebuchet MS" w:hAnsi="Trebuchet MS"/>
          <w:i/>
          <w:iCs/>
          <w:szCs w:val="24"/>
        </w:rPr>
      </w:pPr>
      <w:r w:rsidRPr="007F30B5">
        <w:rPr>
          <w:rFonts w:ascii="Trebuchet MS" w:hAnsi="Trebuchet MS"/>
          <w:i/>
          <w:iCs/>
          <w:szCs w:val="24"/>
        </w:rPr>
        <w:t xml:space="preserve">It is accepted that the proposal would reduce the number of A1 units within the local centre. However, all other units fall within A1 and A2 type uses. </w:t>
      </w:r>
      <w:r w:rsidRPr="007F30B5">
        <w:rPr>
          <w:rFonts w:ascii="Trebuchet MS" w:hAnsi="Trebuchet MS"/>
          <w:i/>
          <w:iCs/>
          <w:szCs w:val="24"/>
          <w:u w:val="single"/>
        </w:rPr>
        <w:t>The introduction of an A3 use to the local centre is considered to diversify its appeal</w:t>
      </w:r>
      <w:r w:rsidRPr="007F30B5">
        <w:rPr>
          <w:rFonts w:ascii="Trebuchet MS" w:hAnsi="Trebuchet MS"/>
          <w:i/>
          <w:iCs/>
          <w:szCs w:val="24"/>
        </w:rPr>
        <w:t xml:space="preserve">. </w:t>
      </w:r>
      <w:r w:rsidRPr="007F30B5">
        <w:rPr>
          <w:rFonts w:ascii="Trebuchet MS" w:hAnsi="Trebuchet MS"/>
          <w:i/>
          <w:iCs/>
          <w:szCs w:val="24"/>
          <w:u w:val="single"/>
        </w:rPr>
        <w:t>It is expected that a significant proportion of the patrons to any of the existing units live within a short walk of the local centre. The local centre is also well served by high frequency bus routes. It is anticipated that a significant proportion of the future patrons of the proposed use already frequent the other facilities in the local centre. The proposed change of use is not therefore considered to substantial alter the number of trips and parking demand generated. On balance, it is considered that the proposal would not have a material detrimental impact on the functioning of the transport network in accordance with Policy DM12 of the Sites and Detailed Policies Document</w:t>
      </w:r>
      <w:r w:rsidRPr="007F30B5">
        <w:rPr>
          <w:rFonts w:ascii="Trebuchet MS" w:hAnsi="Trebuchet MS"/>
          <w:i/>
          <w:iCs/>
          <w:szCs w:val="24"/>
        </w:rPr>
        <w:t xml:space="preserve">. </w:t>
      </w:r>
    </w:p>
    <w:p w14:paraId="5E8C2EBF" w14:textId="161F5788" w:rsidR="007F30B5" w:rsidRPr="007F30B5" w:rsidRDefault="007F30B5" w:rsidP="007F30B5">
      <w:pPr>
        <w:spacing w:line="240" w:lineRule="auto"/>
        <w:ind w:left="284" w:right="521"/>
        <w:jc w:val="both"/>
        <w:rPr>
          <w:rFonts w:ascii="Trebuchet MS" w:hAnsi="Trebuchet MS"/>
          <w:i/>
          <w:iCs/>
          <w:szCs w:val="24"/>
        </w:rPr>
      </w:pPr>
      <w:r w:rsidRPr="007F30B5">
        <w:rPr>
          <w:rFonts w:ascii="Trebuchet MS" w:hAnsi="Trebuchet MS"/>
          <w:i/>
          <w:iCs/>
          <w:szCs w:val="24"/>
        </w:rPr>
        <w:t>As detail of deliveries and servicing arrangements have not been provided with the application, appropriate conditions will be applied to ensure that this information is approved by the LPA prior to the commencement of the development.</w:t>
      </w:r>
      <w:r>
        <w:rPr>
          <w:rFonts w:ascii="Trebuchet MS" w:hAnsi="Trebuchet MS"/>
          <w:i/>
          <w:iCs/>
          <w:szCs w:val="24"/>
        </w:rPr>
        <w:t>”</w:t>
      </w:r>
      <w:r w:rsidRPr="007F30B5">
        <w:rPr>
          <w:rFonts w:ascii="Trebuchet MS" w:hAnsi="Trebuchet MS"/>
          <w:i/>
          <w:iCs/>
          <w:szCs w:val="24"/>
        </w:rPr>
        <w:t xml:space="preserve"> </w:t>
      </w:r>
    </w:p>
    <w:p w14:paraId="54BB6DC9" w14:textId="77777777" w:rsidR="00B85796" w:rsidRDefault="00FC0907" w:rsidP="007F30B5">
      <w:pPr>
        <w:ind w:left="-142"/>
        <w:jc w:val="both"/>
        <w:rPr>
          <w:sz w:val="24"/>
          <w:szCs w:val="24"/>
        </w:rPr>
      </w:pPr>
      <w:r>
        <w:rPr>
          <w:sz w:val="24"/>
          <w:szCs w:val="24"/>
        </w:rPr>
        <w:t>We would suggest the parking – highways generation with this take-away use might be l</w:t>
      </w:r>
      <w:r w:rsidR="00B85796">
        <w:rPr>
          <w:sz w:val="24"/>
          <w:szCs w:val="24"/>
        </w:rPr>
        <w:t>ower</w:t>
      </w:r>
      <w:r>
        <w:rPr>
          <w:sz w:val="24"/>
          <w:szCs w:val="24"/>
        </w:rPr>
        <w:t xml:space="preserve">, as </w:t>
      </w:r>
      <w:r w:rsidR="00B85796">
        <w:rPr>
          <w:sz w:val="24"/>
          <w:szCs w:val="24"/>
        </w:rPr>
        <w:t xml:space="preserve">the restaurant element would go, and therefore only local take-aways could generally be offered to </w:t>
      </w:r>
      <w:proofErr w:type="gramStart"/>
      <w:r w:rsidR="00B85796">
        <w:rPr>
          <w:sz w:val="24"/>
          <w:szCs w:val="24"/>
        </w:rPr>
        <w:t>local residents</w:t>
      </w:r>
      <w:proofErr w:type="gramEnd"/>
      <w:r w:rsidR="00B85796">
        <w:rPr>
          <w:sz w:val="24"/>
          <w:szCs w:val="24"/>
        </w:rPr>
        <w:t xml:space="preserve">. </w:t>
      </w:r>
    </w:p>
    <w:p w14:paraId="48BD2DD9" w14:textId="7F5AAD68" w:rsidR="007F30B5" w:rsidRDefault="00B85796" w:rsidP="007F30B5">
      <w:pPr>
        <w:ind w:left="-142"/>
        <w:jc w:val="both"/>
        <w:rPr>
          <w:sz w:val="24"/>
          <w:szCs w:val="24"/>
        </w:rPr>
      </w:pPr>
      <w:r>
        <w:rPr>
          <w:sz w:val="24"/>
          <w:szCs w:val="24"/>
        </w:rPr>
        <w:t xml:space="preserve">Consequently, we feel the traffic levels – demand would lower, and as stated above, </w:t>
      </w:r>
      <w:r w:rsidRPr="00B85796">
        <w:rPr>
          <w:sz w:val="24"/>
          <w:szCs w:val="24"/>
        </w:rPr>
        <w:t xml:space="preserve">there is also a good frequent bus service too. However, again we would be delighted to respond to the </w:t>
      </w:r>
      <w:r w:rsidRPr="00B85796">
        <w:rPr>
          <w:sz w:val="24"/>
          <w:szCs w:val="24"/>
        </w:rPr>
        <w:t>Transport Development Control</w:t>
      </w:r>
      <w:r w:rsidRPr="00B85796">
        <w:rPr>
          <w:sz w:val="24"/>
          <w:szCs w:val="24"/>
        </w:rPr>
        <w:t xml:space="preserve"> Officers response, if necessary.    </w:t>
      </w:r>
    </w:p>
    <w:p w14:paraId="28BE0925" w14:textId="77777777" w:rsidR="00357824" w:rsidRDefault="00357824" w:rsidP="007F30B5">
      <w:pPr>
        <w:ind w:left="-142"/>
        <w:jc w:val="both"/>
        <w:rPr>
          <w:sz w:val="24"/>
          <w:szCs w:val="24"/>
        </w:rPr>
      </w:pPr>
    </w:p>
    <w:p w14:paraId="2890AC84" w14:textId="77777777" w:rsidR="00357824" w:rsidRDefault="00357824" w:rsidP="007F30B5">
      <w:pPr>
        <w:ind w:left="-142"/>
        <w:jc w:val="both"/>
        <w:rPr>
          <w:sz w:val="24"/>
          <w:szCs w:val="24"/>
        </w:rPr>
      </w:pPr>
    </w:p>
    <w:p w14:paraId="4928B5CF" w14:textId="77777777" w:rsidR="00357824" w:rsidRDefault="00357824" w:rsidP="007F30B5">
      <w:pPr>
        <w:ind w:left="-142"/>
        <w:jc w:val="both"/>
        <w:rPr>
          <w:sz w:val="24"/>
          <w:szCs w:val="24"/>
        </w:rPr>
      </w:pPr>
    </w:p>
    <w:tbl>
      <w:tblPr>
        <w:tblStyle w:val="TableGrid"/>
        <w:tblW w:w="0" w:type="auto"/>
        <w:tblInd w:w="-142" w:type="dxa"/>
        <w:tblLook w:val="04A0" w:firstRow="1" w:lastRow="0" w:firstColumn="1" w:lastColumn="0" w:noHBand="0" w:noVBand="1"/>
      </w:tblPr>
      <w:tblGrid>
        <w:gridCol w:w="2122"/>
      </w:tblGrid>
      <w:tr w:rsidR="00B85796" w:rsidRPr="00B85796" w14:paraId="50C22772" w14:textId="77777777" w:rsidTr="00B85796">
        <w:tc>
          <w:tcPr>
            <w:tcW w:w="2122" w:type="dxa"/>
            <w:shd w:val="clear" w:color="auto" w:fill="D9E2F3" w:themeFill="accent1" w:themeFillTint="33"/>
          </w:tcPr>
          <w:p w14:paraId="524589BE" w14:textId="77777777" w:rsidR="00B85796" w:rsidRPr="00B85796" w:rsidRDefault="00B85796" w:rsidP="00B46B9E">
            <w:pPr>
              <w:jc w:val="both"/>
              <w:rPr>
                <w:sz w:val="24"/>
                <w:szCs w:val="24"/>
              </w:rPr>
            </w:pPr>
            <w:r w:rsidRPr="00B85796">
              <w:rPr>
                <w:sz w:val="24"/>
                <w:szCs w:val="24"/>
              </w:rPr>
              <w:t xml:space="preserve">CONCLUSION: </w:t>
            </w:r>
          </w:p>
        </w:tc>
      </w:tr>
    </w:tbl>
    <w:p w14:paraId="19940946" w14:textId="77777777" w:rsidR="00B85796" w:rsidRDefault="007F30B5" w:rsidP="007F30B5">
      <w:pPr>
        <w:ind w:left="-142"/>
        <w:jc w:val="both"/>
        <w:rPr>
          <w:sz w:val="24"/>
          <w:szCs w:val="24"/>
        </w:rPr>
      </w:pPr>
      <w:r>
        <w:rPr>
          <w:sz w:val="24"/>
          <w:szCs w:val="24"/>
        </w:rPr>
        <w:t xml:space="preserve"> </w:t>
      </w:r>
    </w:p>
    <w:p w14:paraId="6B540A2B" w14:textId="77777777" w:rsidR="00B85796" w:rsidRDefault="00B85796" w:rsidP="007F30B5">
      <w:pPr>
        <w:ind w:left="-142"/>
        <w:jc w:val="both"/>
        <w:rPr>
          <w:sz w:val="24"/>
          <w:szCs w:val="24"/>
        </w:rPr>
      </w:pPr>
      <w:r>
        <w:rPr>
          <w:sz w:val="24"/>
          <w:szCs w:val="24"/>
        </w:rPr>
        <w:t xml:space="preserve">This revised application, follows a recommendation by the Case Officer to withdraw a previous application in 2024, plus the promising support of the local Ward Councillor. </w:t>
      </w:r>
    </w:p>
    <w:p w14:paraId="5E5AF204" w14:textId="77777777" w:rsidR="00B85796" w:rsidRDefault="00B85796" w:rsidP="007F30B5">
      <w:pPr>
        <w:ind w:left="-142"/>
        <w:jc w:val="both"/>
        <w:rPr>
          <w:sz w:val="24"/>
          <w:szCs w:val="24"/>
        </w:rPr>
      </w:pPr>
      <w:r>
        <w:rPr>
          <w:sz w:val="24"/>
          <w:szCs w:val="24"/>
        </w:rPr>
        <w:t xml:space="preserve">With the right conditions imposed and the updated Noise Impact Assessment, it is considered we can work with the Council in ensuring the right hours, noise and odour questions, parking and broader </w:t>
      </w:r>
      <w:proofErr w:type="gramStart"/>
      <w:r>
        <w:rPr>
          <w:sz w:val="24"/>
          <w:szCs w:val="24"/>
        </w:rPr>
        <w:t>neighbours</w:t>
      </w:r>
      <w:proofErr w:type="gramEnd"/>
      <w:r>
        <w:rPr>
          <w:sz w:val="24"/>
          <w:szCs w:val="24"/>
        </w:rPr>
        <w:t xml:space="preserve"> amenity can be maintained and protected. However, if there is anything </w:t>
      </w:r>
      <w:proofErr w:type="gramStart"/>
      <w:r>
        <w:rPr>
          <w:sz w:val="24"/>
          <w:szCs w:val="24"/>
        </w:rPr>
        <w:t>further</w:t>
      </w:r>
      <w:proofErr w:type="gramEnd"/>
      <w:r>
        <w:rPr>
          <w:sz w:val="24"/>
          <w:szCs w:val="24"/>
        </w:rPr>
        <w:t xml:space="preserve"> we need to respond to, amend, ad to or whatever, please call me: </w:t>
      </w:r>
    </w:p>
    <w:p w14:paraId="3AC4F961" w14:textId="77777777" w:rsidR="00B85796" w:rsidRDefault="00B85796" w:rsidP="007F30B5">
      <w:pPr>
        <w:ind w:left="-142"/>
        <w:jc w:val="both"/>
        <w:rPr>
          <w:sz w:val="24"/>
          <w:szCs w:val="24"/>
        </w:rPr>
      </w:pPr>
    </w:p>
    <w:p w14:paraId="42BC016B" w14:textId="1E961359" w:rsidR="00B85796" w:rsidRDefault="00B85796" w:rsidP="007F30B5">
      <w:pPr>
        <w:ind w:left="-142"/>
        <w:jc w:val="both"/>
        <w:rPr>
          <w:sz w:val="24"/>
          <w:szCs w:val="24"/>
        </w:rPr>
      </w:pPr>
      <w:r>
        <w:rPr>
          <w:sz w:val="24"/>
          <w:szCs w:val="24"/>
        </w:rPr>
        <w:t xml:space="preserve">Colin </w:t>
      </w:r>
      <w:r w:rsidR="00357824">
        <w:rPr>
          <w:sz w:val="24"/>
          <w:szCs w:val="24"/>
        </w:rPr>
        <w:t>T</w:t>
      </w:r>
      <w:r>
        <w:rPr>
          <w:sz w:val="24"/>
          <w:szCs w:val="24"/>
        </w:rPr>
        <w:t>ebb, BA(</w:t>
      </w:r>
      <w:r w:rsidR="00357824">
        <w:rPr>
          <w:sz w:val="24"/>
          <w:szCs w:val="24"/>
        </w:rPr>
        <w:t>H</w:t>
      </w:r>
      <w:r>
        <w:rPr>
          <w:sz w:val="24"/>
          <w:szCs w:val="24"/>
        </w:rPr>
        <w:t xml:space="preserve">ons), </w:t>
      </w:r>
      <w:proofErr w:type="spellStart"/>
      <w:r>
        <w:rPr>
          <w:sz w:val="24"/>
          <w:szCs w:val="24"/>
        </w:rPr>
        <w:t>Btp</w:t>
      </w:r>
      <w:proofErr w:type="spellEnd"/>
      <w:r>
        <w:rPr>
          <w:sz w:val="24"/>
          <w:szCs w:val="24"/>
        </w:rPr>
        <w:t xml:space="preserve">. Planning Consultant. </w:t>
      </w:r>
    </w:p>
    <w:p w14:paraId="37C671AE" w14:textId="688B8BFC" w:rsidR="00B85796" w:rsidRDefault="00B85796" w:rsidP="007F30B5">
      <w:pPr>
        <w:ind w:left="-142"/>
        <w:jc w:val="both"/>
        <w:rPr>
          <w:sz w:val="24"/>
          <w:szCs w:val="24"/>
        </w:rPr>
      </w:pPr>
      <w:r>
        <w:rPr>
          <w:sz w:val="24"/>
          <w:szCs w:val="24"/>
        </w:rPr>
        <w:t xml:space="preserve">Email: </w:t>
      </w:r>
      <w:hyperlink r:id="rId9" w:history="1">
        <w:r w:rsidRPr="00DC52D3">
          <w:rPr>
            <w:rStyle w:val="Hyperlink"/>
            <w:sz w:val="24"/>
            <w:szCs w:val="24"/>
          </w:rPr>
          <w:t>dorsethome@btinternet.com</w:t>
        </w:r>
      </w:hyperlink>
    </w:p>
    <w:p w14:paraId="76C8A397" w14:textId="289CE1A9" w:rsidR="007373A6" w:rsidRPr="007373A6" w:rsidRDefault="00B85796" w:rsidP="007F30B5">
      <w:pPr>
        <w:ind w:left="-142"/>
        <w:jc w:val="both"/>
        <w:rPr>
          <w:rFonts w:ascii="Abadi" w:hAnsi="Abadi"/>
          <w:sz w:val="24"/>
          <w:szCs w:val="24"/>
        </w:rPr>
      </w:pPr>
      <w:r>
        <w:rPr>
          <w:sz w:val="24"/>
          <w:szCs w:val="24"/>
        </w:rPr>
        <w:t xml:space="preserve">TEL: 07824116423  </w:t>
      </w:r>
      <w:r w:rsidR="007F30B5">
        <w:rPr>
          <w:sz w:val="24"/>
          <w:szCs w:val="24"/>
        </w:rPr>
        <w:t xml:space="preserve"> </w:t>
      </w:r>
    </w:p>
    <w:sectPr w:rsidR="007373A6" w:rsidRPr="007373A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73E0C" w14:textId="77777777" w:rsidR="00357824" w:rsidRDefault="00357824" w:rsidP="00357824">
      <w:pPr>
        <w:spacing w:after="0" w:line="240" w:lineRule="auto"/>
      </w:pPr>
      <w:r>
        <w:separator/>
      </w:r>
    </w:p>
  </w:endnote>
  <w:endnote w:type="continuationSeparator" w:id="0">
    <w:p w14:paraId="20806441" w14:textId="77777777" w:rsidR="00357824" w:rsidRDefault="00357824" w:rsidP="00357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badi">
    <w:charset w:val="00"/>
    <w:family w:val="swiss"/>
    <w:pitch w:val="variable"/>
    <w:sig w:usb0="8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143227"/>
      <w:docPartObj>
        <w:docPartGallery w:val="Page Numbers (Bottom of Page)"/>
        <w:docPartUnique/>
      </w:docPartObj>
    </w:sdtPr>
    <w:sdtEndPr>
      <w:rPr>
        <w:color w:val="7F7F7F" w:themeColor="background1" w:themeShade="7F"/>
        <w:spacing w:val="60"/>
      </w:rPr>
    </w:sdtEndPr>
    <w:sdtContent>
      <w:p w14:paraId="5529DA6E" w14:textId="3F94B582" w:rsidR="00357824" w:rsidRDefault="0035782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E5A560C" w14:textId="77777777" w:rsidR="00357824" w:rsidRDefault="00357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FD45F" w14:textId="77777777" w:rsidR="00357824" w:rsidRDefault="00357824" w:rsidP="00357824">
      <w:pPr>
        <w:spacing w:after="0" w:line="240" w:lineRule="auto"/>
      </w:pPr>
      <w:r>
        <w:separator/>
      </w:r>
    </w:p>
  </w:footnote>
  <w:footnote w:type="continuationSeparator" w:id="0">
    <w:p w14:paraId="7FD0CCCF" w14:textId="77777777" w:rsidR="00357824" w:rsidRDefault="00357824" w:rsidP="003578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65121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A14C88"/>
    <w:multiLevelType w:val="hybridMultilevel"/>
    <w:tmpl w:val="C2E6778E"/>
    <w:lvl w:ilvl="0" w:tplc="FFFFFFFF">
      <w:start w:val="1"/>
      <w:numFmt w:val="bullet"/>
      <w:lvlText w:val=""/>
      <w:lvlJc w:val="left"/>
      <w:pPr>
        <w:ind w:left="795" w:hanging="360"/>
      </w:pPr>
      <w:rPr>
        <w:rFonts w:ascii="Wingdings" w:hAnsi="Wingdings" w:hint="default"/>
      </w:rPr>
    </w:lvl>
    <w:lvl w:ilvl="1" w:tplc="08090009">
      <w:start w:val="1"/>
      <w:numFmt w:val="bullet"/>
      <w:lvlText w:val=""/>
      <w:lvlJc w:val="left"/>
      <w:pPr>
        <w:ind w:left="1515" w:hanging="360"/>
      </w:pPr>
      <w:rPr>
        <w:rFonts w:ascii="Wingdings" w:hAnsi="Wingdings" w:hint="default"/>
      </w:rPr>
    </w:lvl>
    <w:lvl w:ilvl="2" w:tplc="FFFFFFFF" w:tentative="1">
      <w:start w:val="1"/>
      <w:numFmt w:val="bullet"/>
      <w:lvlText w:val=""/>
      <w:lvlJc w:val="left"/>
      <w:pPr>
        <w:ind w:left="2235" w:hanging="360"/>
      </w:pPr>
      <w:rPr>
        <w:rFonts w:ascii="Wingdings" w:hAnsi="Wingdings" w:hint="default"/>
      </w:rPr>
    </w:lvl>
    <w:lvl w:ilvl="3" w:tplc="FFFFFFFF" w:tentative="1">
      <w:start w:val="1"/>
      <w:numFmt w:val="bullet"/>
      <w:lvlText w:val=""/>
      <w:lvlJc w:val="left"/>
      <w:pPr>
        <w:ind w:left="2955" w:hanging="360"/>
      </w:pPr>
      <w:rPr>
        <w:rFonts w:ascii="Symbol" w:hAnsi="Symbol" w:hint="default"/>
      </w:rPr>
    </w:lvl>
    <w:lvl w:ilvl="4" w:tplc="FFFFFFFF" w:tentative="1">
      <w:start w:val="1"/>
      <w:numFmt w:val="bullet"/>
      <w:lvlText w:val="o"/>
      <w:lvlJc w:val="left"/>
      <w:pPr>
        <w:ind w:left="3675" w:hanging="360"/>
      </w:pPr>
      <w:rPr>
        <w:rFonts w:ascii="Courier New" w:hAnsi="Courier New" w:cs="Courier New" w:hint="default"/>
      </w:rPr>
    </w:lvl>
    <w:lvl w:ilvl="5" w:tplc="FFFFFFFF" w:tentative="1">
      <w:start w:val="1"/>
      <w:numFmt w:val="bullet"/>
      <w:lvlText w:val=""/>
      <w:lvlJc w:val="left"/>
      <w:pPr>
        <w:ind w:left="4395" w:hanging="360"/>
      </w:pPr>
      <w:rPr>
        <w:rFonts w:ascii="Wingdings" w:hAnsi="Wingdings" w:hint="default"/>
      </w:rPr>
    </w:lvl>
    <w:lvl w:ilvl="6" w:tplc="FFFFFFFF" w:tentative="1">
      <w:start w:val="1"/>
      <w:numFmt w:val="bullet"/>
      <w:lvlText w:val=""/>
      <w:lvlJc w:val="left"/>
      <w:pPr>
        <w:ind w:left="5115" w:hanging="360"/>
      </w:pPr>
      <w:rPr>
        <w:rFonts w:ascii="Symbol" w:hAnsi="Symbol" w:hint="default"/>
      </w:rPr>
    </w:lvl>
    <w:lvl w:ilvl="7" w:tplc="FFFFFFFF" w:tentative="1">
      <w:start w:val="1"/>
      <w:numFmt w:val="bullet"/>
      <w:lvlText w:val="o"/>
      <w:lvlJc w:val="left"/>
      <w:pPr>
        <w:ind w:left="5835" w:hanging="360"/>
      </w:pPr>
      <w:rPr>
        <w:rFonts w:ascii="Courier New" w:hAnsi="Courier New" w:cs="Courier New" w:hint="default"/>
      </w:rPr>
    </w:lvl>
    <w:lvl w:ilvl="8" w:tplc="FFFFFFFF" w:tentative="1">
      <w:start w:val="1"/>
      <w:numFmt w:val="bullet"/>
      <w:lvlText w:val=""/>
      <w:lvlJc w:val="left"/>
      <w:pPr>
        <w:ind w:left="6555" w:hanging="360"/>
      </w:pPr>
      <w:rPr>
        <w:rFonts w:ascii="Wingdings" w:hAnsi="Wingdings" w:hint="default"/>
      </w:rPr>
    </w:lvl>
  </w:abstractNum>
  <w:abstractNum w:abstractNumId="2" w15:restartNumberingAfterBreak="0">
    <w:nsid w:val="0D0D4CF8"/>
    <w:multiLevelType w:val="hybridMultilevel"/>
    <w:tmpl w:val="1DE2D63A"/>
    <w:lvl w:ilvl="0" w:tplc="FFFFFFFF">
      <w:start w:val="1"/>
      <w:numFmt w:val="bullet"/>
      <w:lvlText w:val=""/>
      <w:lvlJc w:val="left"/>
      <w:pPr>
        <w:ind w:left="720" w:hanging="360"/>
      </w:pPr>
      <w:rPr>
        <w:rFonts w:ascii="Wingdings" w:hAnsi="Wingdings" w:hint="default"/>
      </w:rPr>
    </w:lvl>
    <w:lvl w:ilvl="1" w:tplc="0809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2D174E"/>
    <w:multiLevelType w:val="hybridMultilevel"/>
    <w:tmpl w:val="7230179E"/>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3F58EE"/>
    <w:multiLevelType w:val="hybridMultilevel"/>
    <w:tmpl w:val="DCE26BFC"/>
    <w:lvl w:ilvl="0" w:tplc="08090009">
      <w:start w:val="1"/>
      <w:numFmt w:val="bullet"/>
      <w:lvlText w:val=""/>
      <w:lvlJc w:val="left"/>
      <w:pPr>
        <w:ind w:left="795" w:hanging="360"/>
      </w:pPr>
      <w:rPr>
        <w:rFonts w:ascii="Wingdings" w:hAnsi="Wingdings" w:hint="default"/>
      </w:rPr>
    </w:lvl>
    <w:lvl w:ilvl="1" w:tplc="08090003">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5" w15:restartNumberingAfterBreak="0">
    <w:nsid w:val="418711EA"/>
    <w:multiLevelType w:val="hybridMultilevel"/>
    <w:tmpl w:val="D1E8378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5D142E"/>
    <w:multiLevelType w:val="hybridMultilevel"/>
    <w:tmpl w:val="349EDE4A"/>
    <w:lvl w:ilvl="0" w:tplc="08090009">
      <w:start w:val="1"/>
      <w:numFmt w:val="bullet"/>
      <w:lvlText w:val=""/>
      <w:lvlJc w:val="left"/>
      <w:pPr>
        <w:ind w:left="795" w:hanging="360"/>
      </w:pPr>
      <w:rPr>
        <w:rFonts w:ascii="Wingdings" w:hAnsi="Wingdings"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num w:numId="1" w16cid:durableId="1202282710">
    <w:abstractNumId w:val="5"/>
  </w:num>
  <w:num w:numId="2" w16cid:durableId="1152871893">
    <w:abstractNumId w:val="6"/>
  </w:num>
  <w:num w:numId="3" w16cid:durableId="1967226490">
    <w:abstractNumId w:val="0"/>
  </w:num>
  <w:num w:numId="4" w16cid:durableId="61564481">
    <w:abstractNumId w:val="4"/>
  </w:num>
  <w:num w:numId="5" w16cid:durableId="1262572444">
    <w:abstractNumId w:val="1"/>
  </w:num>
  <w:num w:numId="6" w16cid:durableId="24983111">
    <w:abstractNumId w:val="3"/>
  </w:num>
  <w:num w:numId="7" w16cid:durableId="2870075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2FA"/>
    <w:rsid w:val="001432EC"/>
    <w:rsid w:val="00185EC6"/>
    <w:rsid w:val="00217383"/>
    <w:rsid w:val="00357824"/>
    <w:rsid w:val="003A5F6D"/>
    <w:rsid w:val="00606378"/>
    <w:rsid w:val="007373A6"/>
    <w:rsid w:val="00744E54"/>
    <w:rsid w:val="007D7891"/>
    <w:rsid w:val="007F30B5"/>
    <w:rsid w:val="00806D27"/>
    <w:rsid w:val="009D62FA"/>
    <w:rsid w:val="00AA5883"/>
    <w:rsid w:val="00AB4228"/>
    <w:rsid w:val="00B85796"/>
    <w:rsid w:val="00BE67CF"/>
    <w:rsid w:val="00CC4EB6"/>
    <w:rsid w:val="00DB5B1F"/>
    <w:rsid w:val="00DC6DAB"/>
    <w:rsid w:val="00E47478"/>
    <w:rsid w:val="00E80E34"/>
    <w:rsid w:val="00EF7E5B"/>
    <w:rsid w:val="00F87D51"/>
    <w:rsid w:val="00FC09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CC5B8"/>
  <w15:chartTrackingRefBased/>
  <w15:docId w15:val="{48FF69E7-5A8F-438E-9EE7-88BB14AE7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Calibri"/>
        <w:color w:val="1E1E1E"/>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62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62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62F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62F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D62F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D62F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D62F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D62F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D62F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2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62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62F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62F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D62F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D62F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D62F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D62F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D62F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D62FA"/>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D62F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D62F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62F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D62FA"/>
    <w:pPr>
      <w:spacing w:before="160"/>
      <w:jc w:val="center"/>
    </w:pPr>
    <w:rPr>
      <w:i/>
      <w:iCs/>
      <w:color w:val="404040" w:themeColor="text1" w:themeTint="BF"/>
    </w:rPr>
  </w:style>
  <w:style w:type="character" w:customStyle="1" w:styleId="QuoteChar">
    <w:name w:val="Quote Char"/>
    <w:basedOn w:val="DefaultParagraphFont"/>
    <w:link w:val="Quote"/>
    <w:uiPriority w:val="29"/>
    <w:rsid w:val="009D62FA"/>
    <w:rPr>
      <w:i/>
      <w:iCs/>
      <w:color w:val="404040" w:themeColor="text1" w:themeTint="BF"/>
    </w:rPr>
  </w:style>
  <w:style w:type="paragraph" w:styleId="ListParagraph">
    <w:name w:val="List Paragraph"/>
    <w:basedOn w:val="Normal"/>
    <w:uiPriority w:val="34"/>
    <w:qFormat/>
    <w:rsid w:val="009D62FA"/>
    <w:pPr>
      <w:ind w:left="720"/>
      <w:contextualSpacing/>
    </w:pPr>
  </w:style>
  <w:style w:type="character" w:styleId="IntenseEmphasis">
    <w:name w:val="Intense Emphasis"/>
    <w:basedOn w:val="DefaultParagraphFont"/>
    <w:uiPriority w:val="21"/>
    <w:qFormat/>
    <w:rsid w:val="009D62FA"/>
    <w:rPr>
      <w:i/>
      <w:iCs/>
      <w:color w:val="2F5496" w:themeColor="accent1" w:themeShade="BF"/>
    </w:rPr>
  </w:style>
  <w:style w:type="paragraph" w:styleId="IntenseQuote">
    <w:name w:val="Intense Quote"/>
    <w:basedOn w:val="Normal"/>
    <w:next w:val="Normal"/>
    <w:link w:val="IntenseQuoteChar"/>
    <w:uiPriority w:val="30"/>
    <w:qFormat/>
    <w:rsid w:val="009D62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62FA"/>
    <w:rPr>
      <w:i/>
      <w:iCs/>
      <w:color w:val="2F5496" w:themeColor="accent1" w:themeShade="BF"/>
    </w:rPr>
  </w:style>
  <w:style w:type="character" w:styleId="IntenseReference">
    <w:name w:val="Intense Reference"/>
    <w:basedOn w:val="DefaultParagraphFont"/>
    <w:uiPriority w:val="32"/>
    <w:qFormat/>
    <w:rsid w:val="009D62FA"/>
    <w:rPr>
      <w:b/>
      <w:bCs/>
      <w:smallCaps/>
      <w:color w:val="2F5496" w:themeColor="accent1" w:themeShade="BF"/>
      <w:spacing w:val="5"/>
    </w:rPr>
  </w:style>
  <w:style w:type="table" w:styleId="TableGrid">
    <w:name w:val="Table Grid"/>
    <w:basedOn w:val="TableNormal"/>
    <w:uiPriority w:val="39"/>
    <w:rsid w:val="00EF7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E80E34"/>
    <w:pPr>
      <w:spacing w:after="0" w:line="240" w:lineRule="auto"/>
    </w:pPr>
    <w:rPr>
      <w:rFonts w:asciiTheme="minorHAnsi" w:eastAsiaTheme="minorEastAsia" w:hAnsiTheme="minorHAnsi" w:cstheme="minorBidi"/>
      <w:color w:val="auto"/>
      <w:kern w:val="2"/>
      <w:sz w:val="24"/>
      <w:szCs w:val="24"/>
      <w:lang w:eastAsia="en-GB"/>
      <w14:ligatures w14:val="standardContextual"/>
    </w:rPr>
    <w:tblPr>
      <w:tblCellMar>
        <w:top w:w="0" w:type="dxa"/>
        <w:left w:w="0" w:type="dxa"/>
        <w:bottom w:w="0" w:type="dxa"/>
        <w:right w:w="0" w:type="dxa"/>
      </w:tblCellMar>
    </w:tblPr>
  </w:style>
  <w:style w:type="character" w:styleId="Hyperlink">
    <w:name w:val="Hyperlink"/>
    <w:basedOn w:val="DefaultParagraphFont"/>
    <w:uiPriority w:val="99"/>
    <w:unhideWhenUsed/>
    <w:rsid w:val="00B85796"/>
    <w:rPr>
      <w:color w:val="0563C1" w:themeColor="hyperlink"/>
      <w:u w:val="single"/>
    </w:rPr>
  </w:style>
  <w:style w:type="character" w:styleId="UnresolvedMention">
    <w:name w:val="Unresolved Mention"/>
    <w:basedOn w:val="DefaultParagraphFont"/>
    <w:uiPriority w:val="99"/>
    <w:semiHidden/>
    <w:unhideWhenUsed/>
    <w:rsid w:val="00B85796"/>
    <w:rPr>
      <w:color w:val="605E5C"/>
      <w:shd w:val="clear" w:color="auto" w:fill="E1DFDD"/>
    </w:rPr>
  </w:style>
  <w:style w:type="paragraph" w:styleId="Header">
    <w:name w:val="header"/>
    <w:basedOn w:val="Normal"/>
    <w:link w:val="HeaderChar"/>
    <w:uiPriority w:val="99"/>
    <w:unhideWhenUsed/>
    <w:rsid w:val="003578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824"/>
  </w:style>
  <w:style w:type="paragraph" w:styleId="Footer">
    <w:name w:val="footer"/>
    <w:basedOn w:val="Normal"/>
    <w:link w:val="FooterChar"/>
    <w:uiPriority w:val="99"/>
    <w:unhideWhenUsed/>
    <w:rsid w:val="003578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31138">
      <w:bodyDiv w:val="1"/>
      <w:marLeft w:val="0"/>
      <w:marRight w:val="0"/>
      <w:marTop w:val="0"/>
      <w:marBottom w:val="0"/>
      <w:divBdr>
        <w:top w:val="none" w:sz="0" w:space="0" w:color="auto"/>
        <w:left w:val="none" w:sz="0" w:space="0" w:color="auto"/>
        <w:bottom w:val="none" w:sz="0" w:space="0" w:color="auto"/>
        <w:right w:val="none" w:sz="0" w:space="0" w:color="auto"/>
      </w:divBdr>
    </w:div>
    <w:div w:id="1123771590">
      <w:bodyDiv w:val="1"/>
      <w:marLeft w:val="0"/>
      <w:marRight w:val="0"/>
      <w:marTop w:val="0"/>
      <w:marBottom w:val="0"/>
      <w:divBdr>
        <w:top w:val="none" w:sz="0" w:space="0" w:color="auto"/>
        <w:left w:val="none" w:sz="0" w:space="0" w:color="auto"/>
        <w:bottom w:val="none" w:sz="0" w:space="0" w:color="auto"/>
        <w:right w:val="none" w:sz="0" w:space="0" w:color="auto"/>
      </w:divBdr>
    </w:div>
    <w:div w:id="1238590323">
      <w:bodyDiv w:val="1"/>
      <w:marLeft w:val="0"/>
      <w:marRight w:val="0"/>
      <w:marTop w:val="0"/>
      <w:marBottom w:val="0"/>
      <w:divBdr>
        <w:top w:val="none" w:sz="0" w:space="0" w:color="auto"/>
        <w:left w:val="none" w:sz="0" w:space="0" w:color="auto"/>
        <w:bottom w:val="none" w:sz="0" w:space="0" w:color="auto"/>
        <w:right w:val="none" w:sz="0" w:space="0" w:color="auto"/>
      </w:divBdr>
    </w:div>
    <w:div w:id="1341666618">
      <w:bodyDiv w:val="1"/>
      <w:marLeft w:val="0"/>
      <w:marRight w:val="0"/>
      <w:marTop w:val="0"/>
      <w:marBottom w:val="0"/>
      <w:divBdr>
        <w:top w:val="none" w:sz="0" w:space="0" w:color="auto"/>
        <w:left w:val="none" w:sz="0" w:space="0" w:color="auto"/>
        <w:bottom w:val="none" w:sz="0" w:space="0" w:color="auto"/>
        <w:right w:val="none" w:sz="0" w:space="0" w:color="auto"/>
      </w:divBdr>
    </w:div>
    <w:div w:id="179555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orsethome@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E343C-3521-40DA-A522-76BCFF141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7</Pages>
  <Words>2161</Words>
  <Characters>12322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tebb</dc:creator>
  <cp:keywords/>
  <dc:description/>
  <cp:lastModifiedBy>colin tebb</cp:lastModifiedBy>
  <cp:revision>3</cp:revision>
  <dcterms:created xsi:type="dcterms:W3CDTF">2025-02-04T16:28:00Z</dcterms:created>
  <dcterms:modified xsi:type="dcterms:W3CDTF">2025-02-04T20:21:00Z</dcterms:modified>
</cp:coreProperties>
</file>