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CDABB" w14:textId="77777777" w:rsidR="008D0D96" w:rsidRDefault="00000000">
      <w:pPr>
        <w:pStyle w:val="Body"/>
      </w:pPr>
      <w:r>
        <w:rPr>
          <w:noProof/>
        </w:rPr>
        <w:drawing>
          <wp:inline distT="0" distB="0" distL="0" distR="0" wp14:anchorId="036CDB4F" wp14:editId="036CDB50">
            <wp:extent cx="7015989" cy="1822912"/>
            <wp:effectExtent l="0" t="0" r="0" b="0"/>
            <wp:docPr id="1073741825" name="officeArt object" descr="GFLH"/>
            <wp:cNvGraphicFramePr/>
            <a:graphic xmlns:a="http://schemas.openxmlformats.org/drawingml/2006/main">
              <a:graphicData uri="http://schemas.openxmlformats.org/drawingml/2006/picture">
                <pic:pic xmlns:pic="http://schemas.openxmlformats.org/drawingml/2006/picture">
                  <pic:nvPicPr>
                    <pic:cNvPr id="1073741825" name="GFLH" descr="GFLH"/>
                    <pic:cNvPicPr>
                      <a:picLocks noChangeAspect="1"/>
                    </pic:cNvPicPr>
                  </pic:nvPicPr>
                  <pic:blipFill>
                    <a:blip r:embed="rId7"/>
                    <a:stretch>
                      <a:fillRect/>
                    </a:stretch>
                  </pic:blipFill>
                  <pic:spPr>
                    <a:xfrm>
                      <a:off x="0" y="0"/>
                      <a:ext cx="7015989" cy="1822912"/>
                    </a:xfrm>
                    <a:prstGeom prst="rect">
                      <a:avLst/>
                    </a:prstGeom>
                    <a:ln w="12700" cap="flat">
                      <a:noFill/>
                      <a:miter lim="400000"/>
                    </a:ln>
                    <a:effectLst/>
                  </pic:spPr>
                </pic:pic>
              </a:graphicData>
            </a:graphic>
          </wp:inline>
        </w:drawing>
      </w:r>
    </w:p>
    <w:p w14:paraId="036CDABC" w14:textId="77777777" w:rsidR="008D0D96" w:rsidRDefault="00000000">
      <w:pPr>
        <w:pStyle w:val="Body"/>
        <w:ind w:right="1110"/>
        <w:jc w:val="center"/>
        <w:rPr>
          <w:rFonts w:ascii="Arial" w:eastAsia="Arial" w:hAnsi="Arial" w:cs="Arial"/>
        </w:rPr>
      </w:pPr>
      <w:r>
        <w:rPr>
          <w:rFonts w:ascii="Arial" w:hAnsi="Arial"/>
          <w:b/>
          <w:bCs/>
          <w:sz w:val="40"/>
          <w:szCs w:val="40"/>
          <w:lang w:val="en-US"/>
        </w:rPr>
        <w:t>DESIGN AND ACCESS STATEMENT FOR:</w:t>
      </w:r>
    </w:p>
    <w:p w14:paraId="036CDABD" w14:textId="77777777" w:rsidR="008D0D96" w:rsidRDefault="008D0D96">
      <w:pPr>
        <w:pStyle w:val="Default"/>
        <w:spacing w:after="240"/>
        <w:rPr>
          <w:rFonts w:ascii="Times Roman" w:eastAsia="Times Roman" w:hAnsi="Times Roman" w:cs="Times Roman"/>
        </w:rPr>
      </w:pPr>
    </w:p>
    <w:p w14:paraId="036CDABE" w14:textId="77777777" w:rsidR="008D0D96" w:rsidRDefault="00000000">
      <w:pPr>
        <w:pStyle w:val="Body"/>
        <w:ind w:right="1110"/>
        <w:jc w:val="center"/>
        <w:rPr>
          <w:rFonts w:ascii="Arial" w:eastAsia="Arial" w:hAnsi="Arial" w:cs="Arial"/>
        </w:rPr>
      </w:pPr>
      <w:r>
        <w:rPr>
          <w:rFonts w:ascii="Arial" w:hAnsi="Arial"/>
          <w:b/>
          <w:bCs/>
          <w:sz w:val="40"/>
          <w:szCs w:val="40"/>
          <w:lang w:val="en-US"/>
        </w:rPr>
        <w:t>CONVERSION OF EXISTING UTILITY/STORAGE ROOMS INTO A 1 X 1 BED DWELLING</w:t>
      </w:r>
    </w:p>
    <w:p w14:paraId="036CDABF" w14:textId="77777777" w:rsidR="008D0D96" w:rsidRDefault="00000000">
      <w:pPr>
        <w:pStyle w:val="Body"/>
        <w:spacing w:after="0"/>
        <w:ind w:right="1110"/>
        <w:jc w:val="center"/>
        <w:rPr>
          <w:rFonts w:ascii="Arial" w:eastAsia="Arial" w:hAnsi="Arial" w:cs="Arial"/>
          <w:b/>
          <w:bCs/>
          <w:sz w:val="40"/>
          <w:szCs w:val="40"/>
        </w:rPr>
      </w:pPr>
      <w:r>
        <w:rPr>
          <w:rFonts w:ascii="Arial" w:hAnsi="Arial"/>
          <w:b/>
          <w:bCs/>
          <w:sz w:val="40"/>
          <w:szCs w:val="40"/>
          <w:lang w:val="en-US"/>
        </w:rPr>
        <w:t>100</w:t>
      </w:r>
      <w:r>
        <w:rPr>
          <w:rFonts w:ascii="Arial" w:hAnsi="Arial"/>
          <w:b/>
          <w:bCs/>
          <w:sz w:val="40"/>
          <w:szCs w:val="40"/>
        </w:rPr>
        <w:t xml:space="preserve"> </w:t>
      </w:r>
      <w:r>
        <w:rPr>
          <w:rFonts w:ascii="Arial" w:hAnsi="Arial"/>
          <w:b/>
          <w:bCs/>
          <w:sz w:val="40"/>
          <w:szCs w:val="40"/>
          <w:lang w:val="en-US"/>
        </w:rPr>
        <w:t>SCHOOL</w:t>
      </w:r>
      <w:r>
        <w:rPr>
          <w:rFonts w:ascii="Arial" w:hAnsi="Arial"/>
          <w:b/>
          <w:bCs/>
          <w:sz w:val="40"/>
          <w:szCs w:val="40"/>
        </w:rPr>
        <w:t xml:space="preserve"> ROAD, </w:t>
      </w:r>
      <w:r>
        <w:rPr>
          <w:rFonts w:ascii="Arial" w:hAnsi="Arial"/>
          <w:b/>
          <w:bCs/>
          <w:sz w:val="40"/>
          <w:szCs w:val="40"/>
          <w:lang w:val="en-US"/>
        </w:rPr>
        <w:t>TILEHURST</w:t>
      </w:r>
    </w:p>
    <w:p w14:paraId="036CDAC0" w14:textId="77777777" w:rsidR="008D0D96" w:rsidRDefault="00000000">
      <w:pPr>
        <w:pStyle w:val="Body"/>
        <w:spacing w:after="0"/>
        <w:ind w:right="1110"/>
        <w:jc w:val="center"/>
        <w:rPr>
          <w:rFonts w:ascii="Arial" w:eastAsia="Arial" w:hAnsi="Arial" w:cs="Arial"/>
          <w:b/>
          <w:bCs/>
          <w:sz w:val="40"/>
          <w:szCs w:val="40"/>
        </w:rPr>
      </w:pPr>
      <w:r>
        <w:rPr>
          <w:rFonts w:ascii="Arial" w:hAnsi="Arial"/>
          <w:b/>
          <w:bCs/>
          <w:sz w:val="40"/>
          <w:szCs w:val="40"/>
          <w:lang w:val="en-US"/>
        </w:rPr>
        <w:t>READING, RG31 5AU</w:t>
      </w:r>
    </w:p>
    <w:p w14:paraId="036CDAC1" w14:textId="77777777" w:rsidR="008D0D96" w:rsidRDefault="00000000">
      <w:pPr>
        <w:pStyle w:val="Body"/>
        <w:spacing w:after="0"/>
        <w:ind w:right="1110"/>
        <w:jc w:val="center"/>
        <w:rPr>
          <w:rFonts w:ascii="Arial" w:eastAsia="Arial" w:hAnsi="Arial" w:cs="Arial"/>
          <w:b/>
          <w:bCs/>
          <w:sz w:val="40"/>
          <w:szCs w:val="40"/>
        </w:rPr>
      </w:pPr>
      <w:r>
        <w:rPr>
          <w:rFonts w:ascii="Arial" w:hAnsi="Arial"/>
          <w:b/>
          <w:bCs/>
          <w:sz w:val="26"/>
          <w:szCs w:val="26"/>
          <w:lang w:val="en-US"/>
        </w:rPr>
        <w:t>Pre-Application Ref.: PL/24/1138</w:t>
      </w:r>
    </w:p>
    <w:p w14:paraId="036CDAC2" w14:textId="77777777" w:rsidR="008D0D96" w:rsidRDefault="008D0D96">
      <w:pPr>
        <w:pStyle w:val="Body"/>
        <w:ind w:right="1110"/>
        <w:rPr>
          <w:rFonts w:ascii="Arial" w:eastAsia="Arial" w:hAnsi="Arial" w:cs="Arial"/>
          <w:b/>
          <w:bCs/>
          <w:sz w:val="40"/>
          <w:szCs w:val="40"/>
        </w:rPr>
      </w:pPr>
    </w:p>
    <w:p w14:paraId="036CDAC3" w14:textId="77777777" w:rsidR="008D0D96" w:rsidRDefault="00000000">
      <w:pPr>
        <w:pStyle w:val="Body"/>
        <w:ind w:right="1110"/>
        <w:rPr>
          <w:b/>
          <w:bCs/>
          <w:sz w:val="24"/>
          <w:szCs w:val="24"/>
        </w:rPr>
      </w:pPr>
      <w:r>
        <w:rPr>
          <w:rFonts w:ascii="Arial" w:hAnsi="Arial"/>
          <w:b/>
          <w:bCs/>
          <w:sz w:val="24"/>
          <w:szCs w:val="24"/>
        </w:rPr>
        <w:t>L</w:t>
      </w:r>
      <w:proofErr w:type="spellStart"/>
      <w:r>
        <w:rPr>
          <w:rFonts w:ascii="Arial" w:hAnsi="Arial"/>
          <w:b/>
          <w:bCs/>
          <w:sz w:val="24"/>
          <w:szCs w:val="24"/>
          <w:lang w:val="en-US"/>
        </w:rPr>
        <w:t>ocation</w:t>
      </w:r>
      <w:proofErr w:type="spellEnd"/>
      <w:r>
        <w:rPr>
          <w:rFonts w:ascii="Arial" w:hAnsi="Arial"/>
          <w:b/>
          <w:bCs/>
          <w:sz w:val="24"/>
          <w:szCs w:val="24"/>
        </w:rPr>
        <w:t xml:space="preserve"> </w:t>
      </w:r>
    </w:p>
    <w:p w14:paraId="036CDAC4" w14:textId="77777777" w:rsidR="008D0D96" w:rsidRDefault="00000000">
      <w:pPr>
        <w:pStyle w:val="Default"/>
        <w:ind w:right="1394"/>
        <w:jc w:val="both"/>
      </w:pPr>
      <w:r>
        <w:t xml:space="preserve">School Road lies in the </w:t>
      </w:r>
      <w:proofErr w:type="spellStart"/>
      <w:r>
        <w:t>centre</w:t>
      </w:r>
      <w:proofErr w:type="spellEnd"/>
      <w:r>
        <w:t xml:space="preserve"> of Tilehurst Village, close to a range of services and transport links including Main Bus Routes, and within walking distance </w:t>
      </w:r>
      <w:proofErr w:type="gramStart"/>
      <w:r>
        <w:t>to</w:t>
      </w:r>
      <w:proofErr w:type="gramEnd"/>
      <w:r>
        <w:t xml:space="preserve"> amenities such as Park Lane School, Victoria &amp; Blagrave Recreation Grounds. The area has a variety of Building typologies including Semi-detached, Terraced housing, and Flats of various ages. Close by there are examples of recent development E.G.: Residential Flats at 114-116 School Road.</w:t>
      </w:r>
    </w:p>
    <w:p w14:paraId="036CDAC5" w14:textId="77777777" w:rsidR="008D0D96" w:rsidRDefault="008D0D96">
      <w:pPr>
        <w:pStyle w:val="Default"/>
        <w:ind w:right="1394"/>
        <w:jc w:val="both"/>
      </w:pPr>
    </w:p>
    <w:p w14:paraId="036CDAC6" w14:textId="77777777" w:rsidR="008D0D96" w:rsidRDefault="00000000">
      <w:pPr>
        <w:pStyle w:val="Default"/>
        <w:ind w:right="1394"/>
        <w:jc w:val="both"/>
        <w:rPr>
          <w:b/>
          <w:bCs/>
        </w:rPr>
      </w:pPr>
      <w:r>
        <w:rPr>
          <w:b/>
          <w:bCs/>
        </w:rPr>
        <w:t xml:space="preserve">Planning Policies </w:t>
      </w:r>
    </w:p>
    <w:p w14:paraId="036CDAC7" w14:textId="77777777" w:rsidR="008D0D96" w:rsidRDefault="008D0D96">
      <w:pPr>
        <w:pStyle w:val="Default"/>
        <w:ind w:right="1394"/>
        <w:jc w:val="both"/>
      </w:pPr>
    </w:p>
    <w:p w14:paraId="036CDAC8" w14:textId="77777777" w:rsidR="008D0D96" w:rsidRDefault="00000000">
      <w:pPr>
        <w:pStyle w:val="Default"/>
        <w:spacing w:after="240"/>
      </w:pPr>
      <w:r>
        <w:t xml:space="preserve">Section 38(6) of the Planning and Compulsory Purchase Act 2004 requires that proposals be determined in accordance with the development plan unless material considerations </w:t>
      </w:r>
      <w:proofErr w:type="gramStart"/>
      <w:r>
        <w:t>indicate</w:t>
      </w:r>
      <w:proofErr w:type="gramEnd"/>
      <w:r>
        <w:t xml:space="preserve"> otherwise. Material considerations include relevant policies in the National Planning Policy framework (NPPF) - among them the 'presumption in </w:t>
      </w:r>
      <w:proofErr w:type="spellStart"/>
      <w:r>
        <w:t>favour</w:t>
      </w:r>
      <w:proofErr w:type="spellEnd"/>
      <w:r>
        <w:t xml:space="preserve"> of sustainable development'. </w:t>
      </w:r>
    </w:p>
    <w:p w14:paraId="036CDAC9" w14:textId="77777777" w:rsidR="008D0D96" w:rsidRDefault="00000000">
      <w:pPr>
        <w:pStyle w:val="Default"/>
        <w:spacing w:after="240"/>
      </w:pPr>
      <w:r>
        <w:t xml:space="preserve">The following local and national planning policy and guidance is relevant to this application: </w:t>
      </w:r>
    </w:p>
    <w:p w14:paraId="036CDACA" w14:textId="77777777" w:rsidR="008D0D96" w:rsidRDefault="00000000">
      <w:pPr>
        <w:pStyle w:val="Default"/>
      </w:pPr>
      <w:r>
        <w:rPr>
          <w:rFonts w:eastAsia="Arial Unicode MS" w:cs="Arial Unicode MS"/>
          <w:u w:val="single"/>
        </w:rPr>
        <w:t>National Planning Policy Framework (2023)</w:t>
      </w:r>
      <w:r>
        <w:br/>
      </w:r>
      <w:r>
        <w:rPr>
          <w:rFonts w:eastAsia="Arial Unicode MS" w:cs="Arial Unicode MS"/>
        </w:rPr>
        <w:t xml:space="preserve">The following NPPF chapters are the most relevant (others apply to a lesser extent): </w:t>
      </w:r>
    </w:p>
    <w:p w14:paraId="036CDACB" w14:textId="77777777" w:rsidR="008D0D96" w:rsidRDefault="00000000">
      <w:pPr>
        <w:pStyle w:val="Default"/>
      </w:pPr>
      <w:r>
        <w:rPr>
          <w:rFonts w:eastAsia="Arial Unicode MS" w:cs="Arial Unicode MS"/>
        </w:rPr>
        <w:t>2. Achieving sustainable development</w:t>
      </w:r>
      <w:r>
        <w:br/>
      </w:r>
      <w:r>
        <w:rPr>
          <w:rFonts w:eastAsia="Arial Unicode MS" w:cs="Arial Unicode MS"/>
        </w:rPr>
        <w:t>4. Decision-making</w:t>
      </w:r>
      <w:r>
        <w:br/>
      </w:r>
      <w:r>
        <w:rPr>
          <w:rFonts w:eastAsia="Arial Unicode MS" w:cs="Arial Unicode MS"/>
        </w:rPr>
        <w:t>5. Delivering a sufficient supply of homes</w:t>
      </w:r>
      <w:r>
        <w:br/>
      </w:r>
      <w:r>
        <w:rPr>
          <w:rFonts w:eastAsia="Arial Unicode MS" w:cs="Arial Unicode MS"/>
        </w:rPr>
        <w:t>8. Promoting healthy and safe communities</w:t>
      </w:r>
      <w:r>
        <w:br/>
      </w:r>
      <w:r>
        <w:rPr>
          <w:rFonts w:eastAsia="Arial Unicode MS" w:cs="Arial Unicode MS"/>
        </w:rPr>
        <w:t>9. Promoting sustainable transport</w:t>
      </w:r>
      <w:r>
        <w:br/>
      </w:r>
      <w:r>
        <w:rPr>
          <w:rFonts w:eastAsia="Arial Unicode MS" w:cs="Arial Unicode MS"/>
        </w:rPr>
        <w:t>11. Making effective use of land</w:t>
      </w:r>
      <w:r>
        <w:br/>
      </w:r>
      <w:r>
        <w:rPr>
          <w:rFonts w:eastAsia="Arial Unicode MS" w:cs="Arial Unicode MS"/>
        </w:rPr>
        <w:t xml:space="preserve">12. Achieving well-designed and beautiful places </w:t>
      </w:r>
    </w:p>
    <w:p w14:paraId="036CDACC" w14:textId="77777777" w:rsidR="008D0D96" w:rsidRDefault="008D0D96">
      <w:pPr>
        <w:pStyle w:val="Default"/>
        <w:spacing w:after="240"/>
      </w:pPr>
    </w:p>
    <w:p w14:paraId="036CDACD" w14:textId="77777777" w:rsidR="008D0D96" w:rsidRDefault="008D0D96">
      <w:pPr>
        <w:pStyle w:val="Default"/>
        <w:spacing w:after="240"/>
      </w:pPr>
    </w:p>
    <w:p w14:paraId="036CDACE" w14:textId="77777777" w:rsidR="008D0D96" w:rsidRDefault="00000000">
      <w:pPr>
        <w:pStyle w:val="Default"/>
        <w:ind w:right="1394"/>
        <w:jc w:val="center"/>
      </w:pPr>
      <w:r>
        <w:t xml:space="preserve">  ~~ Page 2 ~~</w:t>
      </w:r>
    </w:p>
    <w:p w14:paraId="036CDACF" w14:textId="77777777" w:rsidR="008D0D96" w:rsidRDefault="008D0D96">
      <w:pPr>
        <w:pStyle w:val="Default"/>
        <w:spacing w:after="240"/>
      </w:pPr>
    </w:p>
    <w:p w14:paraId="036CDAD0" w14:textId="77777777" w:rsidR="008D0D96" w:rsidRDefault="008D0D96">
      <w:pPr>
        <w:pStyle w:val="Default"/>
        <w:spacing w:after="240"/>
      </w:pPr>
    </w:p>
    <w:p w14:paraId="036CDAD1" w14:textId="77777777" w:rsidR="008D0D96" w:rsidRDefault="008D0D96">
      <w:pPr>
        <w:pStyle w:val="Default"/>
        <w:spacing w:after="240"/>
      </w:pPr>
    </w:p>
    <w:p w14:paraId="036CDAD2" w14:textId="77777777" w:rsidR="008D0D96" w:rsidRDefault="00000000">
      <w:pPr>
        <w:pStyle w:val="Default"/>
      </w:pPr>
      <w:r>
        <w:rPr>
          <w:rFonts w:eastAsia="Arial Unicode MS" w:cs="Arial Unicode MS"/>
          <w:u w:val="single"/>
        </w:rPr>
        <w:t>Reading Borough Local Plan (2019)</w:t>
      </w:r>
      <w:r>
        <w:br/>
      </w:r>
      <w:r>
        <w:rPr>
          <w:rFonts w:eastAsia="Arial Unicode MS" w:cs="Arial Unicode MS"/>
        </w:rPr>
        <w:t xml:space="preserve">CC1: Presumption in </w:t>
      </w:r>
      <w:proofErr w:type="spellStart"/>
      <w:r>
        <w:rPr>
          <w:rFonts w:eastAsia="Arial Unicode MS" w:cs="Arial Unicode MS"/>
        </w:rPr>
        <w:t>Favour</w:t>
      </w:r>
      <w:proofErr w:type="spellEnd"/>
      <w:r>
        <w:rPr>
          <w:rFonts w:eastAsia="Arial Unicode MS" w:cs="Arial Unicode MS"/>
        </w:rPr>
        <w:t xml:space="preserve"> of Sustainable Development </w:t>
      </w:r>
    </w:p>
    <w:p w14:paraId="036CDAD3" w14:textId="77777777" w:rsidR="008D0D96" w:rsidRDefault="00000000">
      <w:pPr>
        <w:pStyle w:val="Default"/>
      </w:pPr>
      <w:r>
        <w:rPr>
          <w:rFonts w:eastAsia="Arial Unicode MS" w:cs="Arial Unicode MS"/>
        </w:rPr>
        <w:t>CC2: Sustainable Design and Construction</w:t>
      </w:r>
      <w:r>
        <w:br/>
      </w:r>
      <w:r>
        <w:rPr>
          <w:rFonts w:eastAsia="Arial Unicode MS" w:cs="Arial Unicode MS"/>
        </w:rPr>
        <w:t>CC3: Adaptation to Climate Change</w:t>
      </w:r>
      <w:r>
        <w:br/>
      </w:r>
      <w:r>
        <w:rPr>
          <w:rFonts w:eastAsia="Arial Unicode MS" w:cs="Arial Unicode MS"/>
        </w:rPr>
        <w:t xml:space="preserve">CC5: Waste </w:t>
      </w:r>
      <w:proofErr w:type="spellStart"/>
      <w:r>
        <w:rPr>
          <w:rFonts w:eastAsia="Arial Unicode MS" w:cs="Arial Unicode MS"/>
        </w:rPr>
        <w:t>Minimisation</w:t>
      </w:r>
      <w:proofErr w:type="spellEnd"/>
      <w:r>
        <w:rPr>
          <w:rFonts w:eastAsia="Arial Unicode MS" w:cs="Arial Unicode MS"/>
        </w:rPr>
        <w:t xml:space="preserve"> and Storage </w:t>
      </w:r>
    </w:p>
    <w:p w14:paraId="036CDAD4" w14:textId="77777777" w:rsidR="008D0D96" w:rsidRDefault="00000000">
      <w:pPr>
        <w:pStyle w:val="Default"/>
      </w:pPr>
      <w:r>
        <w:rPr>
          <w:rFonts w:eastAsia="Arial Unicode MS" w:cs="Arial Unicode MS"/>
        </w:rPr>
        <w:t xml:space="preserve">CC6: Accessibility and the Intensity of Development </w:t>
      </w:r>
    </w:p>
    <w:p w14:paraId="036CDAD5" w14:textId="77777777" w:rsidR="008D0D96" w:rsidRDefault="00000000">
      <w:pPr>
        <w:pStyle w:val="Default"/>
      </w:pPr>
      <w:r>
        <w:rPr>
          <w:rFonts w:eastAsia="Arial Unicode MS" w:cs="Arial Unicode MS"/>
        </w:rPr>
        <w:t>CC7:  Design and the Public Realm</w:t>
      </w:r>
      <w:r>
        <w:br/>
      </w:r>
      <w:r>
        <w:rPr>
          <w:rFonts w:eastAsia="Arial Unicode MS" w:cs="Arial Unicode MS"/>
        </w:rPr>
        <w:t>CC8: Safeguarding Amenity</w:t>
      </w:r>
      <w:r>
        <w:br/>
      </w:r>
      <w:r>
        <w:rPr>
          <w:rFonts w:eastAsia="Arial Unicode MS" w:cs="Arial Unicode MS"/>
        </w:rPr>
        <w:t xml:space="preserve">CC9: Securing Infrastructure </w:t>
      </w:r>
    </w:p>
    <w:p w14:paraId="036CDAD6" w14:textId="77777777" w:rsidR="008D0D96" w:rsidRDefault="00000000">
      <w:pPr>
        <w:pStyle w:val="Default"/>
      </w:pPr>
      <w:r>
        <w:rPr>
          <w:rFonts w:eastAsia="Arial Unicode MS" w:cs="Arial Unicode MS"/>
        </w:rPr>
        <w:t xml:space="preserve">EN12: Biodiversity and the Green Network </w:t>
      </w:r>
    </w:p>
    <w:p w14:paraId="036CDAD7" w14:textId="77777777" w:rsidR="008D0D96" w:rsidRDefault="00000000">
      <w:pPr>
        <w:pStyle w:val="Default"/>
      </w:pPr>
      <w:r>
        <w:rPr>
          <w:rFonts w:eastAsia="Arial Unicode MS" w:cs="Arial Unicode MS"/>
        </w:rPr>
        <w:t>EN14: Trees, Hedges and Woodland</w:t>
      </w:r>
    </w:p>
    <w:p w14:paraId="036CDAD8" w14:textId="77777777" w:rsidR="008D0D96" w:rsidRDefault="00000000">
      <w:pPr>
        <w:pStyle w:val="Default"/>
      </w:pPr>
      <w:r>
        <w:rPr>
          <w:rFonts w:eastAsia="Arial Unicode MS" w:cs="Arial Unicode MS"/>
        </w:rPr>
        <w:t>EN15: Air Quality</w:t>
      </w:r>
      <w:r>
        <w:br/>
      </w:r>
      <w:r>
        <w:rPr>
          <w:rFonts w:eastAsia="Arial Unicode MS" w:cs="Arial Unicode MS"/>
        </w:rPr>
        <w:t>EN16: Pollution and Water Resources</w:t>
      </w:r>
    </w:p>
    <w:p w14:paraId="036CDAD9" w14:textId="77777777" w:rsidR="008D0D96" w:rsidRDefault="00000000">
      <w:pPr>
        <w:pStyle w:val="Default"/>
      </w:pPr>
      <w:r>
        <w:rPr>
          <w:rFonts w:eastAsia="Arial Unicode MS" w:cs="Arial Unicode MS"/>
        </w:rPr>
        <w:t>H1: Provision of Housing</w:t>
      </w:r>
      <w:r>
        <w:br/>
      </w:r>
      <w:r>
        <w:rPr>
          <w:rFonts w:eastAsia="Arial Unicode MS" w:cs="Arial Unicode MS"/>
        </w:rPr>
        <w:t>H2: Density and Mix</w:t>
      </w:r>
      <w:r>
        <w:br/>
      </w:r>
      <w:r>
        <w:rPr>
          <w:rFonts w:eastAsia="Arial Unicode MS" w:cs="Arial Unicode MS"/>
        </w:rPr>
        <w:t>H3: Affordable Housing</w:t>
      </w:r>
      <w:r>
        <w:br/>
      </w:r>
      <w:r>
        <w:rPr>
          <w:rFonts w:eastAsia="Arial Unicode MS" w:cs="Arial Unicode MS"/>
        </w:rPr>
        <w:t>H5: Standards for New Housing</w:t>
      </w:r>
      <w:r>
        <w:br/>
      </w:r>
      <w:r>
        <w:rPr>
          <w:rFonts w:eastAsia="Arial Unicode MS" w:cs="Arial Unicode MS"/>
        </w:rPr>
        <w:t>H10: Private and Communal Outdoor Space</w:t>
      </w:r>
      <w:r>
        <w:br/>
      </w:r>
      <w:r>
        <w:rPr>
          <w:rFonts w:eastAsia="Arial Unicode MS" w:cs="Arial Unicode MS"/>
        </w:rPr>
        <w:t>H11: Development of Private Residential Gardens</w:t>
      </w:r>
    </w:p>
    <w:p w14:paraId="036CDADA" w14:textId="77777777" w:rsidR="008D0D96" w:rsidRDefault="00000000">
      <w:pPr>
        <w:pStyle w:val="Default"/>
      </w:pPr>
      <w:r>
        <w:rPr>
          <w:rFonts w:eastAsia="Arial Unicode MS" w:cs="Arial Unicode MS"/>
        </w:rPr>
        <w:t xml:space="preserve">TR1: Achieving the Transport Strategy </w:t>
      </w:r>
    </w:p>
    <w:p w14:paraId="036CDADB" w14:textId="77777777" w:rsidR="008D0D96" w:rsidRDefault="00000000">
      <w:pPr>
        <w:pStyle w:val="Default"/>
      </w:pPr>
      <w:r>
        <w:rPr>
          <w:rFonts w:eastAsia="Arial Unicode MS" w:cs="Arial Unicode MS"/>
        </w:rPr>
        <w:t>TR3: Access, Traffic and Highway-Related Matters</w:t>
      </w:r>
      <w:r>
        <w:br/>
      </w:r>
      <w:r>
        <w:rPr>
          <w:rFonts w:eastAsia="Arial Unicode MS" w:cs="Arial Unicode MS"/>
        </w:rPr>
        <w:t xml:space="preserve">TR5: Car and Cycle Parking and Electric Vehicle Charging </w:t>
      </w:r>
    </w:p>
    <w:p w14:paraId="036CDADC" w14:textId="77777777" w:rsidR="008D0D96" w:rsidRDefault="008D0D96">
      <w:pPr>
        <w:pStyle w:val="Default"/>
        <w:ind w:right="1394"/>
        <w:jc w:val="both"/>
      </w:pPr>
    </w:p>
    <w:p w14:paraId="036CDADD" w14:textId="77777777" w:rsidR="008D0D96" w:rsidRDefault="00000000">
      <w:pPr>
        <w:pStyle w:val="Default"/>
        <w:ind w:right="1394"/>
        <w:jc w:val="both"/>
        <w:rPr>
          <w:b/>
          <w:bCs/>
        </w:rPr>
      </w:pPr>
      <w:r>
        <w:rPr>
          <w:b/>
          <w:bCs/>
        </w:rPr>
        <w:t>Access and Parking</w:t>
      </w:r>
    </w:p>
    <w:p w14:paraId="036CDADE" w14:textId="77777777" w:rsidR="008D0D96" w:rsidRDefault="008D0D96">
      <w:pPr>
        <w:pStyle w:val="Default"/>
        <w:ind w:right="1394"/>
        <w:jc w:val="both"/>
        <w:rPr>
          <w:b/>
          <w:bCs/>
        </w:rPr>
      </w:pPr>
    </w:p>
    <w:p w14:paraId="036CDADF" w14:textId="77777777" w:rsidR="008D0D96" w:rsidRDefault="00000000">
      <w:pPr>
        <w:pStyle w:val="Default"/>
        <w:ind w:right="1394"/>
        <w:jc w:val="both"/>
      </w:pPr>
      <w:r>
        <w:t>The Title of the existing property includes the use of 2no. Parking spaces within the Car Park area to the rear of the premises (HM Land Registry Title Number BK150656, 2019); and the proposed dwelling will thus be afforded the use of 1no. Designated Parking Space or secure cycle storage positioned within this area to be agreed.</w:t>
      </w:r>
    </w:p>
    <w:p w14:paraId="036CDAE0" w14:textId="77777777" w:rsidR="008D0D96" w:rsidRDefault="008D0D96">
      <w:pPr>
        <w:pStyle w:val="Default"/>
        <w:ind w:right="1394"/>
        <w:jc w:val="both"/>
      </w:pPr>
    </w:p>
    <w:p w14:paraId="036CDAE1" w14:textId="77777777" w:rsidR="008D0D96" w:rsidRDefault="00000000">
      <w:pPr>
        <w:pStyle w:val="Default"/>
        <w:ind w:right="1394"/>
        <w:jc w:val="both"/>
      </w:pPr>
      <w:r>
        <w:t>Due to the small scale of the proposal, restricted width of Car Park access (2.05m) and given the proximity of the proposal to sustainable Transport links, including Main Bus Routes, the Provision of Secure Cycle Storage (TR5) along with a modest area of external amenity space to include sitting-out area and clothes-drying facilities as indicated (H10) may be preferred to retention of the existing designated Parking Space. (</w:t>
      </w:r>
      <w:r>
        <w:rPr>
          <w:u w:val="single"/>
        </w:rPr>
        <w:t>See 01D, Block Plan 1:500</w:t>
      </w:r>
      <w:r>
        <w:t>)</w:t>
      </w:r>
    </w:p>
    <w:p w14:paraId="036CDAE2" w14:textId="77777777" w:rsidR="008D0D96" w:rsidRDefault="008D0D96">
      <w:pPr>
        <w:pStyle w:val="Default"/>
        <w:ind w:right="1394"/>
        <w:jc w:val="both"/>
      </w:pPr>
    </w:p>
    <w:p w14:paraId="036CDAE3" w14:textId="77777777" w:rsidR="008D0D96" w:rsidRDefault="00000000">
      <w:pPr>
        <w:pStyle w:val="Default"/>
        <w:ind w:right="1394"/>
        <w:jc w:val="both"/>
        <w:rPr>
          <w:b/>
          <w:bCs/>
        </w:rPr>
      </w:pPr>
      <w:r>
        <w:rPr>
          <w:b/>
          <w:bCs/>
        </w:rPr>
        <w:t xml:space="preserve">Design, Access, and Energy/Sustainability </w:t>
      </w:r>
    </w:p>
    <w:p w14:paraId="036CDAE4" w14:textId="77777777" w:rsidR="008D0D96" w:rsidRDefault="008D0D96">
      <w:pPr>
        <w:pStyle w:val="Default"/>
        <w:ind w:right="1394"/>
        <w:jc w:val="both"/>
      </w:pPr>
    </w:p>
    <w:p w14:paraId="036CDAE5" w14:textId="77777777" w:rsidR="008D0D96" w:rsidRDefault="00000000">
      <w:pPr>
        <w:pStyle w:val="Default"/>
        <w:numPr>
          <w:ilvl w:val="0"/>
          <w:numId w:val="2"/>
        </w:numPr>
        <w:ind w:right="1394"/>
        <w:jc w:val="both"/>
        <w:rPr>
          <w:b/>
          <w:bCs/>
        </w:rPr>
      </w:pPr>
      <w:r>
        <w:rPr>
          <w:b/>
          <w:bCs/>
        </w:rPr>
        <w:t>Design</w:t>
      </w:r>
    </w:p>
    <w:p w14:paraId="036CDAE6" w14:textId="77777777" w:rsidR="008D0D96" w:rsidRDefault="008D0D96">
      <w:pPr>
        <w:pStyle w:val="Default"/>
        <w:ind w:right="1394"/>
        <w:jc w:val="both"/>
        <w:rPr>
          <w:b/>
          <w:bCs/>
        </w:rPr>
      </w:pPr>
    </w:p>
    <w:p w14:paraId="036CDAE7" w14:textId="77777777" w:rsidR="008D0D96" w:rsidRDefault="00000000">
      <w:pPr>
        <w:pStyle w:val="Default"/>
        <w:ind w:right="1394"/>
        <w:jc w:val="both"/>
      </w:pPr>
      <w:r>
        <w:t xml:space="preserve">The Proposal will include internal alterations of the existing Ground &amp; First Floor to provide 1 x 1 Bed Flat, with no proposed alterations to the Front (Street facing) Elevation, and the addition of an access Door to the Rear of the Building. </w:t>
      </w:r>
    </w:p>
    <w:p w14:paraId="036CDAE8" w14:textId="77777777" w:rsidR="008D0D96" w:rsidRDefault="008D0D96">
      <w:pPr>
        <w:pStyle w:val="Default"/>
        <w:ind w:right="1394"/>
        <w:jc w:val="both"/>
      </w:pPr>
    </w:p>
    <w:p w14:paraId="036CDAE9" w14:textId="77777777" w:rsidR="008D0D96" w:rsidRDefault="00000000">
      <w:pPr>
        <w:pStyle w:val="Default"/>
        <w:ind w:right="1394"/>
        <w:jc w:val="both"/>
      </w:pPr>
      <w:r>
        <w:lastRenderedPageBreak/>
        <w:t>The Development will remain within the existing Building Envelope, maintaining the existing character and street scene, with replacement windows to the Front Elevation selected to maintain the Existing Proportion and Style of the Existing Windows whilst providing greater energy efficiency and Sound Insulation to the proposed dwelling.</w:t>
      </w:r>
    </w:p>
    <w:p w14:paraId="036CDAEA" w14:textId="77777777" w:rsidR="008D0D96" w:rsidRDefault="008D0D96">
      <w:pPr>
        <w:pStyle w:val="Default"/>
        <w:ind w:right="1394"/>
        <w:jc w:val="both"/>
      </w:pPr>
    </w:p>
    <w:p w14:paraId="036CDAEB" w14:textId="77777777" w:rsidR="008D0D96" w:rsidRDefault="008D0D96">
      <w:pPr>
        <w:pStyle w:val="Default"/>
        <w:ind w:right="1394"/>
        <w:jc w:val="both"/>
      </w:pPr>
    </w:p>
    <w:p w14:paraId="036CDAEC" w14:textId="77777777" w:rsidR="008D0D96" w:rsidRDefault="008D0D96">
      <w:pPr>
        <w:pStyle w:val="Default"/>
        <w:ind w:right="1394"/>
        <w:jc w:val="both"/>
      </w:pPr>
    </w:p>
    <w:p w14:paraId="036CDAED" w14:textId="77777777" w:rsidR="008D0D96" w:rsidRDefault="008D0D96">
      <w:pPr>
        <w:pStyle w:val="Default"/>
        <w:ind w:right="1394"/>
        <w:jc w:val="both"/>
      </w:pPr>
    </w:p>
    <w:p w14:paraId="036CDAEE" w14:textId="77777777" w:rsidR="008D0D96" w:rsidRDefault="00000000">
      <w:pPr>
        <w:pStyle w:val="Default"/>
        <w:ind w:right="1394"/>
        <w:jc w:val="center"/>
      </w:pPr>
      <w:r>
        <w:t>~~ Page 3 ~~</w:t>
      </w:r>
    </w:p>
    <w:p w14:paraId="036CDAEF" w14:textId="77777777" w:rsidR="008D0D96" w:rsidRDefault="008D0D96">
      <w:pPr>
        <w:pStyle w:val="Default"/>
        <w:ind w:right="1394"/>
        <w:jc w:val="both"/>
      </w:pPr>
    </w:p>
    <w:p w14:paraId="036CDAF0" w14:textId="77777777" w:rsidR="008D0D96" w:rsidRDefault="008D0D96">
      <w:pPr>
        <w:pStyle w:val="Default"/>
        <w:ind w:right="1394"/>
        <w:jc w:val="both"/>
      </w:pPr>
    </w:p>
    <w:p w14:paraId="036CDAF1" w14:textId="77777777" w:rsidR="008D0D96" w:rsidRDefault="008D0D96">
      <w:pPr>
        <w:pStyle w:val="Default"/>
        <w:ind w:right="1394"/>
        <w:jc w:val="both"/>
      </w:pPr>
    </w:p>
    <w:p w14:paraId="036CDAF2" w14:textId="77777777" w:rsidR="008D0D96" w:rsidRDefault="008D0D96">
      <w:pPr>
        <w:pStyle w:val="Default"/>
        <w:ind w:right="1394"/>
        <w:jc w:val="center"/>
      </w:pPr>
      <w:bookmarkStart w:id="0" w:name="_Hlk66783237"/>
      <w:bookmarkEnd w:id="0"/>
    </w:p>
    <w:p w14:paraId="036CDAF3" w14:textId="77777777" w:rsidR="008D0D96" w:rsidRDefault="008D0D96">
      <w:pPr>
        <w:pStyle w:val="Default"/>
        <w:ind w:right="1394"/>
        <w:jc w:val="both"/>
        <w:rPr>
          <w:b/>
          <w:bCs/>
        </w:rPr>
      </w:pPr>
    </w:p>
    <w:p w14:paraId="036CDAF4" w14:textId="77777777" w:rsidR="008D0D96" w:rsidRDefault="008D0D96">
      <w:pPr>
        <w:pStyle w:val="Default"/>
        <w:ind w:right="1394"/>
        <w:jc w:val="both"/>
      </w:pPr>
    </w:p>
    <w:p w14:paraId="036CDAF5" w14:textId="77777777" w:rsidR="008D0D96" w:rsidRDefault="00000000">
      <w:pPr>
        <w:pStyle w:val="Default"/>
        <w:numPr>
          <w:ilvl w:val="0"/>
          <w:numId w:val="2"/>
        </w:numPr>
        <w:ind w:right="1394"/>
        <w:jc w:val="both"/>
        <w:rPr>
          <w:b/>
          <w:bCs/>
        </w:rPr>
      </w:pPr>
      <w:r>
        <w:rPr>
          <w:b/>
          <w:bCs/>
        </w:rPr>
        <w:t xml:space="preserve">Sustainability </w:t>
      </w:r>
    </w:p>
    <w:p w14:paraId="036CDAF6" w14:textId="77777777" w:rsidR="008D0D96" w:rsidRDefault="008D0D96">
      <w:pPr>
        <w:pStyle w:val="Default"/>
        <w:ind w:right="1394"/>
        <w:jc w:val="both"/>
        <w:rPr>
          <w:b/>
          <w:bCs/>
        </w:rPr>
      </w:pPr>
    </w:p>
    <w:p w14:paraId="036CDAF7" w14:textId="77777777" w:rsidR="008D0D96" w:rsidRDefault="00000000">
      <w:pPr>
        <w:pStyle w:val="Default"/>
        <w:ind w:right="1394"/>
        <w:jc w:val="both"/>
      </w:pPr>
      <w:r>
        <w:t xml:space="preserve">Policy CC3 of the Adopted plan sets out criteria for meeting Climate change.  Compliance with </w:t>
      </w:r>
      <w:proofErr w:type="gramStart"/>
      <w:r>
        <w:t>policy</w:t>
      </w:r>
      <w:proofErr w:type="gramEnd"/>
      <w:r>
        <w:t xml:space="preserve"> TR5 (Secure Cycle Storage) has been provided. Amongst </w:t>
      </w:r>
      <w:proofErr w:type="gramStart"/>
      <w:r>
        <w:t>other</w:t>
      </w:r>
      <w:proofErr w:type="gramEnd"/>
      <w:r>
        <w:t xml:space="preserve"> measures included in this scheme will be: </w:t>
      </w:r>
    </w:p>
    <w:p w14:paraId="036CDAF8" w14:textId="77777777" w:rsidR="008D0D96" w:rsidRDefault="00000000">
      <w:pPr>
        <w:pStyle w:val="Default"/>
        <w:ind w:right="1394"/>
        <w:jc w:val="both"/>
      </w:pPr>
      <w:r>
        <w:t>- Water efficient fittings to the Bathroom and Kitchen</w:t>
      </w:r>
    </w:p>
    <w:p w14:paraId="036CDAF9" w14:textId="77777777" w:rsidR="008D0D96" w:rsidRDefault="00000000">
      <w:pPr>
        <w:pStyle w:val="Default"/>
        <w:ind w:right="1394"/>
        <w:jc w:val="both"/>
      </w:pPr>
      <w:r>
        <w:t>- Replacement Windows (where indicated) with double glazed units to improve efficiency</w:t>
      </w:r>
    </w:p>
    <w:p w14:paraId="036CDAFA" w14:textId="77777777" w:rsidR="008D0D96" w:rsidRDefault="008D0D96">
      <w:pPr>
        <w:pStyle w:val="Default"/>
        <w:ind w:right="1394"/>
        <w:jc w:val="both"/>
        <w:rPr>
          <w:b/>
          <w:bCs/>
        </w:rPr>
      </w:pPr>
    </w:p>
    <w:p w14:paraId="036CDAFB" w14:textId="77777777" w:rsidR="008D0D96" w:rsidRDefault="00000000">
      <w:pPr>
        <w:pStyle w:val="Default"/>
        <w:ind w:right="1394"/>
        <w:jc w:val="both"/>
        <w:rPr>
          <w:b/>
          <w:bCs/>
        </w:rPr>
      </w:pPr>
      <w:r>
        <w:rPr>
          <w:b/>
          <w:bCs/>
        </w:rPr>
        <w:t>Residential Amenity</w:t>
      </w:r>
    </w:p>
    <w:p w14:paraId="036CDAFC" w14:textId="77777777" w:rsidR="008D0D96" w:rsidRDefault="008D0D96">
      <w:pPr>
        <w:pStyle w:val="Default"/>
        <w:ind w:right="1394"/>
        <w:jc w:val="both"/>
        <w:rPr>
          <w:b/>
          <w:bCs/>
        </w:rPr>
      </w:pPr>
    </w:p>
    <w:p w14:paraId="036CDAFD" w14:textId="77777777" w:rsidR="008D0D96" w:rsidRDefault="00000000">
      <w:pPr>
        <w:pStyle w:val="Default"/>
        <w:ind w:right="1394"/>
        <w:jc w:val="both"/>
      </w:pPr>
      <w:r>
        <w:t xml:space="preserve">The current layout makes use of the existing window positions and openings; any overlooking of private amenity areas will be mitigated </w:t>
      </w:r>
      <w:proofErr w:type="gramStart"/>
      <w:r>
        <w:t>by the use of</w:t>
      </w:r>
      <w:proofErr w:type="gramEnd"/>
      <w:r>
        <w:t xml:space="preserve"> obscure glazing/screening where applicable. </w:t>
      </w:r>
    </w:p>
    <w:p w14:paraId="036CDAFE" w14:textId="77777777" w:rsidR="008D0D96" w:rsidRDefault="008D0D96">
      <w:pPr>
        <w:pStyle w:val="Default"/>
        <w:ind w:right="1394"/>
        <w:jc w:val="both"/>
      </w:pPr>
    </w:p>
    <w:p w14:paraId="036CDAFF" w14:textId="77777777" w:rsidR="008D0D96" w:rsidRDefault="00000000">
      <w:pPr>
        <w:pStyle w:val="Default"/>
        <w:ind w:right="1394"/>
        <w:jc w:val="both"/>
        <w:rPr>
          <w:b/>
          <w:bCs/>
        </w:rPr>
      </w:pPr>
      <w:r>
        <w:rPr>
          <w:b/>
          <w:bCs/>
        </w:rPr>
        <w:t>Noise &amp; Vibration</w:t>
      </w:r>
    </w:p>
    <w:p w14:paraId="036CDB00" w14:textId="77777777" w:rsidR="008D0D96" w:rsidRDefault="008D0D96">
      <w:pPr>
        <w:pStyle w:val="Default"/>
        <w:ind w:right="1394"/>
        <w:jc w:val="both"/>
        <w:rPr>
          <w:b/>
          <w:bCs/>
        </w:rPr>
      </w:pPr>
    </w:p>
    <w:p w14:paraId="036CDB01" w14:textId="77777777" w:rsidR="008D0D96" w:rsidRDefault="00000000">
      <w:pPr>
        <w:pStyle w:val="Default"/>
        <w:ind w:right="1394"/>
        <w:jc w:val="both"/>
      </w:pPr>
      <w:r>
        <w:t xml:space="preserve">Due to the location of the Dwelling in relation to School Road, measures will be taken to mitigate the traffic noise and ensure an acceptable noise environment for occupants; The internal noise level within a dwelling is dependent on the level arriving at the external </w:t>
      </w:r>
      <w:proofErr w:type="spellStart"/>
      <w:r>
        <w:t>façade</w:t>
      </w:r>
      <w:proofErr w:type="spellEnd"/>
      <w:r>
        <w:t xml:space="preserve">, the sound insulation properties of the dwelling, (wall, window, roof/ceiling construction) the volume of the room and any furnishings present. </w:t>
      </w:r>
    </w:p>
    <w:p w14:paraId="036CDB02" w14:textId="77777777" w:rsidR="008D0D96" w:rsidRDefault="008D0D96">
      <w:pPr>
        <w:pStyle w:val="Default"/>
        <w:ind w:right="1394"/>
        <w:jc w:val="both"/>
      </w:pPr>
    </w:p>
    <w:p w14:paraId="036CDB03" w14:textId="77777777" w:rsidR="008D0D96" w:rsidRDefault="00000000">
      <w:pPr>
        <w:pStyle w:val="Default"/>
        <w:ind w:right="1394"/>
        <w:jc w:val="both"/>
      </w:pPr>
      <w:r>
        <w:t xml:space="preserve">BS 8233:2014 indicates typical Traffic noise levels expected from </w:t>
      </w:r>
      <w:proofErr w:type="spellStart"/>
      <w:r>
        <w:t>from</w:t>
      </w:r>
      <w:proofErr w:type="spellEnd"/>
      <w:r>
        <w:t xml:space="preserve"> busy roads (up to 50km/h traffic speed) as 58-68db, as well as guidelines for acceptable levels of noise (7.7.2 Internal Ambient Noise Levels for Dwellings, as below</w:t>
      </w:r>
      <w:proofErr w:type="gramStart"/>
      <w:r>
        <w:t>);</w:t>
      </w:r>
      <w:proofErr w:type="gramEnd"/>
      <w:r>
        <w:t xml:space="preserve"> </w:t>
      </w:r>
    </w:p>
    <w:p w14:paraId="036CDB04" w14:textId="77777777" w:rsidR="008D0D96" w:rsidRDefault="008D0D96">
      <w:pPr>
        <w:pStyle w:val="Default"/>
        <w:ind w:right="1394"/>
        <w:jc w:val="both"/>
      </w:pPr>
    </w:p>
    <w:p w14:paraId="036CDB05" w14:textId="77777777" w:rsidR="008D0D96" w:rsidRDefault="00000000">
      <w:pPr>
        <w:pStyle w:val="Default"/>
        <w:ind w:right="1394"/>
        <w:jc w:val="both"/>
        <w:rPr>
          <w:b/>
          <w:bCs/>
        </w:rPr>
      </w:pPr>
      <w:r>
        <w:t>Table 4</w:t>
      </w:r>
      <w:r>
        <w:rPr>
          <w:b/>
          <w:bCs/>
        </w:rPr>
        <w:t>. Indoor Ambient Noise Levels for Dwellings</w:t>
      </w:r>
    </w:p>
    <w:p w14:paraId="036CDB06" w14:textId="77777777" w:rsidR="008D0D96" w:rsidRDefault="008D0D96">
      <w:pPr>
        <w:pStyle w:val="Default"/>
        <w:ind w:right="1394"/>
        <w:jc w:val="both"/>
        <w:rPr>
          <w:b/>
          <w:bCs/>
        </w:rPr>
      </w:pPr>
    </w:p>
    <w:tbl>
      <w:tblPr>
        <w:tblW w:w="963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0E0E0"/>
        <w:tblLayout w:type="fixed"/>
        <w:tblLook w:val="04A0" w:firstRow="1" w:lastRow="0" w:firstColumn="1" w:lastColumn="0" w:noHBand="0" w:noVBand="1"/>
      </w:tblPr>
      <w:tblGrid>
        <w:gridCol w:w="2408"/>
        <w:gridCol w:w="2409"/>
        <w:gridCol w:w="2409"/>
        <w:gridCol w:w="2409"/>
      </w:tblGrid>
      <w:tr w:rsidR="008D0D96" w14:paraId="036CDB0B" w14:textId="77777777">
        <w:trPr>
          <w:trHeight w:val="452"/>
        </w:trPr>
        <w:tc>
          <w:tcPr>
            <w:tcW w:w="2408" w:type="dxa"/>
            <w:tcBorders>
              <w:top w:val="single" w:sz="8" w:space="0" w:color="FFFFFF"/>
              <w:left w:val="single" w:sz="8" w:space="0" w:color="FFFFFF"/>
              <w:bottom w:val="single" w:sz="16" w:space="0" w:color="000000"/>
              <w:right w:val="dotted" w:sz="8" w:space="0" w:color="000000"/>
            </w:tcBorders>
            <w:shd w:val="clear" w:color="auto" w:fill="auto"/>
            <w:tcMar>
              <w:top w:w="0" w:type="dxa"/>
              <w:left w:w="0" w:type="dxa"/>
              <w:bottom w:w="0" w:type="dxa"/>
              <w:right w:w="0" w:type="dxa"/>
            </w:tcMar>
          </w:tcPr>
          <w:p w14:paraId="036CDB07" w14:textId="77777777" w:rsidR="008D0D96" w:rsidRDefault="00000000">
            <w:pPr>
              <w:tabs>
                <w:tab w:val="left" w:pos="1440"/>
              </w:tabs>
              <w:suppressAutoHyphens/>
              <w:outlineLvl w:val="0"/>
            </w:pPr>
            <w:r>
              <w:rPr>
                <w:rFonts w:ascii="Arial" w:hAnsi="Arial" w:cs="Arial Unicode MS"/>
                <w:b/>
                <w:bCs/>
                <w:color w:val="000000"/>
                <w:sz w:val="22"/>
                <w:szCs w:val="22"/>
                <w14:textOutline w14:w="12700" w14:cap="flat" w14:cmpd="sng" w14:algn="ctr">
                  <w14:noFill/>
                  <w14:prstDash w14:val="solid"/>
                  <w14:miter w14:lim="400000"/>
                </w14:textOutline>
              </w:rPr>
              <w:t>Activity</w:t>
            </w:r>
          </w:p>
        </w:tc>
        <w:tc>
          <w:tcPr>
            <w:tcW w:w="2408" w:type="dxa"/>
            <w:tcBorders>
              <w:top w:val="single" w:sz="8" w:space="0" w:color="FFFFFF"/>
              <w:left w:val="dotted" w:sz="8" w:space="0" w:color="000000"/>
              <w:bottom w:val="single" w:sz="16" w:space="0" w:color="000000"/>
              <w:right w:val="dotted" w:sz="8" w:space="0" w:color="000000"/>
            </w:tcBorders>
            <w:shd w:val="clear" w:color="auto" w:fill="auto"/>
            <w:tcMar>
              <w:top w:w="0" w:type="dxa"/>
              <w:left w:w="0" w:type="dxa"/>
              <w:bottom w:w="0" w:type="dxa"/>
              <w:right w:w="0" w:type="dxa"/>
            </w:tcMar>
          </w:tcPr>
          <w:p w14:paraId="036CDB08" w14:textId="77777777" w:rsidR="008D0D96" w:rsidRDefault="00000000">
            <w:pPr>
              <w:tabs>
                <w:tab w:val="left" w:pos="1440"/>
              </w:tabs>
              <w:suppressAutoHyphens/>
              <w:outlineLvl w:val="0"/>
            </w:pPr>
            <w:r>
              <w:rPr>
                <w:rFonts w:ascii="Arial" w:hAnsi="Arial" w:cs="Arial Unicode MS"/>
                <w:b/>
                <w:bCs/>
                <w:color w:val="000000"/>
                <w:sz w:val="22"/>
                <w:szCs w:val="22"/>
                <w14:textOutline w14:w="12700" w14:cap="flat" w14:cmpd="sng" w14:algn="ctr">
                  <w14:noFill/>
                  <w14:prstDash w14:val="solid"/>
                  <w14:miter w14:lim="400000"/>
                </w14:textOutline>
              </w:rPr>
              <w:t>Location</w:t>
            </w:r>
          </w:p>
        </w:tc>
        <w:tc>
          <w:tcPr>
            <w:tcW w:w="2408" w:type="dxa"/>
            <w:tcBorders>
              <w:top w:val="single" w:sz="8" w:space="0" w:color="FFFFFF"/>
              <w:left w:val="dotted" w:sz="8" w:space="0" w:color="000000"/>
              <w:bottom w:val="single" w:sz="16" w:space="0" w:color="000000"/>
              <w:right w:val="dotted" w:sz="8" w:space="0" w:color="000000"/>
            </w:tcBorders>
            <w:shd w:val="clear" w:color="auto" w:fill="auto"/>
            <w:tcMar>
              <w:top w:w="0" w:type="dxa"/>
              <w:left w:w="0" w:type="dxa"/>
              <w:bottom w:w="0" w:type="dxa"/>
              <w:right w:w="0" w:type="dxa"/>
            </w:tcMar>
          </w:tcPr>
          <w:p w14:paraId="036CDB09" w14:textId="77777777" w:rsidR="008D0D96" w:rsidRDefault="00000000">
            <w:pPr>
              <w:tabs>
                <w:tab w:val="left" w:pos="1440"/>
              </w:tabs>
              <w:suppressAutoHyphens/>
              <w:outlineLvl w:val="0"/>
            </w:pPr>
            <w:r>
              <w:rPr>
                <w:rFonts w:ascii="Arial" w:hAnsi="Arial" w:cs="Arial Unicode MS"/>
                <w:b/>
                <w:bCs/>
                <w:color w:val="000000"/>
                <w:sz w:val="22"/>
                <w:szCs w:val="22"/>
                <w14:textOutline w14:w="12700" w14:cap="flat" w14:cmpd="sng" w14:algn="ctr">
                  <w14:noFill/>
                  <w14:prstDash w14:val="solid"/>
                  <w14:miter w14:lim="400000"/>
                </w14:textOutline>
              </w:rPr>
              <w:t>7:00 to 23:00</w:t>
            </w:r>
          </w:p>
        </w:tc>
        <w:tc>
          <w:tcPr>
            <w:tcW w:w="2408" w:type="dxa"/>
            <w:tcBorders>
              <w:top w:val="single" w:sz="8" w:space="0" w:color="FFFFFF"/>
              <w:left w:val="dotted" w:sz="8" w:space="0" w:color="000000"/>
              <w:bottom w:val="single" w:sz="16" w:space="0" w:color="000000"/>
              <w:right w:val="single" w:sz="8" w:space="0" w:color="FFFFFF"/>
            </w:tcBorders>
            <w:shd w:val="clear" w:color="auto" w:fill="auto"/>
            <w:tcMar>
              <w:top w:w="0" w:type="dxa"/>
              <w:left w:w="0" w:type="dxa"/>
              <w:bottom w:w="0" w:type="dxa"/>
              <w:right w:w="0" w:type="dxa"/>
            </w:tcMar>
          </w:tcPr>
          <w:p w14:paraId="036CDB0A" w14:textId="77777777" w:rsidR="008D0D96" w:rsidRDefault="00000000">
            <w:pPr>
              <w:tabs>
                <w:tab w:val="left" w:pos="1440"/>
              </w:tabs>
              <w:suppressAutoHyphens/>
              <w:outlineLvl w:val="0"/>
            </w:pPr>
            <w:r>
              <w:rPr>
                <w:rFonts w:ascii="Arial" w:hAnsi="Arial" w:cs="Arial Unicode MS"/>
                <w:b/>
                <w:bCs/>
                <w:color w:val="000000"/>
                <w:sz w:val="22"/>
                <w:szCs w:val="22"/>
                <w14:textOutline w14:w="12700" w14:cap="flat" w14:cmpd="sng" w14:algn="ctr">
                  <w14:noFill/>
                  <w14:prstDash w14:val="solid"/>
                  <w14:miter w14:lim="400000"/>
                </w14:textOutline>
              </w:rPr>
              <w:t>23:00 to 7:00</w:t>
            </w:r>
          </w:p>
        </w:tc>
      </w:tr>
      <w:tr w:rsidR="008D0D96" w14:paraId="036CDB10" w14:textId="77777777">
        <w:trPr>
          <w:trHeight w:val="452"/>
        </w:trPr>
        <w:tc>
          <w:tcPr>
            <w:tcW w:w="2408" w:type="dxa"/>
            <w:tcBorders>
              <w:top w:val="single" w:sz="16" w:space="0" w:color="000000"/>
              <w:left w:val="single" w:sz="8" w:space="0" w:color="FFFFFF"/>
              <w:bottom w:val="single" w:sz="8" w:space="0" w:color="FFFFFF"/>
              <w:right w:val="dotted" w:sz="8" w:space="0" w:color="000000"/>
            </w:tcBorders>
            <w:shd w:val="clear" w:color="auto" w:fill="auto"/>
            <w:tcMar>
              <w:top w:w="0" w:type="dxa"/>
              <w:left w:w="0" w:type="dxa"/>
              <w:bottom w:w="0" w:type="dxa"/>
              <w:right w:w="0" w:type="dxa"/>
            </w:tcMar>
          </w:tcPr>
          <w:p w14:paraId="036CDB0C" w14:textId="77777777" w:rsidR="008D0D96" w:rsidRDefault="0000000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Resting</w:t>
            </w:r>
          </w:p>
        </w:tc>
        <w:tc>
          <w:tcPr>
            <w:tcW w:w="2408" w:type="dxa"/>
            <w:tcBorders>
              <w:top w:val="single" w:sz="16" w:space="0" w:color="000000"/>
              <w:left w:val="dotted" w:sz="8" w:space="0" w:color="000000"/>
              <w:bottom w:val="single" w:sz="8" w:space="0" w:color="FFFFFF"/>
              <w:right w:val="dotted" w:sz="8" w:space="0" w:color="000000"/>
            </w:tcBorders>
            <w:shd w:val="clear" w:color="auto" w:fill="auto"/>
            <w:tcMar>
              <w:top w:w="0" w:type="dxa"/>
              <w:left w:w="0" w:type="dxa"/>
              <w:bottom w:w="0" w:type="dxa"/>
              <w:right w:w="0" w:type="dxa"/>
            </w:tcMar>
          </w:tcPr>
          <w:p w14:paraId="036CDB0D" w14:textId="77777777" w:rsidR="008D0D96" w:rsidRDefault="0000000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Living Room</w:t>
            </w:r>
          </w:p>
        </w:tc>
        <w:tc>
          <w:tcPr>
            <w:tcW w:w="2408" w:type="dxa"/>
            <w:tcBorders>
              <w:top w:val="single" w:sz="16" w:space="0" w:color="000000"/>
              <w:left w:val="dotted" w:sz="8" w:space="0" w:color="000000"/>
              <w:bottom w:val="single" w:sz="8" w:space="0" w:color="FFFFFF"/>
              <w:right w:val="dotted" w:sz="8" w:space="0" w:color="000000"/>
            </w:tcBorders>
            <w:shd w:val="clear" w:color="auto" w:fill="auto"/>
            <w:tcMar>
              <w:top w:w="0" w:type="dxa"/>
              <w:left w:w="0" w:type="dxa"/>
              <w:bottom w:w="0" w:type="dxa"/>
              <w:right w:w="0" w:type="dxa"/>
            </w:tcMar>
          </w:tcPr>
          <w:p w14:paraId="036CDB0E" w14:textId="77777777" w:rsidR="008D0D96" w:rsidRDefault="0000000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 xml:space="preserve">35dB </w:t>
            </w:r>
            <w:r>
              <w:rPr>
                <w:rFonts w:ascii="Arial" w:hAnsi="Arial" w:cs="Arial Unicode MS"/>
                <w:i/>
                <w:iCs/>
                <w:color w:val="000000"/>
                <w:sz w:val="22"/>
                <w:szCs w:val="22"/>
                <w14:textOutline w14:w="12700" w14:cap="flat" w14:cmpd="sng" w14:algn="ctr">
                  <w14:noFill/>
                  <w14:prstDash w14:val="solid"/>
                  <w14:miter w14:lim="400000"/>
                </w14:textOutline>
              </w:rPr>
              <w:t>L</w:t>
            </w:r>
            <w:r>
              <w:rPr>
                <w:rFonts w:ascii="Arial" w:hAnsi="Arial" w:cs="Arial Unicode MS"/>
                <w:color w:val="000000"/>
                <w:sz w:val="16"/>
                <w:szCs w:val="16"/>
                <w14:textOutline w14:w="12700" w14:cap="flat" w14:cmpd="sng" w14:algn="ctr">
                  <w14:noFill/>
                  <w14:prstDash w14:val="solid"/>
                  <w14:miter w14:lim="400000"/>
                </w14:textOutline>
              </w:rPr>
              <w:t>Aeq,16 Hour</w:t>
            </w:r>
          </w:p>
        </w:tc>
        <w:tc>
          <w:tcPr>
            <w:tcW w:w="2408" w:type="dxa"/>
            <w:tcBorders>
              <w:top w:val="single" w:sz="16" w:space="0" w:color="000000"/>
              <w:left w:val="dotted" w:sz="8" w:space="0" w:color="000000"/>
              <w:bottom w:val="single" w:sz="8" w:space="0" w:color="FFFFFF"/>
              <w:right w:val="single" w:sz="8" w:space="0" w:color="FFFFFF"/>
            </w:tcBorders>
            <w:shd w:val="clear" w:color="auto" w:fill="auto"/>
            <w:tcMar>
              <w:top w:w="0" w:type="dxa"/>
              <w:left w:w="0" w:type="dxa"/>
              <w:bottom w:w="0" w:type="dxa"/>
              <w:right w:w="0" w:type="dxa"/>
            </w:tcMar>
          </w:tcPr>
          <w:p w14:paraId="036CDB0F" w14:textId="77777777" w:rsidR="008D0D96" w:rsidRDefault="0000000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w:t>
            </w:r>
          </w:p>
        </w:tc>
      </w:tr>
      <w:tr w:rsidR="008D0D96" w14:paraId="036CDB15" w14:textId="77777777">
        <w:trPr>
          <w:trHeight w:val="452"/>
        </w:trPr>
        <w:tc>
          <w:tcPr>
            <w:tcW w:w="2408" w:type="dxa"/>
            <w:tcBorders>
              <w:top w:val="single" w:sz="8" w:space="0" w:color="FFFFFF"/>
              <w:left w:val="single" w:sz="8" w:space="0" w:color="FFFFFF"/>
              <w:bottom w:val="single" w:sz="8" w:space="0" w:color="FFFFFF"/>
              <w:right w:val="dotted" w:sz="8" w:space="0" w:color="000000"/>
            </w:tcBorders>
            <w:shd w:val="clear" w:color="auto" w:fill="auto"/>
            <w:tcMar>
              <w:top w:w="0" w:type="dxa"/>
              <w:left w:w="0" w:type="dxa"/>
              <w:bottom w:w="0" w:type="dxa"/>
              <w:right w:w="0" w:type="dxa"/>
            </w:tcMar>
          </w:tcPr>
          <w:p w14:paraId="036CDB11" w14:textId="77777777" w:rsidR="008D0D96" w:rsidRDefault="0000000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Dining</w:t>
            </w:r>
          </w:p>
        </w:tc>
        <w:tc>
          <w:tcPr>
            <w:tcW w:w="2408" w:type="dxa"/>
            <w:tcBorders>
              <w:top w:val="single" w:sz="8" w:space="0" w:color="FFFFFF"/>
              <w:left w:val="dotted" w:sz="8" w:space="0" w:color="000000"/>
              <w:bottom w:val="single" w:sz="8" w:space="0" w:color="FFFFFF"/>
              <w:right w:val="dotted" w:sz="8" w:space="0" w:color="000000"/>
            </w:tcBorders>
            <w:shd w:val="clear" w:color="auto" w:fill="auto"/>
            <w:tcMar>
              <w:top w:w="0" w:type="dxa"/>
              <w:left w:w="0" w:type="dxa"/>
              <w:bottom w:w="0" w:type="dxa"/>
              <w:right w:w="0" w:type="dxa"/>
            </w:tcMar>
          </w:tcPr>
          <w:p w14:paraId="036CDB12" w14:textId="77777777" w:rsidR="008D0D96" w:rsidRDefault="0000000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Dining Area</w:t>
            </w:r>
          </w:p>
        </w:tc>
        <w:tc>
          <w:tcPr>
            <w:tcW w:w="2408" w:type="dxa"/>
            <w:tcBorders>
              <w:top w:val="single" w:sz="8" w:space="0" w:color="FFFFFF"/>
              <w:left w:val="dotted" w:sz="8" w:space="0" w:color="000000"/>
              <w:bottom w:val="single" w:sz="8" w:space="0" w:color="FFFFFF"/>
              <w:right w:val="dotted" w:sz="8" w:space="0" w:color="000000"/>
            </w:tcBorders>
            <w:shd w:val="clear" w:color="auto" w:fill="auto"/>
            <w:tcMar>
              <w:top w:w="0" w:type="dxa"/>
              <w:left w:w="0" w:type="dxa"/>
              <w:bottom w:w="0" w:type="dxa"/>
              <w:right w:w="0" w:type="dxa"/>
            </w:tcMar>
          </w:tcPr>
          <w:p w14:paraId="036CDB13" w14:textId="77777777" w:rsidR="008D0D96" w:rsidRDefault="0000000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 xml:space="preserve">40dB </w:t>
            </w:r>
            <w:r>
              <w:rPr>
                <w:rFonts w:ascii="Arial" w:hAnsi="Arial" w:cs="Arial Unicode MS"/>
                <w:i/>
                <w:iCs/>
                <w:color w:val="000000"/>
                <w:sz w:val="22"/>
                <w:szCs w:val="22"/>
                <w14:textOutline w14:w="12700" w14:cap="flat" w14:cmpd="sng" w14:algn="ctr">
                  <w14:noFill/>
                  <w14:prstDash w14:val="solid"/>
                  <w14:miter w14:lim="400000"/>
                </w14:textOutline>
              </w:rPr>
              <w:t>L</w:t>
            </w:r>
            <w:r>
              <w:rPr>
                <w:rFonts w:ascii="Arial" w:hAnsi="Arial" w:cs="Arial Unicode MS"/>
                <w:color w:val="000000"/>
                <w:sz w:val="16"/>
                <w:szCs w:val="16"/>
                <w14:textOutline w14:w="12700" w14:cap="flat" w14:cmpd="sng" w14:algn="ctr">
                  <w14:noFill/>
                  <w14:prstDash w14:val="solid"/>
                  <w14:miter w14:lim="400000"/>
                </w14:textOutline>
              </w:rPr>
              <w:t>Aeq,16 Hour</w:t>
            </w:r>
          </w:p>
        </w:tc>
        <w:tc>
          <w:tcPr>
            <w:tcW w:w="2408" w:type="dxa"/>
            <w:tcBorders>
              <w:top w:val="single" w:sz="8" w:space="0" w:color="FFFFFF"/>
              <w:left w:val="dotted" w:sz="8" w:space="0" w:color="000000"/>
              <w:bottom w:val="single" w:sz="8" w:space="0" w:color="FFFFFF"/>
              <w:right w:val="single" w:sz="8" w:space="0" w:color="FFFFFF"/>
            </w:tcBorders>
            <w:shd w:val="clear" w:color="auto" w:fill="auto"/>
            <w:tcMar>
              <w:top w:w="0" w:type="dxa"/>
              <w:left w:w="0" w:type="dxa"/>
              <w:bottom w:w="0" w:type="dxa"/>
              <w:right w:w="0" w:type="dxa"/>
            </w:tcMar>
          </w:tcPr>
          <w:p w14:paraId="036CDB14" w14:textId="77777777" w:rsidR="008D0D96" w:rsidRDefault="0000000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w:t>
            </w:r>
          </w:p>
        </w:tc>
      </w:tr>
      <w:tr w:rsidR="008D0D96" w14:paraId="036CDB1A" w14:textId="77777777">
        <w:trPr>
          <w:trHeight w:val="452"/>
        </w:trPr>
        <w:tc>
          <w:tcPr>
            <w:tcW w:w="2408" w:type="dxa"/>
            <w:tcBorders>
              <w:top w:val="single" w:sz="8" w:space="0" w:color="FFFFFF"/>
              <w:left w:val="single" w:sz="8" w:space="0" w:color="FFFFFF"/>
              <w:bottom w:val="single" w:sz="8" w:space="0" w:color="FFFFFF"/>
              <w:right w:val="dotted" w:sz="8" w:space="0" w:color="000000"/>
            </w:tcBorders>
            <w:shd w:val="clear" w:color="auto" w:fill="auto"/>
            <w:tcMar>
              <w:top w:w="0" w:type="dxa"/>
              <w:left w:w="0" w:type="dxa"/>
              <w:bottom w:w="0" w:type="dxa"/>
              <w:right w:w="0" w:type="dxa"/>
            </w:tcMar>
          </w:tcPr>
          <w:p w14:paraId="036CDB16" w14:textId="77777777" w:rsidR="008D0D96" w:rsidRDefault="0000000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Sleeping</w:t>
            </w:r>
          </w:p>
        </w:tc>
        <w:tc>
          <w:tcPr>
            <w:tcW w:w="2408" w:type="dxa"/>
            <w:tcBorders>
              <w:top w:val="single" w:sz="8" w:space="0" w:color="FFFFFF"/>
              <w:left w:val="dotted" w:sz="8" w:space="0" w:color="000000"/>
              <w:bottom w:val="single" w:sz="8" w:space="0" w:color="FFFFFF"/>
              <w:right w:val="dotted" w:sz="8" w:space="0" w:color="000000"/>
            </w:tcBorders>
            <w:shd w:val="clear" w:color="auto" w:fill="auto"/>
            <w:tcMar>
              <w:top w:w="0" w:type="dxa"/>
              <w:left w:w="0" w:type="dxa"/>
              <w:bottom w:w="0" w:type="dxa"/>
              <w:right w:w="0" w:type="dxa"/>
            </w:tcMar>
          </w:tcPr>
          <w:p w14:paraId="036CDB17" w14:textId="77777777" w:rsidR="008D0D96" w:rsidRDefault="0000000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Bedroom</w:t>
            </w:r>
          </w:p>
        </w:tc>
        <w:tc>
          <w:tcPr>
            <w:tcW w:w="2408" w:type="dxa"/>
            <w:tcBorders>
              <w:top w:val="single" w:sz="8" w:space="0" w:color="FFFFFF"/>
              <w:left w:val="dotted" w:sz="8" w:space="0" w:color="000000"/>
              <w:bottom w:val="single" w:sz="8" w:space="0" w:color="FFFFFF"/>
              <w:right w:val="dotted" w:sz="8" w:space="0" w:color="000000"/>
            </w:tcBorders>
            <w:shd w:val="clear" w:color="auto" w:fill="auto"/>
            <w:tcMar>
              <w:top w:w="0" w:type="dxa"/>
              <w:left w:w="0" w:type="dxa"/>
              <w:bottom w:w="0" w:type="dxa"/>
              <w:right w:w="0" w:type="dxa"/>
            </w:tcMar>
          </w:tcPr>
          <w:p w14:paraId="036CDB18" w14:textId="77777777" w:rsidR="008D0D96" w:rsidRDefault="0000000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 xml:space="preserve">35dB </w:t>
            </w:r>
            <w:r>
              <w:rPr>
                <w:rFonts w:ascii="Arial" w:hAnsi="Arial" w:cs="Arial Unicode MS"/>
                <w:i/>
                <w:iCs/>
                <w:color w:val="000000"/>
                <w:sz w:val="22"/>
                <w:szCs w:val="22"/>
                <w14:textOutline w14:w="12700" w14:cap="flat" w14:cmpd="sng" w14:algn="ctr">
                  <w14:noFill/>
                  <w14:prstDash w14:val="solid"/>
                  <w14:miter w14:lim="400000"/>
                </w14:textOutline>
              </w:rPr>
              <w:t>L</w:t>
            </w:r>
            <w:r>
              <w:rPr>
                <w:rFonts w:ascii="Arial" w:hAnsi="Arial" w:cs="Arial Unicode MS"/>
                <w:color w:val="000000"/>
                <w:sz w:val="16"/>
                <w:szCs w:val="16"/>
                <w14:textOutline w14:w="12700" w14:cap="flat" w14:cmpd="sng" w14:algn="ctr">
                  <w14:noFill/>
                  <w14:prstDash w14:val="solid"/>
                  <w14:miter w14:lim="400000"/>
                </w14:textOutline>
              </w:rPr>
              <w:t>Aeq,16 Hour</w:t>
            </w:r>
          </w:p>
        </w:tc>
        <w:tc>
          <w:tcPr>
            <w:tcW w:w="2408" w:type="dxa"/>
            <w:tcBorders>
              <w:top w:val="single" w:sz="8" w:space="0" w:color="FFFFFF"/>
              <w:left w:val="dotted" w:sz="8" w:space="0" w:color="000000"/>
              <w:bottom w:val="single" w:sz="8" w:space="0" w:color="FFFFFF"/>
              <w:right w:val="nil"/>
            </w:tcBorders>
            <w:shd w:val="clear" w:color="auto" w:fill="auto"/>
            <w:tcMar>
              <w:top w:w="0" w:type="dxa"/>
              <w:left w:w="0" w:type="dxa"/>
              <w:bottom w:w="0" w:type="dxa"/>
              <w:right w:w="0" w:type="dxa"/>
            </w:tcMar>
          </w:tcPr>
          <w:p w14:paraId="036CDB19" w14:textId="77777777" w:rsidR="008D0D96" w:rsidRDefault="0000000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 xml:space="preserve">30dB </w:t>
            </w:r>
            <w:r>
              <w:rPr>
                <w:rFonts w:ascii="Arial" w:hAnsi="Arial" w:cs="Arial Unicode MS"/>
                <w:i/>
                <w:iCs/>
                <w:color w:val="000000"/>
                <w:sz w:val="22"/>
                <w:szCs w:val="22"/>
                <w14:textOutline w14:w="12700" w14:cap="flat" w14:cmpd="sng" w14:algn="ctr">
                  <w14:noFill/>
                  <w14:prstDash w14:val="solid"/>
                  <w14:miter w14:lim="400000"/>
                </w14:textOutline>
              </w:rPr>
              <w:t>L</w:t>
            </w:r>
            <w:r>
              <w:rPr>
                <w:rFonts w:ascii="Arial" w:hAnsi="Arial" w:cs="Arial Unicode MS"/>
                <w:color w:val="000000"/>
                <w:sz w:val="16"/>
                <w:szCs w:val="16"/>
                <w14:textOutline w14:w="12700" w14:cap="flat" w14:cmpd="sng" w14:algn="ctr">
                  <w14:noFill/>
                  <w14:prstDash w14:val="solid"/>
                  <w14:miter w14:lim="400000"/>
                </w14:textOutline>
              </w:rPr>
              <w:t>Aeq,8 Hour</w:t>
            </w:r>
          </w:p>
        </w:tc>
      </w:tr>
    </w:tbl>
    <w:p w14:paraId="036CDB1B" w14:textId="77777777" w:rsidR="008D0D96" w:rsidRDefault="008D0D96">
      <w:pPr>
        <w:pStyle w:val="Default"/>
        <w:ind w:right="1394"/>
        <w:jc w:val="both"/>
      </w:pPr>
    </w:p>
    <w:p w14:paraId="036CDB1C" w14:textId="77777777" w:rsidR="008D0D96" w:rsidRDefault="008D0D96">
      <w:pPr>
        <w:pStyle w:val="Default"/>
        <w:ind w:right="1394"/>
        <w:jc w:val="both"/>
      </w:pPr>
    </w:p>
    <w:p w14:paraId="036CDB1D" w14:textId="77777777" w:rsidR="008D0D96" w:rsidRDefault="00000000">
      <w:pPr>
        <w:pStyle w:val="Default"/>
        <w:ind w:right="1394"/>
        <w:jc w:val="both"/>
      </w:pPr>
      <w:r>
        <w:lastRenderedPageBreak/>
        <w:t xml:space="preserve">Therefore sound insulation measures such as Internal </w:t>
      </w:r>
      <w:proofErr w:type="spellStart"/>
      <w:r>
        <w:t>Gypframe</w:t>
      </w:r>
      <w:proofErr w:type="spellEnd"/>
      <w:r>
        <w:t xml:space="preserve"> Sound Insulation to the Road facing elevation, as well as Glazing specification of Double Glazed Units min. R</w:t>
      </w:r>
      <w:r>
        <w:rPr>
          <w:sz w:val="14"/>
          <w:szCs w:val="14"/>
        </w:rPr>
        <w:t>TRA</w:t>
      </w:r>
      <w:r>
        <w:t xml:space="preserve"> 25db (Value taken for 4mm pane, 6-16mm air gap, 4mm pane from Table 4 of BS 12758:2011) will ensure the building envelope meets the above criteria in mitigating external traffic noise and providing an acceptable sound environment to the dwelling (CC8).</w:t>
      </w:r>
    </w:p>
    <w:p w14:paraId="036CDB1E" w14:textId="77777777" w:rsidR="008D0D96" w:rsidRDefault="008D0D96">
      <w:pPr>
        <w:pStyle w:val="Default"/>
        <w:ind w:right="1394"/>
        <w:jc w:val="both"/>
      </w:pPr>
    </w:p>
    <w:p w14:paraId="036CDB1F" w14:textId="77777777" w:rsidR="008D0D96" w:rsidRDefault="00000000">
      <w:pPr>
        <w:pStyle w:val="Default"/>
        <w:ind w:right="1394"/>
        <w:jc w:val="both"/>
      </w:pPr>
      <w:r>
        <w:t xml:space="preserve">Internal Noise (including Vibration and Impact noise) from both the adjoining property (via the Party Wall) and the Existing commercial Unit below will also be mitigated with the use of </w:t>
      </w:r>
      <w:proofErr w:type="spellStart"/>
      <w:r>
        <w:t>Gypframe</w:t>
      </w:r>
      <w:proofErr w:type="spellEnd"/>
      <w:r>
        <w:t xml:space="preserve"> Lining system to the Party Walls, </w:t>
      </w:r>
      <w:proofErr w:type="spellStart"/>
      <w:r>
        <w:t>Gypframe</w:t>
      </w:r>
      <w:proofErr w:type="spellEnd"/>
      <w:r>
        <w:t xml:space="preserve"> </w:t>
      </w:r>
      <w:proofErr w:type="spellStart"/>
      <w:r>
        <w:t>AcouStud</w:t>
      </w:r>
      <w:proofErr w:type="spellEnd"/>
      <w:r>
        <w:t xml:space="preserve"> system to the separating walls within the </w:t>
      </w:r>
      <w:proofErr w:type="gramStart"/>
      <w:r>
        <w:t>Building</w:t>
      </w:r>
      <w:proofErr w:type="gramEnd"/>
      <w:r>
        <w:t xml:space="preserve"> envelope; I.E.: Ground Floor entrance Hall, and </w:t>
      </w:r>
      <w:proofErr w:type="spellStart"/>
      <w:r>
        <w:t>GypFloor</w:t>
      </w:r>
      <w:proofErr w:type="spellEnd"/>
      <w:r>
        <w:t xml:space="preserve"> Silent system fitted to the separating Floor.</w:t>
      </w:r>
    </w:p>
    <w:p w14:paraId="036CDB20" w14:textId="77777777" w:rsidR="008D0D96" w:rsidRDefault="008D0D96">
      <w:pPr>
        <w:pStyle w:val="Default"/>
        <w:ind w:right="1394"/>
        <w:jc w:val="both"/>
      </w:pPr>
    </w:p>
    <w:p w14:paraId="036CDB21" w14:textId="77777777" w:rsidR="008D0D96" w:rsidRDefault="00000000">
      <w:pPr>
        <w:pStyle w:val="Default"/>
        <w:ind w:right="1394"/>
        <w:jc w:val="both"/>
      </w:pPr>
      <w:r>
        <w:rPr>
          <w:u w:val="single"/>
        </w:rPr>
        <w:t>See Drawing 02A for Sound Insulation Specification and Details to External Wall(s) and Party Walls/Separating Walls &amp; Floors</w:t>
      </w:r>
      <w:r>
        <w:t>.</w:t>
      </w:r>
    </w:p>
    <w:p w14:paraId="036CDB22" w14:textId="77777777" w:rsidR="008D0D96" w:rsidRDefault="008D0D96">
      <w:pPr>
        <w:pStyle w:val="Default"/>
        <w:ind w:right="1394"/>
        <w:jc w:val="both"/>
      </w:pPr>
    </w:p>
    <w:p w14:paraId="036CDB23" w14:textId="77777777" w:rsidR="008D0D96" w:rsidRDefault="008D0D96">
      <w:pPr>
        <w:pStyle w:val="Default"/>
        <w:ind w:right="1394"/>
        <w:jc w:val="center"/>
      </w:pPr>
    </w:p>
    <w:p w14:paraId="036CDB24" w14:textId="77777777" w:rsidR="008D0D96" w:rsidRDefault="00000000">
      <w:pPr>
        <w:pStyle w:val="Default"/>
        <w:ind w:right="1394"/>
        <w:jc w:val="center"/>
      </w:pPr>
      <w:r>
        <w:t>~~ Page 4 ~~</w:t>
      </w:r>
    </w:p>
    <w:p w14:paraId="036CDB25" w14:textId="77777777" w:rsidR="008D0D96" w:rsidRDefault="008D0D96">
      <w:pPr>
        <w:pStyle w:val="Default"/>
        <w:ind w:right="1394"/>
        <w:jc w:val="both"/>
      </w:pPr>
    </w:p>
    <w:p w14:paraId="036CDB26" w14:textId="77777777" w:rsidR="008D0D96" w:rsidRDefault="008D0D96">
      <w:pPr>
        <w:pStyle w:val="Default"/>
        <w:ind w:right="1394"/>
        <w:jc w:val="both"/>
      </w:pPr>
    </w:p>
    <w:p w14:paraId="036CDB27" w14:textId="77777777" w:rsidR="008D0D96" w:rsidRDefault="008D0D96">
      <w:pPr>
        <w:pStyle w:val="Default"/>
        <w:ind w:right="1394"/>
        <w:jc w:val="both"/>
      </w:pPr>
    </w:p>
    <w:p w14:paraId="036CDB28" w14:textId="77777777" w:rsidR="008D0D96" w:rsidRDefault="008D0D96">
      <w:pPr>
        <w:pStyle w:val="Default"/>
        <w:ind w:right="1394"/>
        <w:jc w:val="both"/>
        <w:rPr>
          <w:b/>
          <w:bCs/>
        </w:rPr>
      </w:pPr>
    </w:p>
    <w:p w14:paraId="036CDB29" w14:textId="77777777" w:rsidR="008D0D96" w:rsidRDefault="008D0D96">
      <w:pPr>
        <w:pStyle w:val="Default"/>
        <w:ind w:right="1394"/>
        <w:jc w:val="both"/>
        <w:rPr>
          <w:b/>
          <w:bCs/>
        </w:rPr>
      </w:pPr>
    </w:p>
    <w:p w14:paraId="036CDB2A" w14:textId="77777777" w:rsidR="008D0D96" w:rsidRDefault="00000000">
      <w:pPr>
        <w:pStyle w:val="Default"/>
        <w:ind w:right="1394"/>
        <w:jc w:val="both"/>
        <w:rPr>
          <w:b/>
          <w:bCs/>
        </w:rPr>
      </w:pPr>
      <w:r>
        <w:rPr>
          <w:b/>
          <w:bCs/>
        </w:rPr>
        <w:t>Flooding and Drainage</w:t>
      </w:r>
    </w:p>
    <w:p w14:paraId="036CDB2B" w14:textId="77777777" w:rsidR="008D0D96" w:rsidRDefault="008D0D96">
      <w:pPr>
        <w:pStyle w:val="Default"/>
        <w:ind w:right="1394"/>
        <w:jc w:val="both"/>
        <w:rPr>
          <w:b/>
          <w:bCs/>
        </w:rPr>
      </w:pPr>
    </w:p>
    <w:p w14:paraId="036CDB2C" w14:textId="77777777" w:rsidR="008D0D96" w:rsidRDefault="00000000">
      <w:pPr>
        <w:pStyle w:val="Default"/>
        <w:ind w:right="1394"/>
        <w:jc w:val="both"/>
      </w:pPr>
      <w:r>
        <w:t xml:space="preserve">The application site does not give rise to concerns </w:t>
      </w:r>
      <w:proofErr w:type="gramStart"/>
      <w:r>
        <w:t>in regards to</w:t>
      </w:r>
      <w:proofErr w:type="gramEnd"/>
      <w:r>
        <w:t xml:space="preserve"> flooding or drainage. The site is not located within Flood Zone 2 or 3. The existing surface water systems are already in place and there </w:t>
      </w:r>
      <w:proofErr w:type="gramStart"/>
      <w:r>
        <w:t>is</w:t>
      </w:r>
      <w:proofErr w:type="gramEnd"/>
      <w:r>
        <w:t xml:space="preserve"> no proposed alterations to </w:t>
      </w:r>
      <w:proofErr w:type="gramStart"/>
      <w:r>
        <w:t>Roof</w:t>
      </w:r>
      <w:proofErr w:type="gramEnd"/>
      <w:r>
        <w:t xml:space="preserve"> area/design affecting this. The Existing Foul system is also in place and there are no significant alterations planned.</w:t>
      </w:r>
    </w:p>
    <w:p w14:paraId="036CDB2D" w14:textId="77777777" w:rsidR="008D0D96" w:rsidRDefault="008D0D96">
      <w:pPr>
        <w:pStyle w:val="Default"/>
        <w:ind w:right="1394"/>
        <w:jc w:val="both"/>
        <w:rPr>
          <w:b/>
          <w:bCs/>
        </w:rPr>
      </w:pPr>
    </w:p>
    <w:p w14:paraId="036CDB2E" w14:textId="77777777" w:rsidR="008D0D96" w:rsidRDefault="00000000">
      <w:pPr>
        <w:pStyle w:val="Default"/>
        <w:ind w:right="1394"/>
        <w:jc w:val="both"/>
        <w:rPr>
          <w:b/>
          <w:bCs/>
        </w:rPr>
      </w:pPr>
      <w:r>
        <w:rPr>
          <w:b/>
          <w:bCs/>
        </w:rPr>
        <w:t>Standards for New Housing</w:t>
      </w:r>
    </w:p>
    <w:p w14:paraId="036CDB2F" w14:textId="77777777" w:rsidR="008D0D96" w:rsidRDefault="008D0D96">
      <w:pPr>
        <w:pStyle w:val="Default"/>
        <w:ind w:right="1394"/>
        <w:jc w:val="both"/>
        <w:rPr>
          <w:b/>
          <w:bCs/>
        </w:rPr>
      </w:pPr>
    </w:p>
    <w:p w14:paraId="036CDB30" w14:textId="77777777" w:rsidR="008D0D96" w:rsidRDefault="00000000">
      <w:pPr>
        <w:pStyle w:val="Default"/>
        <w:ind w:right="1394"/>
        <w:jc w:val="both"/>
      </w:pPr>
      <w:r>
        <w:t xml:space="preserve">The minimum gross internal floor area for a single occupancy 1 </w:t>
      </w:r>
      <w:proofErr w:type="spellStart"/>
      <w:r>
        <w:t>storey</w:t>
      </w:r>
      <w:proofErr w:type="spellEnd"/>
      <w:r>
        <w:t xml:space="preserve"> dwelling is 39sqm. The current layout as proposed complies with the above requirement for Policy H5.</w:t>
      </w:r>
    </w:p>
    <w:p w14:paraId="036CDB31" w14:textId="77777777" w:rsidR="008D0D96" w:rsidRDefault="008D0D96">
      <w:pPr>
        <w:pStyle w:val="Default"/>
        <w:ind w:right="1394"/>
        <w:jc w:val="both"/>
      </w:pPr>
    </w:p>
    <w:p w14:paraId="036CDB32" w14:textId="77777777" w:rsidR="008D0D96" w:rsidRDefault="00000000">
      <w:pPr>
        <w:pStyle w:val="Default"/>
        <w:ind w:right="1394"/>
        <w:jc w:val="both"/>
        <w:rPr>
          <w:b/>
          <w:bCs/>
        </w:rPr>
      </w:pPr>
      <w:r>
        <w:rPr>
          <w:b/>
          <w:bCs/>
        </w:rPr>
        <w:t>Affordable Housing</w:t>
      </w:r>
    </w:p>
    <w:p w14:paraId="036CDB33" w14:textId="77777777" w:rsidR="008D0D96" w:rsidRDefault="008D0D96">
      <w:pPr>
        <w:pStyle w:val="Default"/>
        <w:ind w:right="1394"/>
        <w:jc w:val="both"/>
        <w:rPr>
          <w:b/>
          <w:bCs/>
        </w:rPr>
      </w:pPr>
    </w:p>
    <w:p w14:paraId="036CDB34" w14:textId="77777777" w:rsidR="008D0D96" w:rsidRDefault="00000000">
      <w:pPr>
        <w:pStyle w:val="Default"/>
        <w:ind w:right="1394"/>
        <w:jc w:val="both"/>
      </w:pPr>
      <w:r>
        <w:t xml:space="preserve">Policy H3 of the Reading Borough Local Plan (Adopted November 2019) states the following: </w:t>
      </w:r>
    </w:p>
    <w:p w14:paraId="036CDB35" w14:textId="77777777" w:rsidR="008D0D96" w:rsidRDefault="008D0D96">
      <w:pPr>
        <w:pStyle w:val="Default"/>
        <w:ind w:right="1394"/>
        <w:jc w:val="both"/>
      </w:pPr>
    </w:p>
    <w:p w14:paraId="036CDB36" w14:textId="77777777" w:rsidR="008D0D96" w:rsidRDefault="00000000">
      <w:pPr>
        <w:pStyle w:val="Default"/>
        <w:ind w:right="1394"/>
        <w:jc w:val="both"/>
      </w:pPr>
      <w:r>
        <w:t>‘</w:t>
      </w:r>
      <w:proofErr w:type="gramStart"/>
      <w:r>
        <w:rPr>
          <w:i/>
          <w:iCs/>
        </w:rPr>
        <w:t>on</w:t>
      </w:r>
      <w:proofErr w:type="gramEnd"/>
      <w:r>
        <w:rPr>
          <w:i/>
          <w:iCs/>
        </w:rPr>
        <w:t xml:space="preserve"> sites of 1 – 4 dwellings, a financial contribution will be made that will enable the equivalent of 10% of the housing to be provided as affordable housing elsewhere in the Borough</w:t>
      </w:r>
      <w:r>
        <w:t>.’</w:t>
      </w:r>
    </w:p>
    <w:p w14:paraId="036CDB37" w14:textId="77777777" w:rsidR="008D0D96" w:rsidRDefault="008D0D96">
      <w:pPr>
        <w:pStyle w:val="Default"/>
        <w:ind w:right="1394"/>
        <w:jc w:val="both"/>
      </w:pPr>
    </w:p>
    <w:p w14:paraId="036CDB38" w14:textId="77777777" w:rsidR="008D0D96" w:rsidRDefault="00000000">
      <w:pPr>
        <w:pStyle w:val="Default"/>
        <w:ind w:right="1394"/>
        <w:jc w:val="both"/>
      </w:pPr>
      <w:r>
        <w:t xml:space="preserve">While the Affordable Housing Supplementary Planning Document (Adopted March 2021) chapter </w:t>
      </w:r>
      <w:proofErr w:type="gramStart"/>
      <w:r>
        <w:t>7.7,</w:t>
      </w:r>
      <w:proofErr w:type="gramEnd"/>
      <w:r>
        <w:t xml:space="preserve"> states:</w:t>
      </w:r>
    </w:p>
    <w:p w14:paraId="036CDB39" w14:textId="77777777" w:rsidR="008D0D96" w:rsidRDefault="008D0D96">
      <w:pPr>
        <w:pStyle w:val="Default"/>
        <w:ind w:right="1394"/>
        <w:jc w:val="both"/>
      </w:pPr>
    </w:p>
    <w:p w14:paraId="036CDB3A" w14:textId="77777777" w:rsidR="008D0D96" w:rsidRDefault="00000000">
      <w:pPr>
        <w:pStyle w:val="Default"/>
        <w:ind w:right="1394"/>
        <w:jc w:val="both"/>
        <w:rPr>
          <w:i/>
          <w:iCs/>
        </w:rPr>
      </w:pPr>
      <w:r>
        <w:rPr>
          <w:i/>
          <w:iCs/>
        </w:rPr>
        <w:t>‘A typical Affordable Housing Statement for developments of less than 10 dwellings, where an off-site financial contribution is expected, should include the following information:</w:t>
      </w:r>
    </w:p>
    <w:p w14:paraId="036CDB3B" w14:textId="77777777" w:rsidR="008D0D96" w:rsidRDefault="00000000">
      <w:pPr>
        <w:pStyle w:val="Default"/>
        <w:ind w:right="1394"/>
        <w:jc w:val="both"/>
        <w:rPr>
          <w:i/>
          <w:iCs/>
        </w:rPr>
      </w:pPr>
      <w:r>
        <w:rPr>
          <w:i/>
          <w:iCs/>
        </w:rPr>
        <w:tab/>
        <w:t xml:space="preserve">• the total number of all residential </w:t>
      </w:r>
      <w:proofErr w:type="gramStart"/>
      <w:r>
        <w:rPr>
          <w:i/>
          <w:iCs/>
        </w:rPr>
        <w:t>units;</w:t>
      </w:r>
      <w:proofErr w:type="gramEnd"/>
    </w:p>
    <w:p w14:paraId="036CDB3C" w14:textId="77777777" w:rsidR="008D0D96" w:rsidRDefault="00000000">
      <w:pPr>
        <w:pStyle w:val="Default"/>
        <w:ind w:right="1394"/>
        <w:jc w:val="both"/>
        <w:rPr>
          <w:i/>
          <w:iCs/>
        </w:rPr>
      </w:pPr>
      <w:r>
        <w:rPr>
          <w:i/>
          <w:iCs/>
        </w:rPr>
        <w:tab/>
        <w:t xml:space="preserve">• details of the Gross Development Value (GDV) of the whole development, based </w:t>
      </w:r>
      <w:r>
        <w:rPr>
          <w:i/>
          <w:iCs/>
        </w:rPr>
        <w:tab/>
      </w:r>
      <w:r>
        <w:rPr>
          <w:i/>
          <w:iCs/>
        </w:rPr>
        <w:tab/>
        <w:t xml:space="preserve">on two separate valuations by suitably qualified estate agents of the </w:t>
      </w:r>
      <w:r>
        <w:rPr>
          <w:i/>
          <w:iCs/>
        </w:rPr>
        <w:tab/>
      </w:r>
      <w:r>
        <w:rPr>
          <w:i/>
          <w:iCs/>
        </w:rPr>
        <w:tab/>
      </w:r>
      <w:r>
        <w:rPr>
          <w:i/>
          <w:iCs/>
        </w:rPr>
        <w:tab/>
      </w:r>
      <w:r>
        <w:rPr>
          <w:i/>
          <w:iCs/>
        </w:rPr>
        <w:tab/>
        <w:t>completed development; and</w:t>
      </w:r>
    </w:p>
    <w:p w14:paraId="036CDB3D" w14:textId="77777777" w:rsidR="008D0D96" w:rsidRDefault="00000000">
      <w:pPr>
        <w:pStyle w:val="Default"/>
        <w:ind w:right="1394"/>
        <w:jc w:val="both"/>
        <w:rPr>
          <w:i/>
          <w:iCs/>
        </w:rPr>
      </w:pPr>
      <w:r>
        <w:rPr>
          <w:i/>
          <w:iCs/>
        </w:rPr>
        <w:tab/>
        <w:t>• the proposed level of financial contribution.’</w:t>
      </w:r>
    </w:p>
    <w:p w14:paraId="036CDB3E" w14:textId="77777777" w:rsidR="008D0D96" w:rsidRDefault="008D0D96">
      <w:pPr>
        <w:pStyle w:val="Default"/>
        <w:ind w:right="1394"/>
        <w:jc w:val="both"/>
      </w:pPr>
    </w:p>
    <w:p w14:paraId="036CDB3F" w14:textId="77777777" w:rsidR="008D0D96" w:rsidRDefault="00000000">
      <w:pPr>
        <w:pStyle w:val="Default"/>
        <w:ind w:right="1394"/>
        <w:jc w:val="both"/>
      </w:pPr>
      <w:r>
        <w:t>Total number of Residential Units: 1</w:t>
      </w:r>
    </w:p>
    <w:p w14:paraId="036CDB40" w14:textId="77777777" w:rsidR="008D0D96" w:rsidRDefault="008D0D96">
      <w:pPr>
        <w:pStyle w:val="Default"/>
        <w:ind w:right="1394"/>
        <w:jc w:val="both"/>
      </w:pPr>
    </w:p>
    <w:p w14:paraId="036CDB41" w14:textId="77777777" w:rsidR="008D0D96" w:rsidRDefault="00000000">
      <w:pPr>
        <w:pStyle w:val="Default"/>
        <w:ind w:right="1394"/>
        <w:jc w:val="both"/>
      </w:pPr>
      <w:r>
        <w:t xml:space="preserve">Gross Development Value (GDV): This information has not yet been </w:t>
      </w:r>
      <w:proofErr w:type="spellStart"/>
      <w:r>
        <w:t>finalised</w:t>
      </w:r>
      <w:proofErr w:type="spellEnd"/>
      <w:r>
        <w:t>. However, it will be provided at the appropriate stage.</w:t>
      </w:r>
    </w:p>
    <w:p w14:paraId="036CDB42" w14:textId="77777777" w:rsidR="008D0D96" w:rsidRDefault="008D0D96">
      <w:pPr>
        <w:pStyle w:val="Default"/>
        <w:ind w:right="1394"/>
        <w:jc w:val="both"/>
      </w:pPr>
    </w:p>
    <w:p w14:paraId="036CDB43" w14:textId="77777777" w:rsidR="008D0D96" w:rsidRDefault="00000000">
      <w:pPr>
        <w:pStyle w:val="Default"/>
        <w:ind w:right="1394"/>
        <w:jc w:val="both"/>
      </w:pPr>
      <w:r>
        <w:t xml:space="preserve">Proposed Level of Financial Contribution: As the above information has not yet been </w:t>
      </w:r>
      <w:proofErr w:type="spellStart"/>
      <w:r>
        <w:t>finalised</w:t>
      </w:r>
      <w:proofErr w:type="spellEnd"/>
      <w:r>
        <w:t xml:space="preserve">, a calculation of contribution cannot yet be made; however, a financial contribution towards affordable housing in accordance with </w:t>
      </w:r>
      <w:proofErr w:type="gramStart"/>
      <w:r>
        <w:t>Affordable</w:t>
      </w:r>
      <w:proofErr w:type="gramEnd"/>
      <w:r>
        <w:t xml:space="preserve"> Housing Supplementary Planning Document and Policy H3 &amp; CC9 will be made and the applicant formally agrees to this requirement.</w:t>
      </w:r>
    </w:p>
    <w:p w14:paraId="036CDB44" w14:textId="77777777" w:rsidR="008D0D96" w:rsidRDefault="008D0D96">
      <w:pPr>
        <w:pStyle w:val="Default"/>
        <w:ind w:right="1394"/>
        <w:jc w:val="both"/>
      </w:pPr>
    </w:p>
    <w:p w14:paraId="036CDB45" w14:textId="77777777" w:rsidR="008D0D96" w:rsidRDefault="00000000">
      <w:pPr>
        <w:pStyle w:val="Default"/>
        <w:ind w:right="1394"/>
        <w:jc w:val="both"/>
        <w:rPr>
          <w:b/>
          <w:bCs/>
        </w:rPr>
      </w:pPr>
      <w:r>
        <w:rPr>
          <w:b/>
          <w:bCs/>
        </w:rPr>
        <w:t>Conclusion</w:t>
      </w:r>
    </w:p>
    <w:p w14:paraId="036CDB46" w14:textId="77777777" w:rsidR="008D0D96" w:rsidRDefault="008D0D96">
      <w:pPr>
        <w:pStyle w:val="Default"/>
        <w:ind w:right="1394"/>
        <w:jc w:val="both"/>
        <w:rPr>
          <w:b/>
          <w:bCs/>
        </w:rPr>
      </w:pPr>
    </w:p>
    <w:p w14:paraId="036CDB47" w14:textId="77777777" w:rsidR="008D0D96" w:rsidRDefault="00000000">
      <w:pPr>
        <w:pStyle w:val="Default"/>
        <w:ind w:right="1394"/>
        <w:jc w:val="both"/>
      </w:pPr>
      <w:r>
        <w:t xml:space="preserve">The proposal makes </w:t>
      </w:r>
      <w:proofErr w:type="gramStart"/>
      <w:r>
        <w:t>a good</w:t>
      </w:r>
      <w:proofErr w:type="gramEnd"/>
      <w:r>
        <w:t xml:space="preserve"> use of the existing building in a sustainable location well related to key facilities and transport links. A financial contribution towards affordable housing will be made and the applicant formally agrees to this requirement.</w:t>
      </w:r>
    </w:p>
    <w:p w14:paraId="036CDB48" w14:textId="77777777" w:rsidR="008D0D96" w:rsidRDefault="008D0D96">
      <w:pPr>
        <w:pStyle w:val="Default"/>
        <w:ind w:right="1394"/>
        <w:jc w:val="center"/>
      </w:pPr>
    </w:p>
    <w:p w14:paraId="036CDB49" w14:textId="77777777" w:rsidR="008D0D96" w:rsidRDefault="008D0D96">
      <w:pPr>
        <w:pStyle w:val="Default"/>
        <w:ind w:right="1394"/>
        <w:jc w:val="center"/>
      </w:pPr>
    </w:p>
    <w:p w14:paraId="036CDB4A" w14:textId="77777777" w:rsidR="008D0D96" w:rsidRDefault="008D0D96">
      <w:pPr>
        <w:pStyle w:val="Default"/>
        <w:ind w:right="1394"/>
        <w:jc w:val="center"/>
      </w:pPr>
    </w:p>
    <w:p w14:paraId="036CDB4B" w14:textId="77777777" w:rsidR="008D0D96" w:rsidRDefault="008D0D96">
      <w:pPr>
        <w:pStyle w:val="Default"/>
        <w:ind w:right="1394"/>
        <w:jc w:val="center"/>
      </w:pPr>
    </w:p>
    <w:p w14:paraId="036CDB4C" w14:textId="77777777" w:rsidR="008D0D96" w:rsidRDefault="008D0D96">
      <w:pPr>
        <w:pStyle w:val="Default"/>
        <w:ind w:right="1394"/>
        <w:jc w:val="center"/>
      </w:pPr>
    </w:p>
    <w:p w14:paraId="036CDB4D" w14:textId="77777777" w:rsidR="008D0D96" w:rsidRDefault="008D0D96">
      <w:pPr>
        <w:pStyle w:val="Default"/>
        <w:ind w:right="1394"/>
        <w:jc w:val="center"/>
      </w:pPr>
    </w:p>
    <w:p w14:paraId="036CDB4E" w14:textId="77777777" w:rsidR="008D0D96" w:rsidRDefault="00000000">
      <w:pPr>
        <w:pStyle w:val="Default"/>
        <w:ind w:right="1394"/>
        <w:jc w:val="center"/>
      </w:pPr>
      <w:r>
        <w:t>~~ Page 5 ~~</w:t>
      </w:r>
    </w:p>
    <w:sectPr w:rsidR="008D0D96">
      <w:headerReference w:type="default" r:id="rId8"/>
      <w:footerReference w:type="default" r:id="rId9"/>
      <w:pgSz w:w="11900" w:h="16840"/>
      <w:pgMar w:top="0" w:right="0" w:bottom="0" w:left="85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DF677" w14:textId="77777777" w:rsidR="00B7139E" w:rsidRDefault="00B7139E">
      <w:r>
        <w:separator/>
      </w:r>
    </w:p>
  </w:endnote>
  <w:endnote w:type="continuationSeparator" w:id="0">
    <w:p w14:paraId="4E9284C5" w14:textId="77777777" w:rsidR="00B7139E" w:rsidRDefault="00B71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DB52" w14:textId="77777777" w:rsidR="008D0D96" w:rsidRDefault="008D0D9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78CD2" w14:textId="77777777" w:rsidR="00B7139E" w:rsidRDefault="00B7139E">
      <w:r>
        <w:separator/>
      </w:r>
    </w:p>
  </w:footnote>
  <w:footnote w:type="continuationSeparator" w:id="0">
    <w:p w14:paraId="69463340" w14:textId="77777777" w:rsidR="00B7139E" w:rsidRDefault="00B71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DB51" w14:textId="77777777" w:rsidR="008D0D96" w:rsidRDefault="008D0D9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3911"/>
    <w:multiLevelType w:val="hybridMultilevel"/>
    <w:tmpl w:val="1DFA6F94"/>
    <w:numStyleLink w:val="ImportedStyle2"/>
  </w:abstractNum>
  <w:abstractNum w:abstractNumId="1" w15:restartNumberingAfterBreak="0">
    <w:nsid w:val="2E147B75"/>
    <w:multiLevelType w:val="hybridMultilevel"/>
    <w:tmpl w:val="1DFA6F94"/>
    <w:styleLink w:val="ImportedStyle2"/>
    <w:lvl w:ilvl="0" w:tplc="F58E0D2A">
      <w:start w:val="1"/>
      <w:numFmt w:val="low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4596F23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EECC040">
      <w:start w:val="1"/>
      <w:numFmt w:val="lowerRoman"/>
      <w:lvlText w:val="%3."/>
      <w:lvlJc w:val="left"/>
      <w:pPr>
        <w:ind w:left="216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FA90237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67CDB1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8EE4E70">
      <w:start w:val="1"/>
      <w:numFmt w:val="lowerRoman"/>
      <w:lvlText w:val="%6."/>
      <w:lvlJc w:val="left"/>
      <w:pPr>
        <w:ind w:left="432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9CC2500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46C9B9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4869978">
      <w:start w:val="1"/>
      <w:numFmt w:val="lowerRoman"/>
      <w:lvlText w:val="%9."/>
      <w:lvlJc w:val="left"/>
      <w:pPr>
        <w:ind w:left="648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131334784">
    <w:abstractNumId w:val="1"/>
  </w:num>
  <w:num w:numId="2" w16cid:durableId="1272395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D96"/>
    <w:rsid w:val="00506CE4"/>
    <w:rsid w:val="008D0D96"/>
    <w:rsid w:val="00B7139E"/>
    <w:rsid w:val="00C426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CDABB"/>
  <w15:docId w15:val="{B6DFF718-527C-4895-848E-43C9F76C5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Default">
    <w:name w:val="Default"/>
    <w:rPr>
      <w:rFonts w:ascii="Arial" w:eastAsia="Arial" w:hAnsi="Arial" w:cs="Arial"/>
      <w:color w:val="000000"/>
      <w:sz w:val="24"/>
      <w:szCs w:val="24"/>
      <w:u w:color="000000"/>
      <w:lang w:val="en-US"/>
      <w14:textOutline w14:w="0" w14:cap="flat" w14:cmpd="sng" w14:algn="ctr">
        <w14:noFill/>
        <w14:prstDash w14:val="solid"/>
        <w14:bevel/>
      </w14:textOutline>
    </w:rPr>
  </w:style>
  <w:style w:type="numbering" w:customStyle="1" w:styleId="ImportedStyle2">
    <w:name w:val="Imported Style 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1274</Words>
  <Characters>7268</Characters>
  <Application>Microsoft Office Word</Application>
  <DocSecurity>0</DocSecurity>
  <Lines>60</Lines>
  <Paragraphs>17</Paragraphs>
  <ScaleCrop>false</ScaleCrop>
  <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Greg Farrell</cp:lastModifiedBy>
  <cp:revision>2</cp:revision>
  <dcterms:created xsi:type="dcterms:W3CDTF">2025-01-20T21:07:00Z</dcterms:created>
  <dcterms:modified xsi:type="dcterms:W3CDTF">2025-01-20T21:07:00Z</dcterms:modified>
</cp:coreProperties>
</file>