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CE1A4" w14:textId="3E629E11" w:rsidR="000943A6" w:rsidRDefault="006A0D0D" w:rsidP="006A0D0D">
      <w:pPr>
        <w:tabs>
          <w:tab w:val="left" w:pos="8940"/>
        </w:tabs>
        <w:rPr>
          <w:rFonts w:cs="Arial"/>
          <w:b/>
          <w:bCs/>
          <w:sz w:val="28"/>
          <w:szCs w:val="28"/>
        </w:rPr>
      </w:pPr>
      <w:r>
        <w:rPr>
          <w:rFonts w:cs="Arial"/>
          <w:b/>
          <w:bCs/>
          <w:sz w:val="28"/>
          <w:szCs w:val="28"/>
        </w:rPr>
        <w:tab/>
      </w:r>
    </w:p>
    <w:p w14:paraId="5EF895DF" w14:textId="77777777" w:rsidR="000943A6" w:rsidRDefault="000943A6">
      <w:pPr>
        <w:jc w:val="center"/>
        <w:rPr>
          <w:rFonts w:cs="Arial"/>
          <w:b/>
          <w:bCs/>
          <w:sz w:val="28"/>
          <w:szCs w:val="28"/>
        </w:rPr>
      </w:pPr>
    </w:p>
    <w:p w14:paraId="59370814" w14:textId="77777777" w:rsidR="00FD5C5E" w:rsidRPr="00FD5C5E" w:rsidRDefault="00FD5C5E" w:rsidP="00FD5C5E">
      <w:pPr>
        <w:jc w:val="center"/>
        <w:rPr>
          <w:rFonts w:cs="Arial"/>
          <w:b/>
          <w:bCs/>
          <w:sz w:val="28"/>
          <w:szCs w:val="28"/>
        </w:rPr>
      </w:pPr>
      <w:r w:rsidRPr="00FD5C5E">
        <w:rPr>
          <w:rFonts w:cs="Arial"/>
          <w:b/>
          <w:bCs/>
          <w:sz w:val="28"/>
          <w:szCs w:val="28"/>
        </w:rPr>
        <w:t>TOWN AND COUNTRY PLANNING ACT 1990: SECTIONS 191 and 192 (as amended by section 10 of the Planning and Compensation Act 1991)</w:t>
      </w:r>
    </w:p>
    <w:p w14:paraId="2F3DBE55" w14:textId="77777777" w:rsidR="00FD5C5E" w:rsidRPr="00FD5C5E" w:rsidRDefault="00FD5C5E" w:rsidP="00FD5C5E">
      <w:pPr>
        <w:jc w:val="center"/>
        <w:rPr>
          <w:rFonts w:cs="Arial"/>
          <w:b/>
          <w:bCs/>
          <w:sz w:val="28"/>
          <w:szCs w:val="28"/>
        </w:rPr>
      </w:pPr>
    </w:p>
    <w:p w14:paraId="6EBB9F43" w14:textId="77777777" w:rsidR="00FD5C5E" w:rsidRPr="00FD5C5E" w:rsidRDefault="00FD5C5E" w:rsidP="00FD5C5E">
      <w:pPr>
        <w:jc w:val="center"/>
        <w:rPr>
          <w:rFonts w:cs="Arial"/>
          <w:b/>
          <w:bCs/>
          <w:sz w:val="28"/>
          <w:szCs w:val="28"/>
        </w:rPr>
      </w:pPr>
      <w:r w:rsidRPr="00FD5C5E">
        <w:rPr>
          <w:rFonts w:cs="Arial"/>
          <w:b/>
          <w:bCs/>
          <w:sz w:val="28"/>
          <w:szCs w:val="28"/>
        </w:rPr>
        <w:t>THE TOWN &amp; COUNTRY PLANNING (DEVELOPMENT MANAGEMENT PROCEDURE) (ENGLAND) ORDER 2015: ARTICLE 39</w:t>
      </w:r>
    </w:p>
    <w:p w14:paraId="2ED9CC1F" w14:textId="77777777" w:rsidR="00FD5C5E" w:rsidRPr="00FD5C5E" w:rsidRDefault="00FD5C5E" w:rsidP="00FD5C5E">
      <w:pPr>
        <w:jc w:val="center"/>
        <w:rPr>
          <w:rFonts w:cs="Arial"/>
          <w:b/>
          <w:bCs/>
          <w:sz w:val="28"/>
          <w:szCs w:val="28"/>
        </w:rPr>
      </w:pPr>
    </w:p>
    <w:p w14:paraId="6E0708BB" w14:textId="7478819F" w:rsidR="00766F02" w:rsidRDefault="00FD5C5E" w:rsidP="00FD5C5E">
      <w:pPr>
        <w:jc w:val="center"/>
        <w:rPr>
          <w:rFonts w:cs="Arial"/>
          <w:szCs w:val="24"/>
        </w:rPr>
      </w:pPr>
      <w:r w:rsidRPr="00FD5C5E">
        <w:rPr>
          <w:rFonts w:cs="Arial"/>
          <w:b/>
          <w:bCs/>
          <w:sz w:val="28"/>
          <w:szCs w:val="28"/>
        </w:rPr>
        <w:t>CERTIFICATE OF LAWFULNESS FOR A PROPOSED USE OR DEVELOPMENT</w:t>
      </w:r>
    </w:p>
    <w:p w14:paraId="1BFFC9D4" w14:textId="77777777" w:rsidR="00766F02" w:rsidRPr="00E60895" w:rsidRDefault="00766F02">
      <w:pPr>
        <w:jc w:val="center"/>
        <w:rPr>
          <w:rFonts w:cs="Arial"/>
          <w:szCs w:val="24"/>
        </w:rPr>
      </w:pPr>
    </w:p>
    <w:tbl>
      <w:tblPr>
        <w:tblW w:w="10574" w:type="dxa"/>
        <w:tblLayout w:type="fixed"/>
        <w:tblLook w:val="0000" w:firstRow="0" w:lastRow="0" w:firstColumn="0" w:lastColumn="0" w:noHBand="0" w:noVBand="0"/>
      </w:tblPr>
      <w:tblGrid>
        <w:gridCol w:w="788"/>
        <w:gridCol w:w="4625"/>
        <w:gridCol w:w="5161"/>
      </w:tblGrid>
    </w:tbl>
    <w:p w14:paraId="552D6D66" w14:textId="77777777" w:rsidR="006D357A" w:rsidRPr="00E60895" w:rsidRDefault="006D357A">
      <w:pPr>
        <w:jc w:val="both"/>
        <w:rPr>
          <w:rFonts w:cs="Arial"/>
          <w:b/>
          <w:bCs/>
          <w:szCs w:val="24"/>
        </w:rPr>
      </w:pPr>
    </w:p>
    <w:p w14:paraId="4ACAC27D" w14:textId="4D64B6FE" w:rsidR="006D357A" w:rsidRPr="00E60895" w:rsidRDefault="006D357A">
      <w:pPr>
        <w:rPr>
          <w:rFonts w:cs="Arial"/>
          <w:szCs w:val="24"/>
        </w:rPr>
      </w:pPr>
      <w:r w:rsidRPr="00E60895">
        <w:rPr>
          <w:rFonts w:cs="Arial"/>
          <w:b/>
          <w:bCs/>
          <w:szCs w:val="24"/>
        </w:rPr>
        <w:t>Applicant:</w:t>
      </w:r>
      <w:r w:rsidR="007766BE" w:rsidRPr="00E60895">
        <w:rPr>
          <w:rFonts w:cs="Arial"/>
          <w:szCs w:val="24"/>
        </w:rPr>
        <w:t xml:space="preserve"> The Count Me In Collective</w:t>
      </w:r>
      <w:proofErr w:type="spellStart"/>
      <w:r w:rsidR="007766BE" w:rsidRPr="00E60895">
        <w:rPr>
          <w:rFonts w:cs="Arial"/>
          <w:szCs w:val="24"/>
        </w:rPr>
        <w:t/>
      </w:r>
      <w:proofErr w:type="spellEnd"/>
      <w:r w:rsidR="007766BE" w:rsidRPr="00E60895">
        <w:rPr>
          <w:rFonts w:cs="Arial"/>
          <w:szCs w:val="24"/>
        </w:rPr>
        <w:t/>
      </w:r>
      <w:proofErr w:type="spellStart"/>
      <w:r w:rsidR="007766BE" w:rsidRPr="00E60895">
        <w:rPr>
          <w:rFonts w:cs="Arial"/>
          <w:szCs w:val="24"/>
        </w:rPr>
        <w:t/>
      </w:r>
      <w:proofErr w:type="spellEnd"/>
      <w:r w:rsidR="007766BE" w:rsidRPr="00E60895">
        <w:rPr>
          <w:rFonts w:cs="Arial"/>
          <w:szCs w:val="24"/>
        </w:rPr>
        <w:t/>
      </w:r>
    </w:p>
    <w:p w14:paraId="69D79BEC" w14:textId="77777777" w:rsidR="00681C75" w:rsidRDefault="00681C75">
      <w:pPr>
        <w:jc w:val="both"/>
        <w:rPr>
          <w:rFonts w:cs="Arial"/>
          <w:szCs w:val="24"/>
        </w:rPr>
      </w:pPr>
    </w:p>
    <w:p w14:paraId="57E62D23" w14:textId="0E7E3ABC" w:rsidR="00207DB2" w:rsidRPr="00E60895" w:rsidRDefault="00207DB2">
      <w:pPr>
        <w:jc w:val="both"/>
        <w:rPr>
          <w:rFonts w:cs="Arial"/>
          <w:szCs w:val="24"/>
        </w:rPr>
      </w:pPr>
      <w:r w:rsidRPr="00207DB2">
        <w:rPr>
          <w:rFonts w:cs="Arial"/>
          <w:szCs w:val="24"/>
        </w:rPr>
        <w:t xml:space="preserve">The Reading Borough Council hereby certify that on </w:t>
      </w:r>
      <w:r w:rsidR="008B689A" w:rsidRPr="00C62478">
        <w:rPr>
          <w:rFonts w:cs="Arial"/>
          <w:szCs w:val="24"/>
        </w:rPr>
        <w:t>28/05/2024</w:t>
      </w:r>
      <w:proofErr w:type="spellStart"/>
      <w:r w:rsidR="008B689A" w:rsidRPr="00C62478">
        <w:rPr>
          <w:rFonts w:cs="Arial"/>
          <w:szCs w:val="24"/>
        </w:rPr>
        <w:t/>
      </w:r>
      <w:proofErr w:type="spellEnd"/>
      <w:r w:rsidR="008B689A" w:rsidRPr="00C62478">
        <w:rPr>
          <w:rFonts w:cs="Arial"/>
          <w:szCs w:val="24"/>
        </w:rPr>
        <w:t/>
      </w:r>
      <w:proofErr w:type="spellStart"/>
      <w:r w:rsidR="008B689A" w:rsidRPr="00C62478">
        <w:rPr>
          <w:rFonts w:cs="Arial"/>
          <w:szCs w:val="24"/>
        </w:rPr>
        <w:t/>
      </w:r>
      <w:proofErr w:type="spellEnd"/>
      <w:r w:rsidR="008B689A" w:rsidRPr="00C62478">
        <w:rPr>
          <w:rFonts w:cs="Arial"/>
          <w:szCs w:val="24"/>
        </w:rPr>
        <w:t/>
      </w:r>
      <w:r>
        <w:rPr>
          <w:rFonts w:cs="Arial"/>
          <w:szCs w:val="24"/>
        </w:rPr>
        <w:t xml:space="preserve"> </w:t>
      </w:r>
      <w:r w:rsidRPr="00207DB2">
        <w:rPr>
          <w:rFonts w:cs="Arial"/>
          <w:szCs w:val="24"/>
        </w:rPr>
        <w:t>the use/operations/matter described in the First Schedule to this certificate in respect of the land specified in the Second Schedule to this certificate, and edged black on the attached plan would have been lawful within the meaning of Section 192 of the Town and Country Planning Act 1990 (as amended), for the following reason(s):</w:t>
      </w:r>
    </w:p>
    <w:p w14:paraId="6AE860EA" w14:textId="77777777" w:rsidR="006D357A" w:rsidRPr="00E60895" w:rsidRDefault="006D357A">
      <w:pPr>
        <w:jc w:val="both"/>
        <w:rPr>
          <w:rFonts w:cs="Arial"/>
          <w:szCs w:val="24"/>
        </w:rPr>
      </w:pPr>
    </w:p>
    <w:p w14:paraId="6FDAE020" w14:textId="27C7E486" w:rsidR="006D357A" w:rsidRPr="00E60895" w:rsidRDefault="00124503">
      <w:pPr>
        <w:jc w:val="both"/>
        <w:rPr>
          <w:rFonts w:cs="Arial"/>
          <w:szCs w:val="24"/>
        </w:rPr>
      </w:pPr>
      <w:r w:rsidRPr="00124503">
        <w:rPr>
          <w:rFonts w:cs="Arial"/>
          <w:b/>
          <w:bCs/>
          <w:szCs w:val="24"/>
        </w:rPr>
        <w:t>First Schedule:</w:t>
      </w:r>
      <w:r w:rsidR="00756A4A" w:rsidRPr="00E60895">
        <w:rPr>
          <w:rFonts w:cs="Arial"/>
          <w:b/>
          <w:bCs/>
          <w:szCs w:val="24"/>
        </w:rPr>
        <w:t xml:space="preserve"> </w:t>
      </w:r>
      <w:r w:rsidR="00756A4A" w:rsidRPr="00E60895">
        <w:rPr>
          <w:rFonts w:cs="Arial"/>
          <w:szCs w:val="24"/>
        </w:rPr>
        <w:t>Certificate of lawful proposed development for use of existing outhouse/store as a training micro brewery</w:t>
      </w:r>
      <w:proofErr w:type="spellStart"/>
      <w:r w:rsidR="00756A4A" w:rsidRPr="00E60895">
        <w:rPr>
          <w:rFonts w:cs="Arial"/>
          <w:szCs w:val="24"/>
        </w:rPr>
        <w:t/>
      </w:r>
      <w:proofErr w:type="spellEnd"/>
      <w:r w:rsidR="00756A4A" w:rsidRPr="00E60895">
        <w:rPr>
          <w:rFonts w:cs="Arial"/>
          <w:szCs w:val="24"/>
        </w:rPr>
        <w:t/>
      </w:r>
      <w:proofErr w:type="spellStart"/>
      <w:r w:rsidR="00756A4A" w:rsidRPr="00E60895">
        <w:rPr>
          <w:rFonts w:cs="Arial"/>
          <w:szCs w:val="24"/>
        </w:rPr>
        <w:t/>
      </w:r>
      <w:proofErr w:type="spellEnd"/>
      <w:r w:rsidR="00756A4A" w:rsidRPr="00E60895">
        <w:rPr>
          <w:rFonts w:cs="Arial"/>
          <w:szCs w:val="24"/>
        </w:rPr>
        <w:t/>
      </w:r>
    </w:p>
    <w:p w14:paraId="3AD513DA" w14:textId="77777777" w:rsidR="00C27223" w:rsidRPr="00E60895" w:rsidRDefault="00C27223">
      <w:pPr>
        <w:jc w:val="both"/>
        <w:rPr>
          <w:rFonts w:cs="Arial"/>
          <w:szCs w:val="24"/>
        </w:rPr>
      </w:pPr>
    </w:p>
    <w:p w14:paraId="7BA5E2DE" w14:textId="48177D62" w:rsidR="003C289D" w:rsidRPr="00E60895" w:rsidRDefault="00033AB9" w:rsidP="003C289D">
      <w:pPr>
        <w:jc w:val="both"/>
        <w:rPr>
          <w:rFonts w:cs="Arial"/>
          <w:bCs/>
          <w:szCs w:val="24"/>
        </w:rPr>
      </w:pPr>
      <w:r w:rsidRPr="00033AB9">
        <w:rPr>
          <w:rFonts w:cs="Arial"/>
          <w:b/>
          <w:bCs/>
          <w:szCs w:val="24"/>
        </w:rPr>
        <w:t>Second Schedule:</w:t>
      </w:r>
      <w:r w:rsidR="003C289D" w:rsidRPr="00E60895">
        <w:rPr>
          <w:rFonts w:cs="Arial"/>
          <w:szCs w:val="24"/>
        </w:rPr>
        <w:t xml:space="preserve"> </w:t>
      </w:r>
      <w:r w:rsidR="003C289D" w:rsidRPr="00E60895">
        <w:rPr>
          <w:rFonts w:cs="Arial"/>
          <w:bCs/>
          <w:szCs w:val="24"/>
        </w:rPr>
        <w:t>Bar 120 Ph</w:t>
      </w:r>
      <w:proofErr w:type="spellStart"/>
      <w:r w:rsidR="003C289D" w:rsidRPr="00E60895">
        <w:rPr>
          <w:rFonts w:cs="Arial"/>
          <w:bCs/>
          <w:szCs w:val="24"/>
        </w:rPr>
        <w:t/>
      </w:r>
      <w:proofErr w:type="spellEnd"/>
      <w:r w:rsidR="003C289D" w:rsidRPr="00E60895">
        <w:rPr>
          <w:rFonts w:cs="Arial"/>
          <w:bCs/>
          <w:szCs w:val="24"/>
        </w:rPr>
        <w:t/>
      </w:r>
      <w:proofErr w:type="spellStart"/>
      <w:r w:rsidR="003C289D" w:rsidRPr="00E60895">
        <w:rPr>
          <w:rFonts w:cs="Arial"/>
          <w:bCs/>
          <w:szCs w:val="24"/>
        </w:rPr>
        <w:t/>
      </w:r>
      <w:proofErr w:type="spellEnd"/>
      <w:r w:rsidR="003C289D" w:rsidRPr="00E60895">
        <w:rPr>
          <w:rFonts w:cs="Arial"/>
          <w:bCs/>
          <w:szCs w:val="24"/>
        </w:rPr>
        <w:t/>
        <w:br/>
        <w:t>120</w:t>
        <w:br/>
        <w:t>Castle Street</w:t>
        <w:br/>
        <w:t>Reading</w:t>
        <w:br/>
        <w:t>RG1 7RJ</w:t>
      </w:r>
    </w:p>
    <w:p w14:paraId="67B9FD2F" w14:textId="1A2E41FA" w:rsidR="006D357A" w:rsidRPr="00E60895" w:rsidRDefault="006D357A" w:rsidP="003C289D">
      <w:pPr>
        <w:jc w:val="both"/>
        <w:rPr>
          <w:rFonts w:cs="Arial"/>
          <w:szCs w:val="24"/>
        </w:rPr>
      </w:pPr>
      <w:r w:rsidRPr="00E60895">
        <w:rPr>
          <w:rFonts w:cs="Arial"/>
          <w:szCs w:val="24"/>
        </w:rPr>
        <w:tab/>
      </w:r>
    </w:p>
    <w:p w14:paraId="6BBE7CE6" w14:textId="77777777" w:rsidR="006D357A" w:rsidRPr="00E60895" w:rsidRDefault="006D357A">
      <w:pPr>
        <w:jc w:val="both"/>
        <w:rPr>
          <w:rFonts w:cs="Arial"/>
          <w:szCs w:val="24"/>
        </w:rPr>
      </w:pPr>
    </w:p>
    <w:p w14:paraId="05CA6D95" w14:textId="77777777" w:rsidR="006D357A" w:rsidRPr="00E60895" w:rsidRDefault="006D357A">
      <w:pPr>
        <w:jc w:val="both"/>
        <w:rPr>
          <w:rFonts w:cs="Arial"/>
          <w:szCs w:val="24"/>
        </w:rPr>
      </w:pPr>
    </w:p>
    <w:p w14:paraId="41DAA181" w14:textId="77777777" w:rsidR="006D357A" w:rsidRPr="00E60895" w:rsidRDefault="006D357A">
      <w:pPr>
        <w:jc w:val="both"/>
        <w:rPr>
          <w:rFonts w:cs="Arial"/>
          <w:szCs w:val="24"/>
        </w:rPr>
      </w:pPr>
    </w:p>
    <w:p w14:paraId="7B72AA6D" w14:textId="77777777" w:rsidR="006D357A" w:rsidRDefault="006D357A">
      <w:pPr>
        <w:jc w:val="both"/>
        <w:rPr>
          <w:rFonts w:cs="Arial"/>
          <w:szCs w:val="24"/>
        </w:rPr>
      </w:pPr>
    </w:p>
    <w:p w14:paraId="548438C9" w14:textId="77777777" w:rsidR="00EA68B8" w:rsidRDefault="00EA68B8">
      <w:pPr>
        <w:jc w:val="both"/>
        <w:rPr>
          <w:rFonts w:cs="Arial"/>
          <w:szCs w:val="24"/>
        </w:rPr>
      </w:pPr>
    </w:p>
    <w:p w14:paraId="1EA4985C" w14:textId="77777777" w:rsidR="00EA68B8" w:rsidRDefault="00EA68B8">
      <w:pPr>
        <w:jc w:val="both"/>
        <w:rPr>
          <w:rFonts w:cs="Arial"/>
          <w:szCs w:val="24"/>
        </w:rPr>
      </w:pPr>
    </w:p>
    <w:p w14:paraId="5FDD13E1" w14:textId="77777777" w:rsidR="00EA68B8" w:rsidRDefault="00EA68B8">
      <w:pPr>
        <w:jc w:val="both"/>
        <w:rPr>
          <w:rFonts w:cs="Arial"/>
          <w:szCs w:val="24"/>
        </w:rPr>
      </w:pPr>
    </w:p>
    <w:p w14:paraId="0CCCDBD7" w14:textId="77777777" w:rsidR="00EA68B8" w:rsidRPr="00E60895" w:rsidRDefault="00EA68B8">
      <w:pPr>
        <w:jc w:val="both"/>
        <w:rPr>
          <w:rFonts w:cs="Arial"/>
          <w:szCs w:val="24"/>
        </w:rPr>
      </w:pPr>
    </w:p>
    <w:p w14:paraId="7FAF63B5" w14:textId="77777777" w:rsidR="00B75550" w:rsidRPr="00B75550" w:rsidRDefault="00B75550" w:rsidP="00B75550">
      <w:pPr>
        <w:rPr>
          <w:rFonts w:cs="Arial"/>
          <w:szCs w:val="24"/>
        </w:rPr>
      </w:pPr>
    </w:p>
    <w:p w14:paraId="04870512" w14:textId="77777777" w:rsidR="00B75550" w:rsidRDefault="00B75550" w:rsidP="00B75550">
      <w:pPr>
        <w:rPr>
          <w:rFonts w:cs="Arial"/>
          <w:szCs w:val="24"/>
        </w:rPr>
      </w:pPr>
    </w:p>
    <w:p w14:paraId="59CBC768" w14:textId="77777777" w:rsidR="00BC2217" w:rsidRPr="00B75550" w:rsidRDefault="00BC2217" w:rsidP="00B75550">
      <w:pPr>
        <w:rPr>
          <w:rFonts w:cs="Arial"/>
          <w:szCs w:val="24"/>
        </w:rPr>
      </w:pPr>
    </w:p>
    <w:p w14:paraId="754121EF" w14:textId="77777777" w:rsidR="00911ECD" w:rsidRDefault="00911ECD" w:rsidP="00911ECD">
      <w:pPr>
        <w:keepNext/>
        <w:ind w:left="720"/>
        <w:jc w:val="center"/>
        <w:outlineLvl w:val="1"/>
        <w:rPr>
          <w:rFonts w:cs="Arial"/>
          <w:b/>
          <w:bCs/>
          <w:szCs w:val="24"/>
          <w:u w:val="single"/>
        </w:rPr>
      </w:pPr>
      <w:r w:rsidRPr="00E60895">
        <w:rPr>
          <w:rFonts w:cs="Arial"/>
          <w:b/>
          <w:bCs/>
          <w:szCs w:val="24"/>
          <w:u w:val="single"/>
        </w:rPr>
        <w:lastRenderedPageBreak/>
        <w:t>CONDITIONS &amp; REASONS</w:t>
      </w:r>
    </w:p>
    <w:p w14:paraId="5EBFB6A6" w14:textId="77777777" w:rsidR="00911ECD" w:rsidRPr="00A736FA" w:rsidRDefault="00911ECD" w:rsidP="00911ECD">
      <w:pPr>
        <w:keepNext/>
        <w:ind w:left="720"/>
        <w:jc w:val="center"/>
        <w:outlineLvl w:val="1"/>
        <w:rPr>
          <w:rFonts w:cs="Arial"/>
          <w:b/>
          <w:bCs/>
          <w:szCs w:val="24"/>
          <w:u w:val="single"/>
        </w:rPr>
      </w:pPr>
    </w:p>
    <w:tbl>
      <w:tblPr>
        <w:tblStyle w:val="TableGrid"/>
        <w:tblW w:w="10607"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
        <w:gridCol w:w="9643"/>
      </w:tblGrid>
    </w:tbl>
    <w:p w14:paraId="2CB2769F" w14:textId="77777777" w:rsidR="00B360A6" w:rsidRPr="00E60895" w:rsidRDefault="00B360A6" w:rsidP="00911ECD">
      <w:pPr>
        <w:jc w:val="center"/>
        <w:rPr>
          <w:rFonts w:cs="Arial"/>
          <w:color w:val="FFFFFF"/>
          <w:szCs w:val="24"/>
        </w:rPr>
      </w:pPr>
    </w:p>
    <w:p w14:paraId="6688F5D3" w14:textId="77777777" w:rsidR="00911ECD" w:rsidRPr="00E60895" w:rsidRDefault="00911ECD" w:rsidP="00911ECD">
      <w:pPr>
        <w:jc w:val="center"/>
        <w:rPr>
          <w:rFonts w:cs="Arial"/>
          <w:b/>
          <w:bCs/>
          <w:szCs w:val="24"/>
        </w:rPr>
      </w:pPr>
      <w:r w:rsidRPr="00E60895">
        <w:rPr>
          <w:rFonts w:cs="Arial"/>
          <w:b/>
          <w:bCs/>
          <w:szCs w:val="24"/>
          <w:u w:val="single"/>
        </w:rPr>
        <w:t>INFORMATIVES</w:t>
      </w:r>
    </w:p>
    <w:p w14:paraId="2F4B8A0E" w14:textId="77777777" w:rsidR="00911ECD" w:rsidRPr="00E60895" w:rsidRDefault="00911ECD" w:rsidP="00911ECD">
      <w:pPr>
        <w:ind w:hanging="720"/>
        <w:jc w:val="center"/>
        <w:rPr>
          <w:rFonts w:cs="Arial"/>
          <w:szCs w:val="24"/>
        </w:rPr>
      </w:pPr>
    </w:p>
    <w:tbl>
      <w:tblPr>
        <w:tblStyle w:val="TableGrid"/>
        <w:tblW w:w="10627" w:type="dxa"/>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2"/>
        <w:gridCol w:w="9495"/>
      </w:tblGrid>
    </w:tbl>
    <w:p w14:paraId="4FFCE9E1" w14:textId="77777777" w:rsidR="00BC2217" w:rsidRDefault="00BC2217">
      <w:pPr>
        <w:ind w:left="720"/>
        <w:jc w:val="both"/>
        <w:rPr>
          <w:rFonts w:cs="Arial"/>
          <w:szCs w:val="24"/>
        </w:rPr>
      </w:pPr>
    </w:p>
    <w:p w14:paraId="074A30A6" w14:textId="77777777" w:rsidR="00BC2217" w:rsidRDefault="00BC2217">
      <w:pPr>
        <w:ind w:left="720"/>
        <w:jc w:val="both"/>
        <w:rPr>
          <w:rFonts w:cs="Arial"/>
          <w:szCs w:val="24"/>
        </w:rPr>
      </w:pPr>
    </w:p>
    <w:p w14:paraId="5AC18118" w14:textId="77777777" w:rsidR="009125E9" w:rsidRPr="009125E9" w:rsidRDefault="009125E9" w:rsidP="009125E9">
      <w:pPr>
        <w:ind w:left="720"/>
        <w:jc w:val="both"/>
        <w:rPr>
          <w:rFonts w:cs="Arial"/>
          <w:szCs w:val="24"/>
        </w:rPr>
      </w:pPr>
      <w:r w:rsidRPr="009125E9">
        <w:rPr>
          <w:rFonts w:cs="Arial"/>
          <w:szCs w:val="24"/>
        </w:rPr>
        <w:t>Notes</w:t>
      </w:r>
    </w:p>
    <w:p w14:paraId="4C825C4C" w14:textId="77777777" w:rsidR="009125E9" w:rsidRPr="009125E9" w:rsidRDefault="009125E9" w:rsidP="009125E9">
      <w:pPr>
        <w:ind w:left="720"/>
        <w:jc w:val="both"/>
        <w:rPr>
          <w:rFonts w:cs="Arial"/>
          <w:szCs w:val="24"/>
        </w:rPr>
      </w:pPr>
    </w:p>
    <w:p w14:paraId="401B9CA3" w14:textId="77777777" w:rsidR="009125E9" w:rsidRPr="009125E9" w:rsidRDefault="009125E9" w:rsidP="009125E9">
      <w:pPr>
        <w:ind w:left="720"/>
        <w:jc w:val="both"/>
        <w:rPr>
          <w:rFonts w:cs="Arial"/>
          <w:szCs w:val="24"/>
        </w:rPr>
      </w:pPr>
      <w:r w:rsidRPr="009125E9">
        <w:rPr>
          <w:rFonts w:cs="Arial"/>
          <w:szCs w:val="24"/>
        </w:rPr>
        <w:t>1.</w:t>
      </w:r>
      <w:r w:rsidRPr="009125E9">
        <w:rPr>
          <w:rFonts w:cs="Arial"/>
          <w:szCs w:val="24"/>
        </w:rPr>
        <w:tab/>
        <w:t>This certificate is issued solely for the purpose of section 192 of the Town and Country Planning Act 1990 (as amended).</w:t>
      </w:r>
    </w:p>
    <w:p w14:paraId="7E54E88F" w14:textId="77777777" w:rsidR="009125E9" w:rsidRPr="009125E9" w:rsidRDefault="009125E9" w:rsidP="009125E9">
      <w:pPr>
        <w:ind w:left="720"/>
        <w:jc w:val="both"/>
        <w:rPr>
          <w:rFonts w:cs="Arial"/>
          <w:szCs w:val="24"/>
        </w:rPr>
      </w:pPr>
    </w:p>
    <w:p w14:paraId="1A6AC3DE" w14:textId="77777777" w:rsidR="009125E9" w:rsidRPr="009125E9" w:rsidRDefault="009125E9" w:rsidP="009125E9">
      <w:pPr>
        <w:ind w:left="720"/>
        <w:jc w:val="both"/>
        <w:rPr>
          <w:rFonts w:cs="Arial"/>
          <w:szCs w:val="24"/>
        </w:rPr>
      </w:pPr>
      <w:r w:rsidRPr="009125E9">
        <w:rPr>
          <w:rFonts w:cs="Arial"/>
          <w:szCs w:val="24"/>
        </w:rPr>
        <w:t>2.</w:t>
      </w:r>
      <w:r w:rsidRPr="009125E9">
        <w:rPr>
          <w:rFonts w:cs="Arial"/>
          <w:szCs w:val="24"/>
        </w:rPr>
        <w:tab/>
        <w:t>It certifies that the use/operations/matter specified in the First Schedule taking place on the land described in the Second Schedule would have been lawful, on the specified date and, thus, would not have been liable to enforcement action under section 172 of the 1990 Act on that date.</w:t>
      </w:r>
    </w:p>
    <w:p w14:paraId="0CE8D054" w14:textId="77777777" w:rsidR="009125E9" w:rsidRPr="009125E9" w:rsidRDefault="009125E9" w:rsidP="009125E9">
      <w:pPr>
        <w:ind w:left="720"/>
        <w:jc w:val="both"/>
        <w:rPr>
          <w:rFonts w:cs="Arial"/>
          <w:szCs w:val="24"/>
        </w:rPr>
      </w:pPr>
    </w:p>
    <w:p w14:paraId="5A8CCE3A" w14:textId="77777777" w:rsidR="009125E9" w:rsidRPr="009125E9" w:rsidRDefault="009125E9" w:rsidP="009125E9">
      <w:pPr>
        <w:ind w:left="720"/>
        <w:jc w:val="both"/>
        <w:rPr>
          <w:rFonts w:cs="Arial"/>
          <w:szCs w:val="24"/>
        </w:rPr>
      </w:pPr>
      <w:r w:rsidRPr="009125E9">
        <w:rPr>
          <w:rFonts w:cs="Arial"/>
          <w:szCs w:val="24"/>
        </w:rPr>
        <w:t>3.</w:t>
      </w:r>
      <w:r w:rsidRPr="009125E9">
        <w:rPr>
          <w:rFonts w:cs="Arial"/>
          <w:szCs w:val="24"/>
        </w:rPr>
        <w:tab/>
        <w:t>This certificate applies only to the extent of the use/operations/matter described in the First Schedule and to the land specified in the Second Schedule and identified on the attached plan.  Any use/operations/matter which is/are materially different from that/those described or which relate/s to other land may render the owner or occupier liable to enforcement action.</w:t>
      </w:r>
    </w:p>
    <w:p w14:paraId="66D06B3F" w14:textId="77777777" w:rsidR="009125E9" w:rsidRPr="009125E9" w:rsidRDefault="009125E9" w:rsidP="009125E9">
      <w:pPr>
        <w:ind w:left="720"/>
        <w:jc w:val="both"/>
        <w:rPr>
          <w:rFonts w:cs="Arial"/>
          <w:szCs w:val="24"/>
        </w:rPr>
      </w:pPr>
    </w:p>
    <w:p w14:paraId="64AF4A78" w14:textId="77777777" w:rsidR="009125E9" w:rsidRPr="009125E9" w:rsidRDefault="009125E9" w:rsidP="009125E9">
      <w:pPr>
        <w:ind w:left="720"/>
        <w:jc w:val="both"/>
        <w:rPr>
          <w:rFonts w:cs="Arial"/>
          <w:szCs w:val="24"/>
        </w:rPr>
      </w:pPr>
      <w:r w:rsidRPr="009125E9">
        <w:rPr>
          <w:rFonts w:cs="Arial"/>
          <w:szCs w:val="24"/>
        </w:rPr>
        <w:t>4.</w:t>
      </w:r>
      <w:r w:rsidRPr="009125E9">
        <w:rPr>
          <w:rFonts w:cs="Arial"/>
          <w:szCs w:val="24"/>
        </w:rPr>
        <w:tab/>
        <w:t>The effect of the certificate is also qualified by the proviso in section 192(4) of the 1990 Act, as amended, which states that the lawfulness of a described use or operation is only conclusively presumed where there has been no material change, before the use is instituted or the operations begun, in any of the matters relevant to determining such lawfulness.</w:t>
      </w:r>
    </w:p>
    <w:p w14:paraId="33C8BDBA" w14:textId="77777777" w:rsidR="009125E9" w:rsidRPr="009125E9" w:rsidRDefault="009125E9" w:rsidP="009125E9">
      <w:pPr>
        <w:ind w:left="720"/>
        <w:jc w:val="both"/>
        <w:rPr>
          <w:rFonts w:cs="Arial"/>
          <w:szCs w:val="24"/>
        </w:rPr>
      </w:pPr>
    </w:p>
    <w:p w14:paraId="37236422" w14:textId="77777777" w:rsidR="009125E9" w:rsidRPr="009125E9" w:rsidRDefault="009125E9" w:rsidP="009125E9">
      <w:pPr>
        <w:ind w:left="720"/>
        <w:jc w:val="both"/>
        <w:rPr>
          <w:rFonts w:cs="Arial"/>
          <w:szCs w:val="24"/>
        </w:rPr>
      </w:pPr>
      <w:r w:rsidRPr="009125E9">
        <w:rPr>
          <w:rFonts w:cs="Arial"/>
          <w:szCs w:val="24"/>
        </w:rPr>
        <w:t>5.</w:t>
      </w:r>
      <w:r w:rsidRPr="009125E9">
        <w:rPr>
          <w:rFonts w:cs="Arial"/>
          <w:szCs w:val="24"/>
        </w:rPr>
        <w:tab/>
        <w:t>If you are aggrieved by the decision of the Council, you may appeal to the Secretary of State under Section 195 of the Town and Country planning Act 1990.</w:t>
      </w:r>
    </w:p>
    <w:p w14:paraId="63C544D7" w14:textId="77777777" w:rsidR="009125E9" w:rsidRPr="009125E9" w:rsidRDefault="009125E9" w:rsidP="009125E9">
      <w:pPr>
        <w:ind w:left="720"/>
        <w:jc w:val="both"/>
        <w:rPr>
          <w:rFonts w:cs="Arial"/>
          <w:szCs w:val="24"/>
        </w:rPr>
      </w:pPr>
    </w:p>
    <w:p w14:paraId="21EED9CD" w14:textId="77777777" w:rsidR="009125E9" w:rsidRPr="009125E9" w:rsidRDefault="009125E9" w:rsidP="009125E9">
      <w:pPr>
        <w:ind w:left="720"/>
        <w:jc w:val="both"/>
        <w:rPr>
          <w:rFonts w:cs="Arial"/>
          <w:szCs w:val="24"/>
        </w:rPr>
      </w:pPr>
      <w:r w:rsidRPr="009125E9">
        <w:rPr>
          <w:rFonts w:cs="Arial"/>
          <w:szCs w:val="24"/>
        </w:rPr>
        <w:t xml:space="preserve">Further information can be viewed at: </w:t>
      </w:r>
      <w:proofErr w:type="gramStart"/>
      <w:r w:rsidRPr="009125E9">
        <w:rPr>
          <w:rFonts w:cs="Arial"/>
          <w:szCs w:val="24"/>
        </w:rPr>
        <w:t>https://acp.planninginspectorate.gov.uk/</w:t>
      </w:r>
      <w:proofErr w:type="gramEnd"/>
    </w:p>
    <w:p w14:paraId="63266450" w14:textId="77777777" w:rsidR="009125E9" w:rsidRPr="009125E9" w:rsidRDefault="009125E9" w:rsidP="009125E9">
      <w:pPr>
        <w:ind w:left="720"/>
        <w:jc w:val="both"/>
        <w:rPr>
          <w:rFonts w:cs="Arial"/>
          <w:szCs w:val="24"/>
        </w:rPr>
      </w:pPr>
    </w:p>
    <w:p w14:paraId="370F2452" w14:textId="52E33EE8" w:rsidR="00376FCB" w:rsidRPr="009125E9" w:rsidRDefault="009125E9" w:rsidP="009125E9">
      <w:pPr>
        <w:ind w:left="720"/>
        <w:jc w:val="both"/>
        <w:rPr>
          <w:rFonts w:cs="Arial"/>
          <w:szCs w:val="24"/>
        </w:rPr>
      </w:pPr>
      <w:r w:rsidRPr="009125E9">
        <w:rPr>
          <w:rFonts w:cs="Arial"/>
          <w:szCs w:val="24"/>
        </w:rPr>
        <w:t>6.</w:t>
      </w:r>
      <w:r w:rsidRPr="009125E9">
        <w:rPr>
          <w:rFonts w:cs="Arial"/>
          <w:szCs w:val="24"/>
        </w:rPr>
        <w:tab/>
        <w:t>Impact on trees:  Any works to trees subject to a Tree Preservation Order or protected due to their location within a Conservation Area will require submission of a tree works application or Section 211 Notice respectively. This certificate does not override this requirement and unauthorised tree works undertaken to implement permitted development may be subject to formal legal action.  Enquiries can be sent to the Natural Environment Team: planning.naturalenvironment@reading.gov.uk</w:t>
      </w:r>
    </w:p>
    <w:sectPr w:rsidR="00376FCB" w:rsidRPr="009125E9">
      <w:headerReference w:type="default" r:id="rId8"/>
      <w:footerReference w:type="default" r:id="rId9"/>
      <w:pgSz w:w="11906" w:h="16838" w:code="9"/>
      <w:pgMar w:top="232" w:right="709" w:bottom="232" w:left="709" w:header="170" w:footer="170"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79F5D" w14:textId="77777777" w:rsidR="008D7B51" w:rsidRDefault="008D7B51">
      <w:r>
        <w:separator/>
      </w:r>
    </w:p>
  </w:endnote>
  <w:endnote w:type="continuationSeparator" w:id="0">
    <w:p w14:paraId="6BC5C1A9" w14:textId="77777777" w:rsidR="008D7B51" w:rsidRDefault="008D7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F5480" w14:textId="3291FA77" w:rsidR="00376FCB" w:rsidRDefault="00376FCB">
    <w:pPr>
      <w:pStyle w:val="Footer"/>
    </w:pPr>
  </w:p>
  <w:tbl>
    <w:tblPr>
      <w:tblW w:w="10456" w:type="dxa"/>
      <w:tblLook w:val="0000" w:firstRow="0" w:lastRow="0" w:firstColumn="0" w:lastColumn="0" w:noHBand="0" w:noVBand="0"/>
    </w:tblPr>
    <w:tblGrid>
      <w:gridCol w:w="6921"/>
      <w:gridCol w:w="3535"/>
    </w:tblGrid>
    <w:tr w:rsidR="00376FCB" w14:paraId="103F6EB3" w14:textId="77777777" w:rsidTr="002D4CE4">
      <w:tc>
        <w:tcPr>
          <w:tcW w:w="5211" w:type="dxa"/>
          <w:tcBorders>
            <w:top w:val="nil"/>
            <w:left w:val="nil"/>
            <w:bottom w:val="nil"/>
            <w:right w:val="nil"/>
          </w:tcBorders>
        </w:tcPr>
        <w:p w14:paraId="72E3F009" w14:textId="77777777" w:rsidR="00376FCB" w:rsidRDefault="00376FCB" w:rsidP="00376FCB">
          <w:pPr>
            <w:jc w:val="center"/>
            <w:rPr>
              <w:rFonts w:ascii="Trebuchet MS" w:hAnsi="Trebuchet MS" w:cs="Trebuchet MS"/>
              <w:szCs w:val="24"/>
            </w:rPr>
          </w:pPr>
        </w:p>
        <w:p w14:paraId="2D7C9011" w14:textId="77777777" w:rsidR="00376FCB" w:rsidRDefault="00376FCB" w:rsidP="00376FCB">
          <w:pPr>
            <w:jc w:val="center"/>
            <w:rPr>
              <w:rFonts w:ascii="Trebuchet MS" w:hAnsi="Trebuchet MS" w:cs="Trebuchet MS"/>
              <w:szCs w:val="24"/>
            </w:rPr>
          </w:pPr>
        </w:p>
        <w:p w14:paraId="1EAFAD53" w14:textId="77777777" w:rsidR="00376FCB" w:rsidRDefault="00376FCB" w:rsidP="00376FCB">
          <w:pPr>
            <w:rPr>
              <w:rFonts w:ascii="Trebuchet MS" w:hAnsi="Trebuchet MS" w:cs="Trebuchet MS"/>
              <w:szCs w:val="24"/>
            </w:rPr>
          </w:pPr>
          <w:r>
            <w:rPr>
              <w:rFonts w:ascii="Trebuchet MS" w:hAnsi="Trebuchet MS" w:cs="Trebuchet MS"/>
              <w:szCs w:val="24"/>
            </w:rPr>
            <w:t xml:space="preserve">Date: </w:t>
          </w:r>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
      </w:tc>
      <w:tc>
        <w:tcPr>
          <w:tcW w:w="5245" w:type="dxa"/>
          <w:tcBorders>
            <w:top w:val="nil"/>
            <w:left w:val="nil"/>
            <w:bottom w:val="nil"/>
            <w:right w:val="nil"/>
          </w:tcBorders>
        </w:tcPr>
        <w:p w14:paraId="54991820" w14:textId="5BD27F38" w:rsidR="00376FCB" w:rsidRDefault="00376FCB" w:rsidP="00376FCB">
          <w:pPr>
            <w:pStyle w:val="Header"/>
            <w:tabs>
              <w:tab w:val="clear" w:pos="4153"/>
              <w:tab w:val="clear" w:pos="8306"/>
            </w:tabs>
            <w:rPr>
              <w:rFonts w:ascii="Trebuchet MS" w:hAnsi="Trebuchet MS" w:cs="Trebuchet MS"/>
              <w:szCs w:val="24"/>
            </w:rPr>
          </w:pPr>
          <w:r w:rsidRPr="00494EAA">
            <w:rPr>
              <w:noProof/>
            </w:rPr>
            <w:drawing>
              <wp:inline distT="0" distB="0" distL="0" distR="0" wp14:anchorId="5A1BADB5" wp14:editId="01F2D498">
                <wp:extent cx="1076325" cy="571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571500"/>
                        </a:xfrm>
                        <a:prstGeom prst="rect">
                          <a:avLst/>
                        </a:prstGeom>
                        <a:noFill/>
                        <a:ln>
                          <a:noFill/>
                        </a:ln>
                      </pic:spPr>
                    </pic:pic>
                  </a:graphicData>
                </a:graphic>
              </wp:inline>
            </w:drawing>
          </w:r>
        </w:p>
      </w:tc>
    </w:tr>
    <w:tr w:rsidR="00376FCB" w14:paraId="3C1415A3" w14:textId="77777777" w:rsidTr="002D4CE4">
      <w:tc>
        <w:tcPr>
          <w:tcW w:w="5211" w:type="dxa"/>
          <w:tcBorders>
            <w:top w:val="nil"/>
            <w:left w:val="nil"/>
            <w:bottom w:val="nil"/>
            <w:right w:val="nil"/>
          </w:tcBorders>
        </w:tcPr>
        <w:p w14:paraId="6C869228" w14:textId="77777777" w:rsidR="00376FCB" w:rsidRDefault="00376FCB" w:rsidP="00376FCB">
          <w:pPr>
            <w:jc w:val="center"/>
            <w:rPr>
              <w:rFonts w:ascii="Trebuchet MS" w:hAnsi="Trebuchet MS" w:cs="Trebuchet MS"/>
              <w:szCs w:val="24"/>
            </w:rPr>
          </w:pPr>
        </w:p>
      </w:tc>
      <w:tc>
        <w:tcPr>
          <w:tcW w:w="5245" w:type="dxa"/>
          <w:tcBorders>
            <w:top w:val="nil"/>
            <w:left w:val="nil"/>
            <w:bottom w:val="nil"/>
            <w:right w:val="nil"/>
          </w:tcBorders>
        </w:tcPr>
        <w:p w14:paraId="01A1ED2A" w14:textId="77777777" w:rsidR="00376FCB" w:rsidRDefault="00376FCB" w:rsidP="00376FCB">
          <w:pPr>
            <w:pStyle w:val="Heading3"/>
            <w:jc w:val="left"/>
            <w:rPr>
              <w:b w:val="0"/>
              <w:bCs w:val="0"/>
              <w:sz w:val="24"/>
              <w:szCs w:val="24"/>
            </w:rPr>
          </w:pPr>
          <w:r w:rsidRPr="00364B9F">
            <w:rPr>
              <w:b w:val="0"/>
              <w:bCs w:val="0"/>
              <w:sz w:val="24"/>
              <w:szCs w:val="24"/>
            </w:rPr>
            <w:t>Assistant Director of Planning, Transport and Public Protection Services</w:t>
          </w:r>
        </w:p>
      </w:tc>
    </w:tr>
  </w:tbl>
  <w:p w14:paraId="394D0AB1" w14:textId="77777777" w:rsidR="00376FCB" w:rsidRDefault="00376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EA1A9" w14:textId="77777777" w:rsidR="008D7B51" w:rsidRDefault="008D7B51">
      <w:bookmarkStart w:id="0" w:name="_Hlk152675972"/>
      <w:bookmarkEnd w:id="0"/>
      <w:r>
        <w:separator/>
      </w:r>
    </w:p>
  </w:footnote>
  <w:footnote w:type="continuationSeparator" w:id="0">
    <w:p w14:paraId="1F511B4D" w14:textId="77777777" w:rsidR="008D7B51" w:rsidRDefault="008D7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A90FD" w14:textId="7E5E9065" w:rsidR="006A0D0D" w:rsidRDefault="006A0D0D" w:rsidP="006A0D0D">
    <w:pPr>
      <w:pStyle w:val="Header"/>
      <w:tabs>
        <w:tab w:val="clear" w:pos="4153"/>
        <w:tab w:val="clear" w:pos="8306"/>
        <w:tab w:val="left" w:pos="4080"/>
      </w:tabs>
      <w:jc w:val="center"/>
    </w:pPr>
    <w:r>
      <w:rPr>
        <w:rFonts w:ascii="Trebuchet MS" w:hAnsi="Trebuchet MS" w:cs="Arial"/>
        <w:noProof/>
      </w:rPr>
      <w:drawing>
        <wp:inline distT="0" distB="0" distL="0" distR="0" wp14:anchorId="2DFA73A9" wp14:editId="7C33DA88">
          <wp:extent cx="2733675" cy="1133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1133475"/>
                  </a:xfrm>
                  <a:prstGeom prst="rect">
                    <a:avLst/>
                  </a:prstGeom>
                  <a:noFill/>
                  <a:ln>
                    <a:noFill/>
                  </a:ln>
                </pic:spPr>
              </pic:pic>
            </a:graphicData>
          </a:graphic>
        </wp:inline>
      </w:drawing>
    </w:r>
  </w:p>
  <w:p w14:paraId="2C5F6B47" w14:textId="77777777" w:rsidR="006A0D0D" w:rsidRDefault="006A0D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4778D"/>
    <w:multiLevelType w:val="hybridMultilevel"/>
    <w:tmpl w:val="EA72C5D6"/>
    <w:lvl w:ilvl="0" w:tplc="F8B25E02">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6E95213"/>
    <w:multiLevelType w:val="hybridMultilevel"/>
    <w:tmpl w:val="CBC003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C11C0C"/>
    <w:multiLevelType w:val="hybridMultilevel"/>
    <w:tmpl w:val="813691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A851498"/>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0AB07FC"/>
    <w:multiLevelType w:val="hybridMultilevel"/>
    <w:tmpl w:val="82E64188"/>
    <w:lvl w:ilvl="0" w:tplc="D7C6419C">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BB753CB"/>
    <w:multiLevelType w:val="hybridMultilevel"/>
    <w:tmpl w:val="D436C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5E139AC"/>
    <w:multiLevelType w:val="hybridMultilevel"/>
    <w:tmpl w:val="5D5614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A74EA3"/>
    <w:multiLevelType w:val="hybridMultilevel"/>
    <w:tmpl w:val="FC5C1F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63554147">
    <w:abstractNumId w:val="7"/>
  </w:num>
  <w:num w:numId="2" w16cid:durableId="1307472843">
    <w:abstractNumId w:val="8"/>
  </w:num>
  <w:num w:numId="3" w16cid:durableId="1997801306">
    <w:abstractNumId w:val="1"/>
  </w:num>
  <w:num w:numId="4" w16cid:durableId="771820995">
    <w:abstractNumId w:val="2"/>
  </w:num>
  <w:num w:numId="5" w16cid:durableId="1187518448">
    <w:abstractNumId w:val="0"/>
  </w:num>
  <w:num w:numId="6" w16cid:durableId="2088379827">
    <w:abstractNumId w:val="5"/>
  </w:num>
  <w:num w:numId="7" w16cid:durableId="998340738">
    <w:abstractNumId w:val="6"/>
  </w:num>
  <w:num w:numId="8" w16cid:durableId="1715347098">
    <w:abstractNumId w:val="3"/>
  </w:num>
  <w:num w:numId="9" w16cid:durableId="8020442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E76"/>
    <w:rsid w:val="00021A98"/>
    <w:rsid w:val="00033AB9"/>
    <w:rsid w:val="00046BE3"/>
    <w:rsid w:val="000544D0"/>
    <w:rsid w:val="000626C4"/>
    <w:rsid w:val="00087B22"/>
    <w:rsid w:val="000943A6"/>
    <w:rsid w:val="000C3419"/>
    <w:rsid w:val="000D32AF"/>
    <w:rsid w:val="000E6915"/>
    <w:rsid w:val="000F3209"/>
    <w:rsid w:val="000F7BF0"/>
    <w:rsid w:val="00106EF3"/>
    <w:rsid w:val="00124503"/>
    <w:rsid w:val="00154D89"/>
    <w:rsid w:val="00165614"/>
    <w:rsid w:val="0017333C"/>
    <w:rsid w:val="00174AF2"/>
    <w:rsid w:val="00192A84"/>
    <w:rsid w:val="001D77AC"/>
    <w:rsid w:val="001E4060"/>
    <w:rsid w:val="002006F2"/>
    <w:rsid w:val="00204809"/>
    <w:rsid w:val="00205780"/>
    <w:rsid w:val="00207DB2"/>
    <w:rsid w:val="00234966"/>
    <w:rsid w:val="002621FB"/>
    <w:rsid w:val="00282EBA"/>
    <w:rsid w:val="002852DB"/>
    <w:rsid w:val="002A4C91"/>
    <w:rsid w:val="002C242E"/>
    <w:rsid w:val="002C266A"/>
    <w:rsid w:val="002E4E1D"/>
    <w:rsid w:val="0030497D"/>
    <w:rsid w:val="0033414F"/>
    <w:rsid w:val="00344B6B"/>
    <w:rsid w:val="00361B19"/>
    <w:rsid w:val="0036718D"/>
    <w:rsid w:val="00376FCB"/>
    <w:rsid w:val="003A763F"/>
    <w:rsid w:val="003C289D"/>
    <w:rsid w:val="003E7DBB"/>
    <w:rsid w:val="003F6137"/>
    <w:rsid w:val="00400D27"/>
    <w:rsid w:val="004353CD"/>
    <w:rsid w:val="004677D5"/>
    <w:rsid w:val="00480C57"/>
    <w:rsid w:val="0049467D"/>
    <w:rsid w:val="004B165D"/>
    <w:rsid w:val="004E35EB"/>
    <w:rsid w:val="005069C1"/>
    <w:rsid w:val="005413F7"/>
    <w:rsid w:val="005602DD"/>
    <w:rsid w:val="005677C4"/>
    <w:rsid w:val="005A6D00"/>
    <w:rsid w:val="005A701B"/>
    <w:rsid w:val="005A733F"/>
    <w:rsid w:val="005B52FA"/>
    <w:rsid w:val="005B64B9"/>
    <w:rsid w:val="005C309E"/>
    <w:rsid w:val="005D28B0"/>
    <w:rsid w:val="005E658B"/>
    <w:rsid w:val="005F1EC5"/>
    <w:rsid w:val="005F41D6"/>
    <w:rsid w:val="00601E42"/>
    <w:rsid w:val="00603295"/>
    <w:rsid w:val="00603B34"/>
    <w:rsid w:val="006060E8"/>
    <w:rsid w:val="0063024D"/>
    <w:rsid w:val="006378A9"/>
    <w:rsid w:val="00646B53"/>
    <w:rsid w:val="00681C75"/>
    <w:rsid w:val="00684A09"/>
    <w:rsid w:val="006859AC"/>
    <w:rsid w:val="006903A1"/>
    <w:rsid w:val="00690506"/>
    <w:rsid w:val="006940F0"/>
    <w:rsid w:val="006A0D0D"/>
    <w:rsid w:val="006A4130"/>
    <w:rsid w:val="006C40F1"/>
    <w:rsid w:val="006D357A"/>
    <w:rsid w:val="006E0177"/>
    <w:rsid w:val="006E73D6"/>
    <w:rsid w:val="00700059"/>
    <w:rsid w:val="0070185D"/>
    <w:rsid w:val="00756A4A"/>
    <w:rsid w:val="00762C67"/>
    <w:rsid w:val="00766F02"/>
    <w:rsid w:val="007766BE"/>
    <w:rsid w:val="007912F7"/>
    <w:rsid w:val="0079498B"/>
    <w:rsid w:val="007C688B"/>
    <w:rsid w:val="007E5AEC"/>
    <w:rsid w:val="007F10E4"/>
    <w:rsid w:val="007F28DD"/>
    <w:rsid w:val="0085205A"/>
    <w:rsid w:val="00856DAE"/>
    <w:rsid w:val="00873AA8"/>
    <w:rsid w:val="008A6C95"/>
    <w:rsid w:val="008B1FAC"/>
    <w:rsid w:val="008B689A"/>
    <w:rsid w:val="008D7B51"/>
    <w:rsid w:val="008E3F62"/>
    <w:rsid w:val="008F0365"/>
    <w:rsid w:val="008F31AE"/>
    <w:rsid w:val="00911ECD"/>
    <w:rsid w:val="009125E9"/>
    <w:rsid w:val="009373D6"/>
    <w:rsid w:val="00956793"/>
    <w:rsid w:val="00991D42"/>
    <w:rsid w:val="009948E0"/>
    <w:rsid w:val="009B3359"/>
    <w:rsid w:val="009C1A9C"/>
    <w:rsid w:val="009C71AF"/>
    <w:rsid w:val="009D0502"/>
    <w:rsid w:val="00A136EB"/>
    <w:rsid w:val="00A15BF6"/>
    <w:rsid w:val="00A21045"/>
    <w:rsid w:val="00A65B0D"/>
    <w:rsid w:val="00A718D2"/>
    <w:rsid w:val="00A736FA"/>
    <w:rsid w:val="00A77641"/>
    <w:rsid w:val="00A91E18"/>
    <w:rsid w:val="00AA1B66"/>
    <w:rsid w:val="00B03816"/>
    <w:rsid w:val="00B30D26"/>
    <w:rsid w:val="00B33859"/>
    <w:rsid w:val="00B360A6"/>
    <w:rsid w:val="00B43749"/>
    <w:rsid w:val="00B75550"/>
    <w:rsid w:val="00B96C5E"/>
    <w:rsid w:val="00BA17DD"/>
    <w:rsid w:val="00BA4E47"/>
    <w:rsid w:val="00BB0700"/>
    <w:rsid w:val="00BC2217"/>
    <w:rsid w:val="00BC2C67"/>
    <w:rsid w:val="00C13135"/>
    <w:rsid w:val="00C27223"/>
    <w:rsid w:val="00C670F6"/>
    <w:rsid w:val="00C71D9D"/>
    <w:rsid w:val="00C72F89"/>
    <w:rsid w:val="00C93BB6"/>
    <w:rsid w:val="00CC5969"/>
    <w:rsid w:val="00CD1C88"/>
    <w:rsid w:val="00CE1E76"/>
    <w:rsid w:val="00CE2B36"/>
    <w:rsid w:val="00CE3FC9"/>
    <w:rsid w:val="00D1350C"/>
    <w:rsid w:val="00D267D6"/>
    <w:rsid w:val="00D537EA"/>
    <w:rsid w:val="00D72D86"/>
    <w:rsid w:val="00D932D0"/>
    <w:rsid w:val="00D949BE"/>
    <w:rsid w:val="00DB13A0"/>
    <w:rsid w:val="00DE6B13"/>
    <w:rsid w:val="00E06289"/>
    <w:rsid w:val="00E3560E"/>
    <w:rsid w:val="00E4529E"/>
    <w:rsid w:val="00E60895"/>
    <w:rsid w:val="00E66EE8"/>
    <w:rsid w:val="00E73A12"/>
    <w:rsid w:val="00EA68B8"/>
    <w:rsid w:val="00EB2F19"/>
    <w:rsid w:val="00ED77C5"/>
    <w:rsid w:val="00F40647"/>
    <w:rsid w:val="00F40EA4"/>
    <w:rsid w:val="00F5485E"/>
    <w:rsid w:val="00F57FC5"/>
    <w:rsid w:val="00FA041A"/>
    <w:rsid w:val="00FC46BC"/>
    <w:rsid w:val="00FD440D"/>
    <w:rsid w:val="00FD5C5E"/>
    <w:rsid w:val="00FF0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5ADF"/>
  <w14:defaultImageDpi w14:val="0"/>
  <w15:chartTrackingRefBased/>
  <w15:docId w15:val="{6C975559-C438-40D4-9FB5-B36DAAC5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E18"/>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A91E18"/>
    <w:pPr>
      <w:keepNext/>
      <w:jc w:val="center"/>
      <w:outlineLvl w:val="0"/>
    </w:pPr>
    <w:rPr>
      <w:b/>
      <w:bCs/>
    </w:rPr>
  </w:style>
  <w:style w:type="paragraph" w:styleId="Heading2">
    <w:name w:val="heading 2"/>
    <w:basedOn w:val="Normal"/>
    <w:next w:val="Normal"/>
    <w:link w:val="Heading2Char"/>
    <w:uiPriority w:val="99"/>
    <w:qFormat/>
    <w:rsid w:val="00A91E18"/>
    <w:pPr>
      <w:keepNext/>
      <w:jc w:val="center"/>
      <w:outlineLvl w:val="1"/>
    </w:pPr>
    <w:rPr>
      <w:b/>
      <w:bCs/>
      <w:u w:val="single"/>
    </w:rPr>
  </w:style>
  <w:style w:type="paragraph" w:styleId="Heading3">
    <w:name w:val="heading 3"/>
    <w:basedOn w:val="Normal"/>
    <w:next w:val="Normal"/>
    <w:link w:val="Heading3Char"/>
    <w:uiPriority w:val="99"/>
    <w:qFormat/>
    <w:rsid w:val="00A91E18"/>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91E18"/>
    <w:rPr>
      <w:rFonts w:ascii="Arial" w:hAnsi="Arial"/>
      <w:b/>
      <w:bCs/>
      <w:sz w:val="24"/>
      <w:lang w:eastAsia="en-US"/>
    </w:rPr>
  </w:style>
  <w:style w:type="character" w:customStyle="1" w:styleId="Heading2Char">
    <w:name w:val="Heading 2 Char"/>
    <w:link w:val="Heading2"/>
    <w:uiPriority w:val="99"/>
    <w:locked/>
    <w:rsid w:val="00A91E18"/>
    <w:rPr>
      <w:rFonts w:ascii="Arial" w:hAnsi="Arial"/>
      <w:b/>
      <w:bCs/>
      <w:sz w:val="24"/>
      <w:u w:val="single"/>
      <w:lang w:eastAsia="en-US"/>
    </w:rPr>
  </w:style>
  <w:style w:type="character" w:customStyle="1" w:styleId="Heading3Char">
    <w:name w:val="Heading 3 Char"/>
    <w:link w:val="Heading3"/>
    <w:uiPriority w:val="99"/>
    <w:locked/>
    <w:rsid w:val="00A91E18"/>
    <w:rPr>
      <w:rFonts w:ascii="Trebuchet MS" w:hAnsi="Trebuchet MS" w:cs="Trebuchet MS"/>
      <w:b/>
      <w:bCs/>
      <w:sz w:val="28"/>
      <w:szCs w:val="28"/>
      <w:lang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Pr>
      <w:rFonts w:cs="Times New Roman"/>
      <w:sz w:val="20"/>
      <w:szCs w:val="20"/>
      <w:lang w:val="x-none" w:eastAsia="en-US"/>
    </w:rPr>
  </w:style>
  <w:style w:type="paragraph" w:styleId="Title">
    <w:name w:val="Title"/>
    <w:basedOn w:val="Normal"/>
    <w:link w:val="TitleChar"/>
    <w:uiPriority w:val="99"/>
    <w:qFormat/>
    <w:rsid w:val="00A91E18"/>
    <w:pPr>
      <w:jc w:val="center"/>
    </w:pPr>
    <w:rPr>
      <w:b/>
      <w:bCs/>
      <w:sz w:val="28"/>
      <w:szCs w:val="28"/>
    </w:rPr>
  </w:style>
  <w:style w:type="character" w:customStyle="1" w:styleId="TitleChar">
    <w:name w:val="Title Char"/>
    <w:link w:val="Title"/>
    <w:uiPriority w:val="99"/>
    <w:locked/>
    <w:rsid w:val="00A91E18"/>
    <w:rPr>
      <w:rFonts w:ascii="Arial" w:hAnsi="Arial"/>
      <w:b/>
      <w:bCs/>
      <w:sz w:val="28"/>
      <w:szCs w:val="28"/>
      <w:lang w:eastAsia="en-US"/>
    </w:rPr>
  </w:style>
  <w:style w:type="paragraph" w:styleId="BodyText">
    <w:name w:val="Body Text"/>
    <w:basedOn w:val="Normal"/>
    <w:link w:val="BodyTextChar"/>
    <w:uiPriority w:val="99"/>
    <w:pPr>
      <w:autoSpaceDE/>
      <w:autoSpaceDN/>
      <w:jc w:val="both"/>
    </w:pPr>
    <w:rPr>
      <w:sz w:val="16"/>
      <w:szCs w:val="16"/>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autoSpaceDE/>
      <w:autoSpaceDN/>
      <w:ind w:left="720" w:hanging="720"/>
    </w:pPr>
    <w:rPr>
      <w:sz w:val="16"/>
      <w:szCs w:val="16"/>
    </w:rPr>
  </w:style>
  <w:style w:type="character" w:customStyle="1" w:styleId="BodyText2Char">
    <w:name w:val="Body Text 2 Char"/>
    <w:link w:val="BodyText2"/>
    <w:uiPriority w:val="99"/>
    <w:semiHidden/>
    <w:locked/>
    <w:rPr>
      <w:rFonts w:cs="Times New Roman"/>
      <w:sz w:val="20"/>
      <w:szCs w:val="20"/>
      <w:lang w:val="x-none" w:eastAsia="en-US"/>
    </w:rPr>
  </w:style>
  <w:style w:type="paragraph" w:styleId="BodyText3">
    <w:name w:val="Body Text 3"/>
    <w:basedOn w:val="Normal"/>
    <w:link w:val="BodyText3Char"/>
    <w:uiPriority w:val="99"/>
    <w:pPr>
      <w:autoSpaceDE/>
      <w:autoSpaceDN/>
      <w:jc w:val="both"/>
    </w:pPr>
    <w:rPr>
      <w:sz w:val="17"/>
      <w:szCs w:val="17"/>
    </w:rPr>
  </w:style>
  <w:style w:type="character" w:customStyle="1" w:styleId="BodyText3Char">
    <w:name w:val="Body Text 3 Char"/>
    <w:link w:val="BodyText3"/>
    <w:uiPriority w:val="99"/>
    <w:semiHidden/>
    <w:locked/>
    <w:rPr>
      <w:rFonts w:cs="Times New Roman"/>
      <w:sz w:val="16"/>
      <w:szCs w:val="16"/>
      <w:lang w:val="x-none" w:eastAsia="en-US"/>
    </w:rPr>
  </w:style>
  <w:style w:type="paragraph" w:styleId="BodyTextIndent3">
    <w:name w:val="Body Text Indent 3"/>
    <w:basedOn w:val="Normal"/>
    <w:link w:val="BodyTextIndent3Char"/>
    <w:uiPriority w:val="99"/>
    <w:pPr>
      <w:autoSpaceDE/>
      <w:autoSpaceDN/>
      <w:ind w:left="480" w:hanging="480"/>
      <w:jc w:val="both"/>
    </w:pPr>
    <w:rPr>
      <w:rFonts w:ascii="Trebuchet MS" w:hAnsi="Trebuchet MS" w:cs="Trebuchet MS"/>
      <w:sz w:val="16"/>
      <w:szCs w:val="16"/>
    </w:rPr>
  </w:style>
  <w:style w:type="character" w:customStyle="1" w:styleId="BodyTextIndent3Char">
    <w:name w:val="Body Text Indent 3 Char"/>
    <w:link w:val="BodyTextIndent3"/>
    <w:uiPriority w:val="99"/>
    <w:semiHidden/>
    <w:locked/>
    <w:rPr>
      <w:rFonts w:cs="Times New Roman"/>
      <w:sz w:val="16"/>
      <w:szCs w:val="16"/>
      <w:lang w:val="x-none" w:eastAsia="en-US"/>
    </w:rPr>
  </w:style>
  <w:style w:type="character" w:styleId="Hyperlink">
    <w:name w:val="Hyperlink"/>
    <w:uiPriority w:val="99"/>
    <w:rPr>
      <w:rFonts w:cs="Times New Roman"/>
      <w:color w:val="0000FF"/>
      <w:u w:val="single"/>
    </w:rPr>
  </w:style>
  <w:style w:type="character" w:styleId="UnresolvedMention">
    <w:name w:val="Unresolved Mention"/>
    <w:uiPriority w:val="99"/>
    <w:semiHidden/>
    <w:unhideWhenUsed/>
    <w:rsid w:val="00344B6B"/>
    <w:rPr>
      <w:color w:val="605E5C"/>
      <w:shd w:val="clear" w:color="auto" w:fill="E1DFDD"/>
    </w:rPr>
  </w:style>
  <w:style w:type="paragraph" w:styleId="ListParagraph">
    <w:name w:val="List Paragraph"/>
    <w:basedOn w:val="Normal"/>
    <w:link w:val="ListParagraphChar"/>
    <w:uiPriority w:val="34"/>
    <w:qFormat/>
    <w:rsid w:val="00A91E18"/>
    <w:pPr>
      <w:ind w:left="720"/>
      <w:contextualSpacing/>
    </w:pPr>
  </w:style>
  <w:style w:type="table" w:styleId="TableGrid">
    <w:name w:val="Table Grid"/>
    <w:basedOn w:val="TableNormal"/>
    <w:uiPriority w:val="59"/>
    <w:rsid w:val="00991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12">
    <w:name w:val="Arial 12"/>
    <w:link w:val="Arial12Char"/>
    <w:qFormat/>
    <w:rsid w:val="00A91E18"/>
    <w:rPr>
      <w:rFonts w:ascii="Arial" w:hAnsi="Arial" w:cs="Arial"/>
      <w:sz w:val="24"/>
      <w:szCs w:val="24"/>
      <w:lang w:eastAsia="en-US"/>
    </w:rPr>
  </w:style>
  <w:style w:type="character" w:customStyle="1" w:styleId="Arial12Char">
    <w:name w:val="Arial 12 Char"/>
    <w:basedOn w:val="ListParagraphChar"/>
    <w:link w:val="Arial12"/>
    <w:rsid w:val="00A91E18"/>
    <w:rPr>
      <w:rFonts w:ascii="Arial" w:hAnsi="Arial" w:cs="Arial"/>
      <w:sz w:val="24"/>
      <w:szCs w:val="24"/>
      <w:lang w:eastAsia="en-US"/>
    </w:rPr>
  </w:style>
  <w:style w:type="character" w:customStyle="1" w:styleId="ListParagraphChar">
    <w:name w:val="List Paragraph Char"/>
    <w:basedOn w:val="DefaultParagraphFont"/>
    <w:link w:val="ListParagraph"/>
    <w:uiPriority w:val="34"/>
    <w:rsid w:val="00A91E18"/>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528005">
      <w:bodyDiv w:val="1"/>
      <w:marLeft w:val="0"/>
      <w:marRight w:val="0"/>
      <w:marTop w:val="0"/>
      <w:marBottom w:val="0"/>
      <w:divBdr>
        <w:top w:val="none" w:sz="0" w:space="0" w:color="auto"/>
        <w:left w:val="none" w:sz="0" w:space="0" w:color="auto"/>
        <w:bottom w:val="none" w:sz="0" w:space="0" w:color="auto"/>
        <w:right w:val="none" w:sz="0" w:space="0" w:color="auto"/>
      </w:divBdr>
    </w:div>
    <w:div w:id="18177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11108-D2E3-407F-A9D7-8E879981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429</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3087</CharactersWithSpaces>
  <SharedDoc>false</SharedDoc>
  <HLinks>
    <vt:vector size="6" baseType="variant">
      <vt:variant>
        <vt:i4>7864362</vt:i4>
      </vt:variant>
      <vt:variant>
        <vt:i4>144</vt:i4>
      </vt:variant>
      <vt:variant>
        <vt:i4>0</vt:i4>
      </vt:variant>
      <vt:variant>
        <vt:i4>5</vt:i4>
      </vt:variant>
      <vt:variant>
        <vt:lpwstr>https://www.gov.uk/appeal-householder-planning-decision</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salesforceId:167a8fac-0201-4d30-838d-1379a99adb03</dc:subject>
  <dc:creator>Tracey Carter</dc:creator>
  <keywords/>
  <lastModifiedBy>Kilbee, Christina</lastModifiedBy>
  <revision>9</revision>
  <lastPrinted>2003-06-12T10:54:00.0000000Z</lastPrinted>
  <dcterms:created xsi:type="dcterms:W3CDTF">2024-02-08T12:59:00.0000000Z</dcterms:created>
  <dcterms:modified xsi:type="dcterms:W3CDTF">2024-02-29T12:32:00.0000000Z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2018-11-29T10:41:35Z</vt:filetime>
  </property>
  <property fmtid="{D5CDD505-2E9C-101B-9397-08002B2CF9AE}" pid="7" name="ContentDocumentId">
    <vt:lpwstr>069P200000LRqMfIAL</vt:lpwstr>
  </property>
</Properties>
</file>