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C5F676" w14:textId="77777777" w:rsidR="001D016C" w:rsidRPr="00D35DAE" w:rsidRDefault="001D016C" w:rsidP="001D016C">
      <w:pPr>
        <w:spacing w:after="0"/>
        <w:rPr>
          <w:rFonts w:ascii="Arial" w:hAnsi="Arial" w:cs="Arial"/>
          <w:b/>
          <w:bCs/>
        </w:rPr>
      </w:pPr>
      <w:r w:rsidRPr="00D35DAE">
        <w:rPr>
          <w:rFonts w:ascii="Arial" w:hAnsi="Arial" w:cs="Arial"/>
          <w:b/>
          <w:bCs/>
        </w:rPr>
        <w:t xml:space="preserve">DELEGATED PLANNING APPLICATION REPORT </w:t>
      </w:r>
    </w:p>
    <w:p w14:paraId="0B5F0330" w14:textId="619ABBDC" w:rsidR="001D016C" w:rsidRPr="00D35DAE" w:rsidRDefault="001D016C" w:rsidP="001D016C">
      <w:pPr>
        <w:spacing w:after="0"/>
        <w:rPr>
          <w:rFonts w:ascii="Arial" w:hAnsi="Arial" w:cs="Arial"/>
        </w:rPr>
      </w:pPr>
      <w:r w:rsidRPr="00291525">
        <w:rPr>
          <w:rFonts w:ascii="Arial" w:hAnsi="Arial" w:cs="Arial"/>
          <w:b/>
          <w:bCs/>
        </w:rPr>
        <w:t>App Ref:</w:t>
      </w:r>
      <w:r w:rsidRPr="00D35DAE">
        <w:rPr>
          <w:rFonts w:ascii="Arial" w:hAnsi="Arial" w:cs="Arial"/>
        </w:rPr>
        <w:t xml:space="preserve"> PL/24/</w:t>
      </w:r>
      <w:proofErr w:type="gramStart"/>
      <w:r w:rsidRPr="00D35DAE">
        <w:rPr>
          <w:rFonts w:ascii="Arial" w:hAnsi="Arial" w:cs="Arial"/>
        </w:rPr>
        <w:t xml:space="preserve">1122 </w:t>
      </w:r>
      <w:r w:rsidR="00DB715A">
        <w:rPr>
          <w:rFonts w:ascii="Arial" w:hAnsi="Arial" w:cs="Arial"/>
        </w:rPr>
        <w:t xml:space="preserve"> LBC</w:t>
      </w:r>
      <w:proofErr w:type="gramEnd"/>
    </w:p>
    <w:p w14:paraId="338B2345" w14:textId="0B66DD2D" w:rsidR="001D016C" w:rsidRPr="00D35DAE" w:rsidRDefault="001D016C" w:rsidP="001D016C">
      <w:pPr>
        <w:spacing w:after="0"/>
        <w:rPr>
          <w:rFonts w:ascii="Arial" w:hAnsi="Arial" w:cs="Arial"/>
        </w:rPr>
      </w:pPr>
      <w:r w:rsidRPr="00291525">
        <w:rPr>
          <w:rFonts w:ascii="Arial" w:hAnsi="Arial" w:cs="Arial"/>
          <w:b/>
          <w:bCs/>
        </w:rPr>
        <w:t>Address:</w:t>
      </w:r>
      <w:r w:rsidRPr="00D35DAE">
        <w:rPr>
          <w:rFonts w:ascii="Arial" w:hAnsi="Arial" w:cs="Arial"/>
        </w:rPr>
        <w:t xml:space="preserve"> Bath Road Overbridge, Bath Road, Reading, RG30 2AX</w:t>
      </w:r>
    </w:p>
    <w:p w14:paraId="2F815B98" w14:textId="078A7F95" w:rsidR="001D016C" w:rsidRPr="00D35DAE" w:rsidRDefault="001D016C" w:rsidP="001D016C">
      <w:pPr>
        <w:spacing w:after="0"/>
        <w:rPr>
          <w:rFonts w:ascii="Arial" w:hAnsi="Arial" w:cs="Arial"/>
        </w:rPr>
      </w:pPr>
      <w:r w:rsidRPr="00291525">
        <w:rPr>
          <w:rFonts w:ascii="Arial" w:hAnsi="Arial" w:cs="Arial"/>
          <w:b/>
          <w:bCs/>
        </w:rPr>
        <w:t>Proposals:</w:t>
      </w:r>
      <w:r w:rsidRPr="00D35DAE">
        <w:rPr>
          <w:rFonts w:ascii="Arial" w:hAnsi="Arial" w:cs="Arial"/>
        </w:rPr>
        <w:t xml:space="preserve"> Repair work to the brick </w:t>
      </w:r>
    </w:p>
    <w:p w14:paraId="212B3023" w14:textId="36000006" w:rsidR="001D016C" w:rsidRPr="00D35DAE" w:rsidRDefault="001D016C" w:rsidP="001D016C">
      <w:pPr>
        <w:spacing w:after="0"/>
        <w:rPr>
          <w:rFonts w:ascii="Arial" w:hAnsi="Arial" w:cs="Arial"/>
        </w:rPr>
      </w:pPr>
      <w:r w:rsidRPr="00291525">
        <w:rPr>
          <w:rFonts w:ascii="Arial" w:hAnsi="Arial" w:cs="Arial"/>
          <w:b/>
          <w:bCs/>
        </w:rPr>
        <w:t>Case Officer:</w:t>
      </w:r>
      <w:r w:rsidRPr="00D35DAE">
        <w:rPr>
          <w:rFonts w:ascii="Arial" w:hAnsi="Arial" w:cs="Arial"/>
        </w:rPr>
        <w:t xml:space="preserve"> Burcu Can Cetin </w:t>
      </w:r>
    </w:p>
    <w:p w14:paraId="59A10F2B" w14:textId="77777777" w:rsidR="001D016C" w:rsidRPr="00D35DAE" w:rsidRDefault="001D016C">
      <w:pPr>
        <w:rPr>
          <w:rFonts w:ascii="Arial" w:hAnsi="Arial" w:cs="Arial"/>
        </w:rPr>
      </w:pPr>
    </w:p>
    <w:p w14:paraId="3535A99C" w14:textId="7035C9DF" w:rsidR="001D13BB" w:rsidRPr="00D35DAE" w:rsidRDefault="001D016C" w:rsidP="00F218A7">
      <w:pPr>
        <w:spacing w:after="0"/>
        <w:rPr>
          <w:rFonts w:ascii="Arial" w:hAnsi="Arial" w:cs="Arial"/>
          <w:b/>
          <w:bCs/>
        </w:rPr>
      </w:pPr>
      <w:r w:rsidRPr="00D35DAE">
        <w:rPr>
          <w:rFonts w:ascii="Arial" w:hAnsi="Arial" w:cs="Arial"/>
          <w:b/>
          <w:bCs/>
        </w:rPr>
        <w:t>1. Site Description</w:t>
      </w:r>
    </w:p>
    <w:p w14:paraId="2226A5C0" w14:textId="33D74329" w:rsidR="001D016C" w:rsidRPr="00D35DAE" w:rsidRDefault="001D016C" w:rsidP="00F218A7">
      <w:pPr>
        <w:spacing w:after="0"/>
        <w:rPr>
          <w:rFonts w:ascii="Arial" w:hAnsi="Arial" w:cs="Arial"/>
        </w:rPr>
      </w:pPr>
      <w:r w:rsidRPr="00D35DAE">
        <w:rPr>
          <w:rFonts w:ascii="Arial" w:hAnsi="Arial" w:cs="Arial"/>
        </w:rPr>
        <w:t xml:space="preserve">The application relates to </w:t>
      </w:r>
      <w:r w:rsidR="00F35228" w:rsidRPr="00D35DAE">
        <w:rPr>
          <w:rFonts w:ascii="Arial" w:hAnsi="Arial" w:cs="Arial"/>
        </w:rPr>
        <w:t xml:space="preserve">the Grade II listed bridge, Bath Road Bridge (BKE3729), over Bath Road, dating from </w:t>
      </w:r>
      <w:proofErr w:type="gramStart"/>
      <w:r w:rsidR="00F35228" w:rsidRPr="00D35DAE">
        <w:rPr>
          <w:rFonts w:ascii="Arial" w:hAnsi="Arial" w:cs="Arial"/>
        </w:rPr>
        <w:t>The</w:t>
      </w:r>
      <w:proofErr w:type="gramEnd"/>
      <w:r w:rsidR="00F35228" w:rsidRPr="00D35DAE">
        <w:rPr>
          <w:rFonts w:ascii="Arial" w:hAnsi="Arial" w:cs="Arial"/>
        </w:rPr>
        <w:t xml:space="preserve"> 19</w:t>
      </w:r>
      <w:r w:rsidR="00F35228" w:rsidRPr="00D35DAE">
        <w:rPr>
          <w:rFonts w:ascii="Arial" w:hAnsi="Arial" w:cs="Arial"/>
          <w:vertAlign w:val="superscript"/>
        </w:rPr>
        <w:t>th</w:t>
      </w:r>
      <w:r w:rsidR="00F35228" w:rsidRPr="00D35DAE">
        <w:rPr>
          <w:rFonts w:ascii="Arial" w:hAnsi="Arial" w:cs="Arial"/>
        </w:rPr>
        <w:t xml:space="preserve"> century. The listing reads as follows:</w:t>
      </w:r>
    </w:p>
    <w:p w14:paraId="3AB6FB64" w14:textId="77777777" w:rsidR="00F35228" w:rsidRPr="00F35228" w:rsidRDefault="00F35228" w:rsidP="00F35228">
      <w:pPr>
        <w:spacing w:after="0"/>
        <w:rPr>
          <w:rFonts w:ascii="Arial" w:hAnsi="Arial" w:cs="Arial"/>
          <w:i/>
          <w:iCs/>
        </w:rPr>
      </w:pPr>
      <w:r w:rsidRPr="00F35228">
        <w:rPr>
          <w:rFonts w:ascii="Arial" w:hAnsi="Arial" w:cs="Arial"/>
          <w:i/>
          <w:iCs/>
        </w:rPr>
        <w:t>Summary</w:t>
      </w:r>
    </w:p>
    <w:p w14:paraId="18D7110C" w14:textId="77777777" w:rsidR="00F35228" w:rsidRPr="00D35DAE" w:rsidRDefault="00F35228" w:rsidP="00F35228">
      <w:pPr>
        <w:spacing w:after="0"/>
        <w:rPr>
          <w:rFonts w:ascii="Arial" w:hAnsi="Arial" w:cs="Arial"/>
          <w:i/>
          <w:iCs/>
        </w:rPr>
      </w:pPr>
      <w:r w:rsidRPr="00F35228">
        <w:rPr>
          <w:rFonts w:ascii="Arial" w:hAnsi="Arial" w:cs="Arial"/>
          <w:i/>
          <w:iCs/>
        </w:rPr>
        <w:t>Tall, triple-arch skew road overbridge with semi-elliptical spans, set in a cutting, erected c.1845-47.</w:t>
      </w:r>
    </w:p>
    <w:p w14:paraId="5B9020EC" w14:textId="77777777" w:rsidR="00F35228" w:rsidRPr="00F35228" w:rsidRDefault="00F35228" w:rsidP="00F35228">
      <w:pPr>
        <w:spacing w:after="0"/>
        <w:rPr>
          <w:rFonts w:ascii="Arial" w:hAnsi="Arial" w:cs="Arial"/>
          <w:i/>
          <w:iCs/>
        </w:rPr>
      </w:pPr>
    </w:p>
    <w:p w14:paraId="0DB5AFC3" w14:textId="77777777" w:rsidR="00F35228" w:rsidRPr="00F35228" w:rsidRDefault="00F35228" w:rsidP="00F35228">
      <w:pPr>
        <w:spacing w:after="0"/>
        <w:rPr>
          <w:rFonts w:ascii="Arial" w:hAnsi="Arial" w:cs="Arial"/>
          <w:i/>
          <w:iCs/>
        </w:rPr>
      </w:pPr>
      <w:r w:rsidRPr="00F35228">
        <w:rPr>
          <w:rFonts w:ascii="Arial" w:hAnsi="Arial" w:cs="Arial"/>
          <w:i/>
          <w:iCs/>
        </w:rPr>
        <w:t>Reasons for Designation</w:t>
      </w:r>
    </w:p>
    <w:p w14:paraId="0E247A60" w14:textId="77777777" w:rsidR="00F35228" w:rsidRPr="00D35DAE" w:rsidRDefault="00F35228" w:rsidP="00F35228">
      <w:pPr>
        <w:spacing w:after="0"/>
        <w:rPr>
          <w:rFonts w:ascii="Arial" w:hAnsi="Arial" w:cs="Arial"/>
          <w:i/>
          <w:iCs/>
        </w:rPr>
      </w:pPr>
      <w:r w:rsidRPr="00F35228">
        <w:rPr>
          <w:rFonts w:ascii="Arial" w:hAnsi="Arial" w:cs="Arial"/>
          <w:i/>
          <w:iCs/>
        </w:rPr>
        <w:t>Bath Road Bridge is designated at Grade II for the following principal reasons: * Selectivity: a triple-arch skew overbridge with semi-elliptical arches; in this case it is unusually high, built to span a deep cutting; * Design, engineering &amp; material interest: built to the high standard employed for brick-built bridges of this date; intact outer faces, semi-elliptical arches and arch rings, with slightly heightened, patched and repaired parapets; similar to Tilehurst Bridge which was constructed with internal voids and spine walls that reduce the weight of the superstructure and carry the carriageway; * Historic interest: built 1845-7, shortly after the main line by the Hampshire and Berkshire Railway for the Reading-Newbury line, probably by an assistant engineer to Brunel’s earlier specification; the drawings survive; * Group Value: forms an impressive pair with the similar and contemporary Tilehurst Road Bridge.</w:t>
      </w:r>
    </w:p>
    <w:p w14:paraId="516B9F1F" w14:textId="77777777" w:rsidR="00F35228" w:rsidRPr="00F35228" w:rsidRDefault="00F35228" w:rsidP="00F35228">
      <w:pPr>
        <w:spacing w:after="0"/>
        <w:rPr>
          <w:rFonts w:ascii="Arial" w:hAnsi="Arial" w:cs="Arial"/>
          <w:i/>
          <w:iCs/>
        </w:rPr>
      </w:pPr>
    </w:p>
    <w:p w14:paraId="287760A3" w14:textId="77777777" w:rsidR="00F35228" w:rsidRPr="00F35228" w:rsidRDefault="00F35228" w:rsidP="00F35228">
      <w:pPr>
        <w:spacing w:after="0"/>
        <w:rPr>
          <w:rFonts w:ascii="Arial" w:hAnsi="Arial" w:cs="Arial"/>
          <w:i/>
          <w:iCs/>
        </w:rPr>
      </w:pPr>
      <w:r w:rsidRPr="00F35228">
        <w:rPr>
          <w:rFonts w:ascii="Arial" w:hAnsi="Arial" w:cs="Arial"/>
          <w:i/>
          <w:iCs/>
        </w:rPr>
        <w:t>History</w:t>
      </w:r>
    </w:p>
    <w:p w14:paraId="06C303B1" w14:textId="77777777" w:rsidR="00F35228" w:rsidRPr="00F35228" w:rsidRDefault="00F35228" w:rsidP="00F35228">
      <w:pPr>
        <w:spacing w:after="0"/>
        <w:rPr>
          <w:rFonts w:ascii="Arial" w:hAnsi="Arial" w:cs="Arial"/>
          <w:i/>
          <w:iCs/>
        </w:rPr>
      </w:pPr>
      <w:r w:rsidRPr="00F35228">
        <w:rPr>
          <w:rFonts w:ascii="Arial" w:hAnsi="Arial" w:cs="Arial"/>
          <w:i/>
          <w:iCs/>
        </w:rPr>
        <w:t xml:space="preserve">The railway line from Reading to Newbury, opened in 1847, was the outcome of a dispute between the Great Western Railway (GWR) and the London and </w:t>
      </w:r>
      <w:proofErr w:type="gramStart"/>
      <w:r w:rsidRPr="00F35228">
        <w:rPr>
          <w:rFonts w:ascii="Arial" w:hAnsi="Arial" w:cs="Arial"/>
          <w:i/>
          <w:iCs/>
        </w:rPr>
        <w:t>South Western</w:t>
      </w:r>
      <w:proofErr w:type="gramEnd"/>
      <w:r w:rsidRPr="00F35228">
        <w:rPr>
          <w:rFonts w:ascii="Arial" w:hAnsi="Arial" w:cs="Arial"/>
          <w:i/>
          <w:iCs/>
        </w:rPr>
        <w:t xml:space="preserve"> Railway about the provision of a railway to Newbury. The GWR originally proposed to reach the town by a branch from the main line at Pangbourne, but eventually settled on the present route. This was built by a subsidiary company to the GWR, the Berkshire and Hampshire Railway. The engineer was Isambard Kingdom Brunel (1806-59) who, as with the main line, designed the line on the broad gauge. Having previously dismissed the idea of a route to Bristol via Newbury and the Vale of Pewsey he did not regard this as a major project: it only became part of the direct GWR route to Exeter in 1906. It is not known who was the Resident Engineer for the project.</w:t>
      </w:r>
      <w:r w:rsidRPr="00F35228">
        <w:rPr>
          <w:rFonts w:ascii="Arial" w:hAnsi="Arial" w:cs="Arial"/>
          <w:i/>
          <w:iCs/>
        </w:rPr>
        <w:br/>
      </w:r>
      <w:r w:rsidRPr="00F35228">
        <w:rPr>
          <w:rFonts w:ascii="Arial" w:hAnsi="Arial" w:cs="Arial"/>
          <w:i/>
          <w:iCs/>
        </w:rPr>
        <w:br/>
        <w:t>Bath Road Bridge was erected during the construction of the line c. 1845-7 to carry the London-Bristol turnpike (now the A4) south-west of Reading.</w:t>
      </w:r>
      <w:r w:rsidRPr="00F35228">
        <w:rPr>
          <w:rFonts w:ascii="Arial" w:hAnsi="Arial" w:cs="Arial"/>
          <w:i/>
          <w:iCs/>
        </w:rPr>
        <w:br/>
      </w:r>
      <w:r w:rsidRPr="00F35228">
        <w:rPr>
          <w:rFonts w:ascii="Arial" w:hAnsi="Arial" w:cs="Arial"/>
          <w:i/>
          <w:iCs/>
        </w:rPr>
        <w:br/>
        <w:t>In one or more phases in the late-C19 and mid to late-C20 some patching and refacing, and other minor alterations, have been carried out in engineering brick. In the last few decades, steel footbridges have been built alongside on both sides.</w:t>
      </w:r>
    </w:p>
    <w:p w14:paraId="0682D2F1" w14:textId="77777777" w:rsidR="00F35228" w:rsidRPr="00D35DAE" w:rsidRDefault="00F35228" w:rsidP="00F35228">
      <w:pPr>
        <w:spacing w:after="0"/>
        <w:rPr>
          <w:rFonts w:ascii="Arial" w:hAnsi="Arial" w:cs="Arial"/>
          <w:b/>
          <w:bCs/>
          <w:i/>
          <w:iCs/>
        </w:rPr>
      </w:pPr>
    </w:p>
    <w:p w14:paraId="4633437F" w14:textId="77777777" w:rsidR="00F218A7" w:rsidRPr="00D35DAE" w:rsidRDefault="00F35228" w:rsidP="00F35228">
      <w:pPr>
        <w:spacing w:after="0"/>
        <w:rPr>
          <w:rFonts w:ascii="Arial" w:hAnsi="Arial" w:cs="Arial"/>
          <w:i/>
          <w:iCs/>
        </w:rPr>
      </w:pPr>
      <w:r w:rsidRPr="00F35228">
        <w:rPr>
          <w:rFonts w:ascii="Arial" w:hAnsi="Arial" w:cs="Arial"/>
          <w:i/>
          <w:iCs/>
        </w:rPr>
        <w:t>Details</w:t>
      </w:r>
    </w:p>
    <w:p w14:paraId="50825079" w14:textId="182E605B" w:rsidR="00F35228" w:rsidRPr="00F35228" w:rsidRDefault="00F35228" w:rsidP="00F35228">
      <w:pPr>
        <w:spacing w:after="0"/>
        <w:rPr>
          <w:rFonts w:ascii="Arial" w:hAnsi="Arial" w:cs="Arial"/>
          <w:i/>
          <w:iCs/>
        </w:rPr>
      </w:pPr>
      <w:r w:rsidRPr="00F35228">
        <w:rPr>
          <w:rFonts w:ascii="Arial" w:hAnsi="Arial" w:cs="Arial"/>
          <w:i/>
          <w:iCs/>
        </w:rPr>
        <w:t>MATERIALS: original handmade red brick. Red engineering brick used for patching and for alterations to the parapets. English bond. Limestone copings.</w:t>
      </w:r>
      <w:r w:rsidRPr="00F35228">
        <w:rPr>
          <w:rFonts w:ascii="Arial" w:hAnsi="Arial" w:cs="Arial"/>
          <w:i/>
          <w:iCs/>
        </w:rPr>
        <w:br/>
      </w:r>
      <w:r w:rsidRPr="00F35228">
        <w:rPr>
          <w:rFonts w:ascii="Arial" w:hAnsi="Arial" w:cs="Arial"/>
          <w:i/>
          <w:iCs/>
        </w:rPr>
        <w:br/>
        <w:t xml:space="preserve">DESCRIPTION: the central arch is slightly taller than the side arches. Dimensions appear to </w:t>
      </w:r>
      <w:r w:rsidRPr="00F35228">
        <w:rPr>
          <w:rFonts w:ascii="Arial" w:hAnsi="Arial" w:cs="Arial"/>
          <w:i/>
          <w:iCs/>
        </w:rPr>
        <w:lastRenderedPageBreak/>
        <w:t xml:space="preserve">be </w:t>
      </w:r>
      <w:proofErr w:type="gramStart"/>
      <w:r w:rsidRPr="00F35228">
        <w:rPr>
          <w:rFonts w:ascii="Arial" w:hAnsi="Arial" w:cs="Arial"/>
          <w:i/>
          <w:iCs/>
        </w:rPr>
        <w:t>similar to</w:t>
      </w:r>
      <w:proofErr w:type="gramEnd"/>
      <w:r w:rsidRPr="00F35228">
        <w:rPr>
          <w:rFonts w:ascii="Arial" w:hAnsi="Arial" w:cs="Arial"/>
          <w:i/>
          <w:iCs/>
        </w:rPr>
        <w:t xml:space="preserve"> those of the neighbouring and contemporary Tilehurst Road Bridge (BKE3709), which has a central span of 38ft 4in and c. 30ft side arches. The carriageway is 24ft [7.3m] between parapets. The piers are tapered and were originally pierced by three tapering transverse arches. These arches have been blocked up with </w:t>
      </w:r>
      <w:proofErr w:type="gramStart"/>
      <w:r w:rsidRPr="00F35228">
        <w:rPr>
          <w:rFonts w:ascii="Arial" w:hAnsi="Arial" w:cs="Arial"/>
          <w:i/>
          <w:iCs/>
        </w:rPr>
        <w:t>brick</w:t>
      </w:r>
      <w:proofErr w:type="gramEnd"/>
      <w:r w:rsidRPr="00F35228">
        <w:rPr>
          <w:rFonts w:ascii="Arial" w:hAnsi="Arial" w:cs="Arial"/>
          <w:i/>
          <w:iCs/>
        </w:rPr>
        <w:t xml:space="preserve"> so they now read as blind arches. At least one tie plate is visible in the north (low mileage) face. Abutments/wing walls are vertical and straight. A stepped string course runs across each face and above the outer face of the parapet is stepped. They have been raised in the C20 by two courses of red engineering brick above the original coping left in-situ and have steeply pitched purple brick copings with small anti-climb spikes. The parapets are also rebuilt in red engineering brick at the ends, possibly in connection with the construction of the entrances to the modern steel footbridges which flank the bridge on both sides (these are not attached.) In particular, the east end of the south (high mileage) parapet was truncated and rebuilt in engineering brick so that it curves back on a concrete raft to form part of the entrance to the southern footbridge. The modern steel footbridges are not of special interest.</w:t>
      </w:r>
      <w:r w:rsidRPr="00F35228">
        <w:rPr>
          <w:rFonts w:ascii="Arial" w:hAnsi="Arial" w:cs="Arial"/>
          <w:i/>
          <w:iCs/>
        </w:rPr>
        <w:br/>
      </w:r>
      <w:r w:rsidRPr="00F35228">
        <w:rPr>
          <w:rFonts w:ascii="Arial" w:hAnsi="Arial" w:cs="Arial"/>
          <w:i/>
          <w:iCs/>
        </w:rPr>
        <w:br/>
        <w:t>The bridge is generally not visible in the wider landscape because it was designed to span a cutting. However, it is mutually visible with Tilehurst Road Bridge (BKE3709).</w:t>
      </w:r>
    </w:p>
    <w:p w14:paraId="31CBACF6" w14:textId="77777777" w:rsidR="00F35228" w:rsidRPr="00D35DAE" w:rsidRDefault="00F35228">
      <w:pPr>
        <w:rPr>
          <w:rFonts w:ascii="Arial" w:hAnsi="Arial" w:cs="Arial"/>
        </w:rPr>
      </w:pPr>
    </w:p>
    <w:p w14:paraId="1B1AA702" w14:textId="508137D6" w:rsidR="00F35228" w:rsidRPr="00D35DAE" w:rsidRDefault="00F35228" w:rsidP="00F218A7">
      <w:pPr>
        <w:spacing w:after="0"/>
        <w:rPr>
          <w:rFonts w:ascii="Arial" w:hAnsi="Arial" w:cs="Arial"/>
          <w:b/>
          <w:bCs/>
        </w:rPr>
      </w:pPr>
      <w:r w:rsidRPr="00D35DAE">
        <w:rPr>
          <w:rFonts w:ascii="Arial" w:hAnsi="Arial" w:cs="Arial"/>
          <w:b/>
          <w:bCs/>
        </w:rPr>
        <w:t>2. Proposed Works</w:t>
      </w:r>
    </w:p>
    <w:p w14:paraId="39566611" w14:textId="230160C5" w:rsidR="00F35228" w:rsidRPr="00D35DAE" w:rsidRDefault="00F35228" w:rsidP="00F218A7">
      <w:pPr>
        <w:spacing w:after="0"/>
        <w:rPr>
          <w:rFonts w:ascii="Arial" w:hAnsi="Arial" w:cs="Arial"/>
        </w:rPr>
      </w:pPr>
      <w:r w:rsidRPr="00D35DAE">
        <w:rPr>
          <w:rFonts w:ascii="Arial" w:hAnsi="Arial" w:cs="Arial"/>
        </w:rPr>
        <w:t>The application seeks permission for repairs to the brickwork of the Grade II listed Bath Road Bridge (BKE3729), which comprises:</w:t>
      </w:r>
    </w:p>
    <w:p w14:paraId="526F43B9" w14:textId="77777777" w:rsidR="00F35228" w:rsidRPr="00D35DAE" w:rsidRDefault="00F35228" w:rsidP="00F35228">
      <w:pPr>
        <w:rPr>
          <w:rFonts w:ascii="Arial" w:hAnsi="Arial" w:cs="Arial"/>
        </w:rPr>
      </w:pPr>
      <w:r w:rsidRPr="00D35DAE">
        <w:rPr>
          <w:rFonts w:ascii="Arial" w:hAnsi="Arial" w:cs="Arial"/>
        </w:rPr>
        <w:t>• Secure loose to hammer/dropped brickwork by re-case area of brickwork on a like-for-like repair - LOCATION: Span 2, high mileage face rings.</w:t>
      </w:r>
    </w:p>
    <w:p w14:paraId="1185EBB3" w14:textId="5ED1F1BC" w:rsidR="00F35228" w:rsidRPr="00D35DAE" w:rsidRDefault="00F35228" w:rsidP="00F35228">
      <w:pPr>
        <w:rPr>
          <w:rFonts w:ascii="Arial" w:hAnsi="Arial" w:cs="Arial"/>
        </w:rPr>
      </w:pPr>
      <w:r w:rsidRPr="00D35DAE">
        <w:rPr>
          <w:rFonts w:ascii="Arial" w:hAnsi="Arial" w:cs="Arial"/>
        </w:rPr>
        <w:t>• Re-bed lifting brickwork on a like-for-like basis - LOCATION: Upside high mileage wing wall parapet.</w:t>
      </w:r>
    </w:p>
    <w:p w14:paraId="1C9AF996" w14:textId="59AFDD2F" w:rsidR="00F35228" w:rsidRPr="00D35DAE" w:rsidRDefault="00F35228" w:rsidP="00F35228">
      <w:pPr>
        <w:rPr>
          <w:rFonts w:ascii="Arial" w:hAnsi="Arial" w:cs="Arial"/>
        </w:rPr>
      </w:pPr>
      <w:r w:rsidRPr="00D35DAE">
        <w:rPr>
          <w:rFonts w:ascii="Arial" w:hAnsi="Arial" w:cs="Arial"/>
        </w:rPr>
        <w:t>• Remove loose, missing and spalled brickwork and repair. Repoint deep open joints to spandrel/face rings as required. Further, break out and re-case any remaining face ring brickwork where longitudinal fracturing is present - LOCATION: The immediate rear Centre span 2 (H/M upside spandrel/face rings 2.5m2).</w:t>
      </w:r>
    </w:p>
    <w:p w14:paraId="4FD0ED21" w14:textId="4F633DEB" w:rsidR="00F35228" w:rsidRPr="00D35DAE" w:rsidRDefault="00F35228" w:rsidP="00F35228">
      <w:pPr>
        <w:rPr>
          <w:rFonts w:ascii="Arial" w:hAnsi="Arial" w:cs="Arial"/>
        </w:rPr>
      </w:pPr>
      <w:r w:rsidRPr="00D35DAE">
        <w:rPr>
          <w:rFonts w:ascii="Arial" w:hAnsi="Arial" w:cs="Arial"/>
        </w:rPr>
        <w:t xml:space="preserve">It is also noted that prior to the decision, the harmful graffiti had also been removed by using non-destructive methods, as confirmed by the applicant. </w:t>
      </w:r>
    </w:p>
    <w:p w14:paraId="3D1897DB" w14:textId="77777777" w:rsidR="008E37AB" w:rsidRPr="00D35DAE" w:rsidRDefault="008E37AB" w:rsidP="00F35228">
      <w:pPr>
        <w:rPr>
          <w:rFonts w:ascii="Arial" w:hAnsi="Arial" w:cs="Arial"/>
        </w:rPr>
      </w:pPr>
    </w:p>
    <w:p w14:paraId="6AB43F86" w14:textId="0A87E5ED" w:rsidR="008E37AB" w:rsidRPr="00D35DAE" w:rsidRDefault="008E37AB" w:rsidP="00F218A7">
      <w:pPr>
        <w:spacing w:after="0"/>
        <w:rPr>
          <w:rFonts w:ascii="Arial" w:hAnsi="Arial" w:cs="Arial"/>
          <w:b/>
          <w:bCs/>
        </w:rPr>
      </w:pPr>
      <w:r w:rsidRPr="00D35DAE">
        <w:rPr>
          <w:rFonts w:ascii="Arial" w:hAnsi="Arial" w:cs="Arial"/>
          <w:b/>
          <w:bCs/>
        </w:rPr>
        <w:t>3. Relevant Planning History</w:t>
      </w:r>
    </w:p>
    <w:p w14:paraId="17227CDE" w14:textId="66ACF39F" w:rsidR="001E61FB" w:rsidRDefault="00023DCF" w:rsidP="00F218A7">
      <w:pPr>
        <w:spacing w:after="0"/>
        <w:rPr>
          <w:rFonts w:ascii="Arial" w:hAnsi="Arial" w:cs="Arial"/>
        </w:rPr>
      </w:pPr>
      <w:r>
        <w:rPr>
          <w:rFonts w:ascii="Arial" w:hAnsi="Arial" w:cs="Arial"/>
        </w:rPr>
        <w:t xml:space="preserve">PL/17/1381 - </w:t>
      </w:r>
      <w:r w:rsidRPr="00023DCF">
        <w:rPr>
          <w:rFonts w:ascii="Arial" w:hAnsi="Arial" w:cs="Arial"/>
        </w:rPr>
        <w:t>Alterations to parapets and carrying out of anti-climb works</w:t>
      </w:r>
      <w:r w:rsidR="00E37CF7">
        <w:rPr>
          <w:rFonts w:ascii="Arial" w:hAnsi="Arial" w:cs="Arial"/>
        </w:rPr>
        <w:t xml:space="preserve"> – </w:t>
      </w:r>
      <w:r w:rsidR="00B60215">
        <w:rPr>
          <w:rFonts w:ascii="Arial" w:hAnsi="Arial" w:cs="Arial"/>
        </w:rPr>
        <w:t>Approved</w:t>
      </w:r>
    </w:p>
    <w:p w14:paraId="7E885028" w14:textId="77777777" w:rsidR="00773A9C" w:rsidRDefault="00773A9C" w:rsidP="00F218A7">
      <w:pPr>
        <w:spacing w:after="0"/>
        <w:rPr>
          <w:rFonts w:ascii="Arial" w:hAnsi="Arial" w:cs="Arial"/>
        </w:rPr>
      </w:pPr>
    </w:p>
    <w:p w14:paraId="51E5E47E" w14:textId="7CBA7FB8" w:rsidR="00E37CF7" w:rsidRDefault="005B58EA" w:rsidP="005B58EA">
      <w:pPr>
        <w:spacing w:after="0"/>
        <w:rPr>
          <w:rFonts w:ascii="Arial" w:hAnsi="Arial" w:cs="Arial"/>
        </w:rPr>
      </w:pPr>
      <w:r>
        <w:rPr>
          <w:rFonts w:ascii="Arial" w:hAnsi="Arial" w:cs="Arial"/>
        </w:rPr>
        <w:t xml:space="preserve">PL/17/1391 - </w:t>
      </w:r>
      <w:r w:rsidRPr="005B58EA">
        <w:rPr>
          <w:rFonts w:ascii="Arial" w:hAnsi="Arial" w:cs="Arial"/>
        </w:rPr>
        <w:t>Prior Notification for heightening of parapets and carrying out of</w:t>
      </w:r>
      <w:r>
        <w:rPr>
          <w:rFonts w:ascii="Arial" w:hAnsi="Arial" w:cs="Arial"/>
        </w:rPr>
        <w:t xml:space="preserve"> </w:t>
      </w:r>
      <w:r w:rsidRPr="005B58EA">
        <w:rPr>
          <w:rFonts w:ascii="Arial" w:hAnsi="Arial" w:cs="Arial"/>
        </w:rPr>
        <w:t>anti-climb work to external elevations</w:t>
      </w:r>
      <w:r w:rsidR="00B60215">
        <w:rPr>
          <w:rFonts w:ascii="Arial" w:hAnsi="Arial" w:cs="Arial"/>
        </w:rPr>
        <w:t xml:space="preserve"> – Approved</w:t>
      </w:r>
    </w:p>
    <w:p w14:paraId="704443BF" w14:textId="77777777" w:rsidR="00773A9C" w:rsidRDefault="00773A9C" w:rsidP="005B58EA">
      <w:pPr>
        <w:spacing w:after="0"/>
        <w:rPr>
          <w:rFonts w:ascii="Arial" w:hAnsi="Arial" w:cs="Arial"/>
        </w:rPr>
      </w:pPr>
    </w:p>
    <w:p w14:paraId="72EFFDB0" w14:textId="3B4DAF22" w:rsidR="00B60215" w:rsidRDefault="001D6E23" w:rsidP="005B58EA">
      <w:pPr>
        <w:spacing w:after="0"/>
        <w:rPr>
          <w:rFonts w:ascii="Arial" w:hAnsi="Arial" w:cs="Arial"/>
        </w:rPr>
      </w:pPr>
      <w:r>
        <w:rPr>
          <w:rFonts w:ascii="Arial" w:hAnsi="Arial" w:cs="Arial"/>
        </w:rPr>
        <w:t xml:space="preserve">PL/17/2089 - </w:t>
      </w:r>
      <w:r w:rsidRPr="001D6E23">
        <w:rPr>
          <w:rFonts w:ascii="Arial" w:hAnsi="Arial" w:cs="Arial"/>
        </w:rPr>
        <w:t>Application for approval of details pursuant to Condition 3 of</w:t>
      </w:r>
      <w:r>
        <w:rPr>
          <w:rFonts w:ascii="Arial" w:hAnsi="Arial" w:cs="Arial"/>
        </w:rPr>
        <w:t xml:space="preserve"> </w:t>
      </w:r>
      <w:r w:rsidRPr="001D6E23">
        <w:rPr>
          <w:rFonts w:ascii="Arial" w:hAnsi="Arial" w:cs="Arial"/>
        </w:rPr>
        <w:t>Consent171381/LBC</w:t>
      </w:r>
      <w:r>
        <w:rPr>
          <w:rFonts w:ascii="Arial" w:hAnsi="Arial" w:cs="Arial"/>
        </w:rPr>
        <w:t xml:space="preserve"> </w:t>
      </w:r>
      <w:r w:rsidR="00C65284">
        <w:rPr>
          <w:rFonts w:ascii="Arial" w:hAnsi="Arial" w:cs="Arial"/>
        </w:rPr>
        <w:t>–</w:t>
      </w:r>
      <w:r>
        <w:rPr>
          <w:rFonts w:ascii="Arial" w:hAnsi="Arial" w:cs="Arial"/>
        </w:rPr>
        <w:t xml:space="preserve"> </w:t>
      </w:r>
      <w:r w:rsidR="00C65284">
        <w:rPr>
          <w:rFonts w:ascii="Arial" w:hAnsi="Arial" w:cs="Arial"/>
        </w:rPr>
        <w:t>Conditions discharged</w:t>
      </w:r>
    </w:p>
    <w:p w14:paraId="2CD248B6" w14:textId="77777777" w:rsidR="00773A9C" w:rsidRDefault="00773A9C" w:rsidP="005B58EA">
      <w:pPr>
        <w:spacing w:after="0"/>
        <w:rPr>
          <w:rFonts w:ascii="Arial" w:hAnsi="Arial" w:cs="Arial"/>
        </w:rPr>
      </w:pPr>
    </w:p>
    <w:p w14:paraId="14B6A5FC" w14:textId="5976B486" w:rsidR="00C65284" w:rsidRPr="00D35DAE" w:rsidRDefault="00773A9C" w:rsidP="005B58EA">
      <w:pPr>
        <w:spacing w:after="0"/>
        <w:rPr>
          <w:rFonts w:ascii="Arial" w:hAnsi="Arial" w:cs="Arial"/>
        </w:rPr>
      </w:pPr>
      <w:r>
        <w:rPr>
          <w:rFonts w:ascii="Arial" w:hAnsi="Arial" w:cs="Arial"/>
        </w:rPr>
        <w:t xml:space="preserve">PL/18/0237 - </w:t>
      </w:r>
      <w:r w:rsidRPr="00773A9C">
        <w:rPr>
          <w:rFonts w:ascii="Arial" w:hAnsi="Arial" w:cs="Arial"/>
        </w:rPr>
        <w:t xml:space="preserve">Addition of Overhead Line Equipment (OLE) </w:t>
      </w:r>
      <w:r>
        <w:rPr>
          <w:rFonts w:ascii="Arial" w:hAnsi="Arial" w:cs="Arial"/>
        </w:rPr>
        <w:t>–</w:t>
      </w:r>
      <w:r w:rsidRPr="00773A9C">
        <w:rPr>
          <w:rFonts w:ascii="Arial" w:hAnsi="Arial" w:cs="Arial"/>
        </w:rPr>
        <w:t xml:space="preserve"> </w:t>
      </w:r>
      <w:proofErr w:type="spellStart"/>
      <w:r w:rsidRPr="00773A9C">
        <w:rPr>
          <w:rFonts w:ascii="Arial" w:hAnsi="Arial" w:cs="Arial"/>
        </w:rPr>
        <w:t>Earthwire</w:t>
      </w:r>
      <w:proofErr w:type="spellEnd"/>
      <w:r>
        <w:rPr>
          <w:rFonts w:ascii="Arial" w:hAnsi="Arial" w:cs="Arial"/>
        </w:rPr>
        <w:t xml:space="preserve"> - Approved</w:t>
      </w:r>
    </w:p>
    <w:p w14:paraId="084F6637" w14:textId="77777777" w:rsidR="008E37AB" w:rsidRPr="00D35DAE" w:rsidRDefault="008E37AB" w:rsidP="00F35228">
      <w:pPr>
        <w:rPr>
          <w:rFonts w:ascii="Arial" w:hAnsi="Arial" w:cs="Arial"/>
        </w:rPr>
      </w:pPr>
    </w:p>
    <w:p w14:paraId="0B55FC95" w14:textId="73867550" w:rsidR="008E37AB" w:rsidRPr="00D35DAE" w:rsidRDefault="008E37AB" w:rsidP="00F218A7">
      <w:pPr>
        <w:spacing w:after="0"/>
        <w:rPr>
          <w:rFonts w:ascii="Arial" w:hAnsi="Arial" w:cs="Arial"/>
          <w:b/>
          <w:bCs/>
        </w:rPr>
      </w:pPr>
      <w:r w:rsidRPr="00D35DAE">
        <w:rPr>
          <w:rFonts w:ascii="Arial" w:hAnsi="Arial" w:cs="Arial"/>
          <w:b/>
          <w:bCs/>
        </w:rPr>
        <w:t>4. Consultations</w:t>
      </w:r>
    </w:p>
    <w:p w14:paraId="068A9DBA" w14:textId="2EC9322C" w:rsidR="008E37AB" w:rsidRPr="00D35DAE" w:rsidRDefault="008E37AB" w:rsidP="00D35DAE">
      <w:pPr>
        <w:spacing w:after="0"/>
        <w:rPr>
          <w:rFonts w:ascii="Arial" w:hAnsi="Arial" w:cs="Arial"/>
        </w:rPr>
      </w:pPr>
      <w:r w:rsidRPr="00D35DAE">
        <w:rPr>
          <w:rFonts w:ascii="Arial" w:hAnsi="Arial" w:cs="Arial"/>
        </w:rPr>
        <w:t>None</w:t>
      </w:r>
    </w:p>
    <w:p w14:paraId="36C824BB" w14:textId="77777777" w:rsidR="00E520CD" w:rsidRDefault="00E520CD" w:rsidP="00F35228">
      <w:pPr>
        <w:rPr>
          <w:rFonts w:ascii="Arial" w:hAnsi="Arial" w:cs="Arial"/>
        </w:rPr>
      </w:pPr>
    </w:p>
    <w:p w14:paraId="4F95E034" w14:textId="69FE0694" w:rsidR="0047758C" w:rsidRPr="0047758C" w:rsidRDefault="0047758C" w:rsidP="0047758C">
      <w:pPr>
        <w:spacing w:after="0"/>
        <w:rPr>
          <w:rFonts w:ascii="Arial" w:hAnsi="Arial" w:cs="Arial"/>
          <w:u w:val="single"/>
        </w:rPr>
      </w:pPr>
      <w:r w:rsidRPr="0047758C">
        <w:rPr>
          <w:rFonts w:ascii="Arial" w:hAnsi="Arial" w:cs="Arial"/>
          <w:u w:val="single"/>
        </w:rPr>
        <w:lastRenderedPageBreak/>
        <w:t>Equality Act 2010</w:t>
      </w:r>
    </w:p>
    <w:p w14:paraId="6CB35D75" w14:textId="43C70CAC" w:rsidR="0047758C" w:rsidRDefault="0047758C" w:rsidP="0047758C">
      <w:pPr>
        <w:spacing w:after="0"/>
        <w:rPr>
          <w:rFonts w:ascii="Arial" w:hAnsi="Arial" w:cs="Arial"/>
        </w:rPr>
      </w:pPr>
      <w:r w:rsidRPr="0047758C">
        <w:rPr>
          <w:rFonts w:ascii="Arial" w:hAnsi="Arial" w:cs="Arial"/>
        </w:rPr>
        <w:t xml:space="preserve">In determining this </w:t>
      </w:r>
      <w:proofErr w:type="gramStart"/>
      <w:r w:rsidRPr="0047758C">
        <w:rPr>
          <w:rFonts w:ascii="Arial" w:hAnsi="Arial" w:cs="Arial"/>
        </w:rPr>
        <w:t>application</w:t>
      </w:r>
      <w:proofErr w:type="gramEnd"/>
      <w:r w:rsidRPr="0047758C">
        <w:rPr>
          <w:rFonts w:ascii="Arial" w:hAnsi="Arial" w:cs="Arial"/>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47758C">
        <w:rPr>
          <w:rFonts w:ascii="Arial" w:hAnsi="Arial" w:cs="Arial"/>
        </w:rPr>
        <w:t>particular planning</w:t>
      </w:r>
      <w:proofErr w:type="gramEnd"/>
      <w:r w:rsidRPr="0047758C">
        <w:rPr>
          <w:rFonts w:ascii="Arial" w:hAnsi="Arial" w:cs="Arial"/>
        </w:rPr>
        <w:t xml:space="preserve"> application. </w:t>
      </w:r>
      <w:proofErr w:type="gramStart"/>
      <w:r w:rsidRPr="0047758C">
        <w:rPr>
          <w:rFonts w:ascii="Arial" w:hAnsi="Arial" w:cs="Arial"/>
        </w:rPr>
        <w:t>Therefore</w:t>
      </w:r>
      <w:proofErr w:type="gramEnd"/>
      <w:r w:rsidRPr="0047758C">
        <w:rPr>
          <w:rFonts w:ascii="Arial" w:hAnsi="Arial" w:cs="Arial"/>
        </w:rPr>
        <w:t xml:space="preserve"> in terms of the key equalities protected characteristics it is considered there would be no significant adverse impacts as a result of the development.</w:t>
      </w:r>
    </w:p>
    <w:p w14:paraId="49105A93" w14:textId="77777777" w:rsidR="0047758C" w:rsidRPr="00D35DAE" w:rsidRDefault="0047758C" w:rsidP="0047758C">
      <w:pPr>
        <w:spacing w:after="0"/>
        <w:rPr>
          <w:rFonts w:ascii="Arial" w:hAnsi="Arial" w:cs="Arial"/>
        </w:rPr>
      </w:pPr>
    </w:p>
    <w:p w14:paraId="60D0C6C8" w14:textId="4235F918" w:rsidR="00E520CD" w:rsidRPr="00D35DAE" w:rsidRDefault="00C8414D" w:rsidP="00D35DAE">
      <w:pPr>
        <w:spacing w:after="0"/>
        <w:rPr>
          <w:rFonts w:ascii="Arial" w:hAnsi="Arial" w:cs="Arial"/>
          <w:b/>
          <w:bCs/>
        </w:rPr>
      </w:pPr>
      <w:r w:rsidRPr="00D35DAE">
        <w:rPr>
          <w:rFonts w:ascii="Arial" w:hAnsi="Arial" w:cs="Arial"/>
          <w:b/>
          <w:bCs/>
        </w:rPr>
        <w:t xml:space="preserve">5. </w:t>
      </w:r>
      <w:r w:rsidR="00E520CD" w:rsidRPr="00D35DAE">
        <w:rPr>
          <w:rFonts w:ascii="Arial" w:hAnsi="Arial" w:cs="Arial"/>
          <w:b/>
          <w:bCs/>
        </w:rPr>
        <w:t xml:space="preserve">Relevant </w:t>
      </w:r>
      <w:r w:rsidR="00635146" w:rsidRPr="00D35DAE">
        <w:rPr>
          <w:rFonts w:ascii="Arial" w:hAnsi="Arial" w:cs="Arial"/>
          <w:b/>
          <w:bCs/>
        </w:rPr>
        <w:t>Policies and Legislation</w:t>
      </w:r>
    </w:p>
    <w:p w14:paraId="574073AA" w14:textId="1A4644C7" w:rsidR="00635146" w:rsidRPr="00D35DAE" w:rsidRDefault="00635146" w:rsidP="00D35DAE">
      <w:pPr>
        <w:spacing w:after="0"/>
        <w:rPr>
          <w:rFonts w:ascii="Arial" w:hAnsi="Arial" w:cs="Arial"/>
        </w:rPr>
      </w:pPr>
      <w:r w:rsidRPr="00D35DAE">
        <w:rPr>
          <w:rFonts w:ascii="Arial" w:hAnsi="Arial" w:cs="Arial"/>
        </w:rPr>
        <w:t xml:space="preserve">From the point of view of the historic environment, the main statutory tests are set out within the Planning (Listed Buildings and Conservation Areas) Act 1990. Sections 16(2) and 66 require that special regard be given to the desirability of preserving listed buildings, their settings or any features of special architectural or historic interest which they possess. </w:t>
      </w:r>
    </w:p>
    <w:p w14:paraId="536D844B" w14:textId="77777777" w:rsidR="00E863DB" w:rsidRDefault="00E863DB" w:rsidP="00635146">
      <w:pPr>
        <w:spacing w:after="0"/>
        <w:rPr>
          <w:rFonts w:ascii="Arial" w:hAnsi="Arial" w:cs="Arial"/>
          <w:u w:val="single"/>
        </w:rPr>
      </w:pPr>
    </w:p>
    <w:p w14:paraId="5EA23199" w14:textId="20896ED4" w:rsidR="00635146" w:rsidRPr="00D35DAE" w:rsidRDefault="00635146" w:rsidP="00635146">
      <w:pPr>
        <w:spacing w:after="0"/>
        <w:rPr>
          <w:rFonts w:ascii="Arial" w:hAnsi="Arial" w:cs="Arial"/>
          <w:u w:val="single"/>
        </w:rPr>
      </w:pPr>
      <w:r w:rsidRPr="00D35DAE">
        <w:rPr>
          <w:rFonts w:ascii="Arial" w:hAnsi="Arial" w:cs="Arial"/>
          <w:u w:val="single"/>
        </w:rPr>
        <w:t>National Planning Policy and Guidance</w:t>
      </w:r>
    </w:p>
    <w:p w14:paraId="0F55A98E" w14:textId="77777777" w:rsidR="00635146" w:rsidRPr="00D35DAE" w:rsidRDefault="00635146" w:rsidP="00635146">
      <w:pPr>
        <w:spacing w:after="0"/>
        <w:rPr>
          <w:rFonts w:ascii="Arial" w:hAnsi="Arial" w:cs="Arial"/>
        </w:rPr>
      </w:pPr>
      <w:r w:rsidRPr="00D35DAE">
        <w:rPr>
          <w:rFonts w:ascii="Arial" w:hAnsi="Arial" w:cs="Arial"/>
        </w:rPr>
        <w:t xml:space="preserve">The NPPF outlines government policy, including its policy in respect of the historic environment. Chapter 16 of the NPPF (2023) 'Conserving and enhancing the historic environment' sets out the Government's high-level policies concerning heritage and sustainable development. </w:t>
      </w:r>
    </w:p>
    <w:p w14:paraId="5025219D" w14:textId="77777777" w:rsidR="00635146" w:rsidRPr="00D35DAE" w:rsidRDefault="00635146" w:rsidP="00635146">
      <w:pPr>
        <w:spacing w:after="0"/>
        <w:rPr>
          <w:rFonts w:ascii="Arial" w:hAnsi="Arial" w:cs="Arial"/>
        </w:rPr>
      </w:pPr>
    </w:p>
    <w:p w14:paraId="6456606F" w14:textId="77777777" w:rsidR="00635146" w:rsidRPr="00D35DAE" w:rsidRDefault="00635146" w:rsidP="00635146">
      <w:pPr>
        <w:rPr>
          <w:rFonts w:ascii="Arial" w:hAnsi="Arial" w:cs="Arial"/>
        </w:rPr>
      </w:pPr>
      <w:r w:rsidRPr="00D35DAE">
        <w:rPr>
          <w:rFonts w:ascii="Arial" w:hAnsi="Arial" w:cs="Arial"/>
        </w:rPr>
        <w:t xml:space="preserve">Paragraph 200 states, “In determining applications, local planning authorities should require an applicant to describe the significance of any heritage assets affected, including any contribution made by their setting. </w:t>
      </w:r>
      <w:proofErr w:type="gramStart"/>
      <w:r w:rsidRPr="00D35DAE">
        <w:rPr>
          <w:rFonts w:ascii="Arial" w:hAnsi="Arial" w:cs="Arial"/>
        </w:rPr>
        <w:t>“ And</w:t>
      </w:r>
      <w:proofErr w:type="gramEnd"/>
      <w:r w:rsidRPr="00D35DAE">
        <w:rPr>
          <w:rFonts w:ascii="Arial" w:hAnsi="Arial" w:cs="Arial"/>
        </w:rPr>
        <w:t xml:space="preserve"> Paragraph 201 says,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w:t>
      </w:r>
    </w:p>
    <w:p w14:paraId="60BE76D6" w14:textId="77777777" w:rsidR="00635146" w:rsidRPr="00D35DAE" w:rsidRDefault="00635146" w:rsidP="00635146">
      <w:pPr>
        <w:rPr>
          <w:rFonts w:ascii="Arial" w:hAnsi="Arial" w:cs="Arial"/>
        </w:rPr>
      </w:pPr>
      <w:r w:rsidRPr="00D35DAE">
        <w:rPr>
          <w:rFonts w:ascii="Arial" w:hAnsi="Arial" w:cs="Arial"/>
        </w:rPr>
        <w:t xml:space="preserve">Paragraph 205 of the NPPF requires that ‘when considering the impact of a proposed development on the significance of a designated heritage asset, great weight should be given to the asset’s conservation….’ And paragraph 206 says, ‘any harm to, or loss of, the significance of a designated heritage asset (from its alteration or destruction, or from development within its setting) should require clear and convincing justification’. </w:t>
      </w:r>
    </w:p>
    <w:p w14:paraId="05E1DAE5" w14:textId="77777777" w:rsidR="00635146" w:rsidRPr="00D35DAE" w:rsidRDefault="00635146" w:rsidP="00635146">
      <w:pPr>
        <w:rPr>
          <w:rFonts w:ascii="Arial" w:hAnsi="Arial" w:cs="Arial"/>
        </w:rPr>
      </w:pPr>
      <w:r w:rsidRPr="00D35DAE">
        <w:rPr>
          <w:rFonts w:ascii="Arial" w:hAnsi="Arial" w:cs="Arial"/>
        </w:rPr>
        <w:t xml:space="preserve">Paragraph 208 requires that ‘where a development proposal will lead to less than substantial harm to the significance of a designated heritage asset, this harm should be </w:t>
      </w:r>
      <w:proofErr w:type="spellStart"/>
      <w:r w:rsidRPr="00D35DAE">
        <w:rPr>
          <w:rFonts w:ascii="Arial" w:hAnsi="Arial" w:cs="Arial"/>
        </w:rPr>
        <w:t>weighted</w:t>
      </w:r>
      <w:proofErr w:type="spellEnd"/>
      <w:r w:rsidRPr="00D35DAE">
        <w:rPr>
          <w:rFonts w:ascii="Arial" w:hAnsi="Arial" w:cs="Arial"/>
        </w:rPr>
        <w:t xml:space="preserve"> against the public benefits of the proposal…’ </w:t>
      </w:r>
    </w:p>
    <w:p w14:paraId="76A3609A" w14:textId="14CC9619" w:rsidR="00635146" w:rsidRPr="00D35DAE" w:rsidRDefault="00635146" w:rsidP="00635146">
      <w:pPr>
        <w:rPr>
          <w:rFonts w:ascii="Arial" w:hAnsi="Arial" w:cs="Arial"/>
        </w:rPr>
      </w:pPr>
      <w:r w:rsidRPr="00D35DAE">
        <w:rPr>
          <w:rFonts w:ascii="Arial" w:hAnsi="Arial" w:cs="Arial"/>
        </w:rPr>
        <w:t>National Planning Practice Guidance on Historic Environment provides context to the NPPF.</w:t>
      </w:r>
    </w:p>
    <w:p w14:paraId="74BDF259" w14:textId="77777777" w:rsidR="00635146" w:rsidRPr="00D35DAE" w:rsidRDefault="00635146" w:rsidP="00635146">
      <w:pPr>
        <w:spacing w:after="0"/>
        <w:rPr>
          <w:rFonts w:ascii="Arial" w:hAnsi="Arial" w:cs="Arial"/>
          <w:u w:val="single"/>
        </w:rPr>
      </w:pPr>
      <w:r w:rsidRPr="00D35DAE">
        <w:rPr>
          <w:rFonts w:ascii="Arial" w:hAnsi="Arial" w:cs="Arial"/>
          <w:u w:val="single"/>
        </w:rPr>
        <w:t xml:space="preserve">Local Planning Policy and Guidance </w:t>
      </w:r>
      <w:r w:rsidRPr="00D35DAE">
        <w:rPr>
          <w:rFonts w:ascii="Arial" w:hAnsi="Arial" w:cs="Arial"/>
          <w:u w:val="single"/>
        </w:rPr>
        <w:tab/>
      </w:r>
    </w:p>
    <w:p w14:paraId="36072AA8" w14:textId="77777777" w:rsidR="00635146" w:rsidRPr="00D35DAE" w:rsidRDefault="00635146" w:rsidP="00635146">
      <w:pPr>
        <w:spacing w:after="0"/>
        <w:rPr>
          <w:rFonts w:ascii="Arial" w:hAnsi="Arial" w:cs="Arial"/>
        </w:rPr>
      </w:pPr>
      <w:r w:rsidRPr="00D35DAE">
        <w:rPr>
          <w:rFonts w:ascii="Arial" w:hAnsi="Arial" w:cs="Arial"/>
        </w:rPr>
        <w:t>Policy EN1 ‘Protection and enhancement of the historic environment’ of the Reading Borough Local Plan sets out the Council’s aspirations for the historic environment. The policy requires that all proposals to protect and, where possible, enhance the significance of heritage assets and their settings, historic character and local distinctiveness of the area in which they are located. It echoes the NPPF by stating, “Proposals should seek to avoid harm in the first instance. Any harm to or loss of a heritage asset should require clear and convincing justification, usually in the form of public benefits”.</w:t>
      </w:r>
    </w:p>
    <w:p w14:paraId="51A21821" w14:textId="77777777" w:rsidR="00635146" w:rsidRPr="00D35DAE" w:rsidRDefault="00635146" w:rsidP="00635146">
      <w:pPr>
        <w:spacing w:after="0"/>
        <w:rPr>
          <w:rFonts w:ascii="Arial" w:hAnsi="Arial" w:cs="Arial"/>
        </w:rPr>
      </w:pPr>
    </w:p>
    <w:p w14:paraId="2714753D" w14:textId="2522FAFF" w:rsidR="00635146" w:rsidRPr="00D35DAE" w:rsidRDefault="00635146" w:rsidP="00635146">
      <w:pPr>
        <w:rPr>
          <w:rFonts w:ascii="Arial" w:hAnsi="Arial" w:cs="Arial"/>
        </w:rPr>
      </w:pPr>
      <w:r w:rsidRPr="00D35DAE">
        <w:rPr>
          <w:rFonts w:ascii="Arial" w:hAnsi="Arial" w:cs="Arial"/>
        </w:rPr>
        <w:lastRenderedPageBreak/>
        <w:t xml:space="preserve">Applications which affect Listed Buildings are expected not to have an adverse impact on the elements that contribute to their special architectural or historic interest, including their settings. </w:t>
      </w:r>
    </w:p>
    <w:p w14:paraId="56E274F5" w14:textId="77777777" w:rsidR="00635146" w:rsidRPr="00D35DAE" w:rsidRDefault="00635146" w:rsidP="00635146">
      <w:pPr>
        <w:spacing w:after="0"/>
        <w:rPr>
          <w:rFonts w:ascii="Arial" w:hAnsi="Arial" w:cs="Arial"/>
          <w:u w:val="single"/>
        </w:rPr>
      </w:pPr>
      <w:r w:rsidRPr="00D35DAE">
        <w:rPr>
          <w:rFonts w:ascii="Arial" w:hAnsi="Arial" w:cs="Arial"/>
          <w:u w:val="single"/>
        </w:rPr>
        <w:t>Other Guidance</w:t>
      </w:r>
    </w:p>
    <w:p w14:paraId="48ADC600" w14:textId="52ADD8A0" w:rsidR="00635146" w:rsidRPr="006E6CEC" w:rsidRDefault="00635146" w:rsidP="006E6CEC">
      <w:pPr>
        <w:pStyle w:val="ListParagraph"/>
        <w:numPr>
          <w:ilvl w:val="0"/>
          <w:numId w:val="6"/>
        </w:numPr>
        <w:spacing w:after="0"/>
        <w:rPr>
          <w:rFonts w:ascii="Arial" w:hAnsi="Arial" w:cs="Arial"/>
        </w:rPr>
      </w:pPr>
      <w:r w:rsidRPr="006E6CEC">
        <w:rPr>
          <w:rFonts w:ascii="Arial" w:hAnsi="Arial" w:cs="Arial"/>
        </w:rPr>
        <w:t>Historic England Advice Note 2 – Making changes to Heritage Assets illustrates the application of policies set out in the NPPF in determining applications for Planning Permission and Listed Building Consent.</w:t>
      </w:r>
    </w:p>
    <w:p w14:paraId="7E59BDD0" w14:textId="252E2301" w:rsidR="00635146" w:rsidRPr="006E6CEC" w:rsidRDefault="00635146" w:rsidP="006E6CEC">
      <w:pPr>
        <w:pStyle w:val="ListParagraph"/>
        <w:numPr>
          <w:ilvl w:val="0"/>
          <w:numId w:val="6"/>
        </w:numPr>
        <w:spacing w:after="0"/>
        <w:rPr>
          <w:rFonts w:ascii="Arial" w:hAnsi="Arial" w:cs="Arial"/>
        </w:rPr>
      </w:pPr>
      <w:r w:rsidRPr="006E6CEC">
        <w:rPr>
          <w:rFonts w:ascii="Arial" w:hAnsi="Arial" w:cs="Arial"/>
        </w:rPr>
        <w:t>English Heritage’s “Conservation Principles” provides policy and guidance for the “sustainable</w:t>
      </w:r>
      <w:r w:rsidR="006E6CEC" w:rsidRPr="006E6CEC">
        <w:rPr>
          <w:rFonts w:ascii="Arial" w:hAnsi="Arial" w:cs="Arial"/>
        </w:rPr>
        <w:t xml:space="preserve"> </w:t>
      </w:r>
      <w:r w:rsidRPr="006E6CEC">
        <w:rPr>
          <w:rFonts w:ascii="Arial" w:hAnsi="Arial" w:cs="Arial"/>
        </w:rPr>
        <w:t>management of the historic environment”.</w:t>
      </w:r>
    </w:p>
    <w:p w14:paraId="1E824A02" w14:textId="77777777" w:rsidR="00632E2A" w:rsidRPr="00D35DAE" w:rsidRDefault="00632E2A" w:rsidP="00F35228">
      <w:pPr>
        <w:rPr>
          <w:rFonts w:ascii="Arial" w:hAnsi="Arial" w:cs="Arial"/>
        </w:rPr>
      </w:pPr>
    </w:p>
    <w:p w14:paraId="419F8EAE" w14:textId="2A491DD4" w:rsidR="00E94D48" w:rsidRDefault="00E94D48" w:rsidP="00FF7615">
      <w:pPr>
        <w:spacing w:after="0"/>
        <w:rPr>
          <w:rFonts w:ascii="Arial" w:hAnsi="Arial" w:cs="Arial"/>
          <w:b/>
          <w:bCs/>
        </w:rPr>
      </w:pPr>
      <w:r w:rsidRPr="00D35DAE">
        <w:rPr>
          <w:rFonts w:ascii="Arial" w:hAnsi="Arial" w:cs="Arial"/>
          <w:b/>
          <w:bCs/>
        </w:rPr>
        <w:t>6. A</w:t>
      </w:r>
      <w:r w:rsidR="00375B8A">
        <w:rPr>
          <w:rFonts w:ascii="Arial" w:hAnsi="Arial" w:cs="Arial"/>
          <w:b/>
          <w:bCs/>
        </w:rPr>
        <w:t>ppraisal</w:t>
      </w:r>
    </w:p>
    <w:p w14:paraId="4D4CEC3E" w14:textId="3644DF21" w:rsidR="00FF7615" w:rsidRPr="00D35DAE" w:rsidRDefault="00FF7615" w:rsidP="00FF7615">
      <w:pPr>
        <w:spacing w:after="0"/>
        <w:rPr>
          <w:rFonts w:ascii="Arial" w:hAnsi="Arial" w:cs="Arial"/>
        </w:rPr>
      </w:pPr>
      <w:r w:rsidRPr="00D35DAE">
        <w:rPr>
          <w:rFonts w:ascii="Arial" w:hAnsi="Arial" w:cs="Arial"/>
        </w:rPr>
        <w:t xml:space="preserve">Whilst the submitted </w:t>
      </w:r>
      <w:r w:rsidR="00E942E5" w:rsidRPr="00D35DAE">
        <w:rPr>
          <w:rFonts w:ascii="Arial" w:hAnsi="Arial" w:cs="Arial"/>
        </w:rPr>
        <w:t xml:space="preserve">drawings for the repairs </w:t>
      </w:r>
      <w:r w:rsidR="00F46EF2" w:rsidRPr="00D35DAE">
        <w:rPr>
          <w:rFonts w:ascii="Arial" w:hAnsi="Arial" w:cs="Arial"/>
        </w:rPr>
        <w:t>include general information about the repairs to the Network Rail bridges with general principles, the accompanying statement prepared for Bath Road Overbridge confirms the like-for-like repairs along with the justifications for the proposal.</w:t>
      </w:r>
    </w:p>
    <w:p w14:paraId="2C350FDD" w14:textId="77777777" w:rsidR="00F46EF2" w:rsidRPr="00D35DAE" w:rsidRDefault="00F46EF2" w:rsidP="00FF7615">
      <w:pPr>
        <w:spacing w:after="0"/>
        <w:rPr>
          <w:rFonts w:ascii="Arial" w:hAnsi="Arial" w:cs="Arial"/>
        </w:rPr>
      </w:pPr>
    </w:p>
    <w:p w14:paraId="24860A0D" w14:textId="7207EBC9" w:rsidR="00E94D48" w:rsidRPr="00D35DAE" w:rsidRDefault="00A3380A" w:rsidP="00FF7615">
      <w:pPr>
        <w:spacing w:after="0"/>
        <w:rPr>
          <w:rFonts w:ascii="Arial" w:hAnsi="Arial" w:cs="Arial"/>
        </w:rPr>
      </w:pPr>
      <w:r w:rsidRPr="00D35DAE">
        <w:rPr>
          <w:rFonts w:ascii="Arial" w:hAnsi="Arial" w:cs="Arial"/>
        </w:rPr>
        <w:t>The proposed</w:t>
      </w:r>
      <w:r w:rsidR="00F46EF2" w:rsidRPr="00D35DAE">
        <w:rPr>
          <w:rFonts w:ascii="Arial" w:hAnsi="Arial" w:cs="Arial"/>
        </w:rPr>
        <w:t xml:space="preserve"> works </w:t>
      </w:r>
      <w:r w:rsidRPr="00D35DAE">
        <w:rPr>
          <w:rFonts w:ascii="Arial" w:hAnsi="Arial" w:cs="Arial"/>
        </w:rPr>
        <w:t xml:space="preserve">are </w:t>
      </w:r>
      <w:r w:rsidR="00F46EF2" w:rsidRPr="00D35DAE">
        <w:rPr>
          <w:rFonts w:ascii="Arial" w:hAnsi="Arial" w:cs="Arial"/>
        </w:rPr>
        <w:t>considered</w:t>
      </w:r>
      <w:r w:rsidRPr="00D35DAE">
        <w:rPr>
          <w:rFonts w:ascii="Arial" w:hAnsi="Arial" w:cs="Arial"/>
        </w:rPr>
        <w:t xml:space="preserve"> enhancements and repairs to the </w:t>
      </w:r>
      <w:r w:rsidR="00F46EF2" w:rsidRPr="00D35DAE">
        <w:rPr>
          <w:rFonts w:ascii="Arial" w:hAnsi="Arial" w:cs="Arial"/>
        </w:rPr>
        <w:t xml:space="preserve">listed </w:t>
      </w:r>
      <w:r w:rsidRPr="00D35DAE">
        <w:rPr>
          <w:rFonts w:ascii="Arial" w:hAnsi="Arial" w:cs="Arial"/>
        </w:rPr>
        <w:t xml:space="preserve">building, with minimal impact on its architectural or historical significance. </w:t>
      </w:r>
      <w:r w:rsidR="00F46EF2" w:rsidRPr="00D35DAE">
        <w:rPr>
          <w:rFonts w:ascii="Arial" w:hAnsi="Arial" w:cs="Arial"/>
        </w:rPr>
        <w:t xml:space="preserve">As such, </w:t>
      </w:r>
      <w:r w:rsidR="00137B8F" w:rsidRPr="00D35DAE">
        <w:rPr>
          <w:rFonts w:ascii="Arial" w:hAnsi="Arial" w:cs="Arial"/>
        </w:rPr>
        <w:t xml:space="preserve">the proposal </w:t>
      </w:r>
      <w:r w:rsidR="005741B6" w:rsidRPr="00D35DAE">
        <w:rPr>
          <w:rFonts w:ascii="Arial" w:hAnsi="Arial" w:cs="Arial"/>
        </w:rPr>
        <w:t xml:space="preserve">accords with the relevant </w:t>
      </w:r>
      <w:r w:rsidR="00DE2E43">
        <w:rPr>
          <w:rFonts w:ascii="Arial" w:hAnsi="Arial" w:cs="Arial"/>
        </w:rPr>
        <w:t>P</w:t>
      </w:r>
      <w:r w:rsidR="005741B6" w:rsidRPr="00D35DAE">
        <w:rPr>
          <w:rFonts w:ascii="Arial" w:hAnsi="Arial" w:cs="Arial"/>
        </w:rPr>
        <w:t>olic</w:t>
      </w:r>
      <w:r w:rsidR="00375B8A">
        <w:rPr>
          <w:rFonts w:ascii="Arial" w:hAnsi="Arial" w:cs="Arial"/>
        </w:rPr>
        <w:t>y EN1</w:t>
      </w:r>
      <w:r w:rsidR="005741B6" w:rsidRPr="00D35DAE">
        <w:rPr>
          <w:rFonts w:ascii="Arial" w:hAnsi="Arial" w:cs="Arial"/>
        </w:rPr>
        <w:t xml:space="preserve"> and </w:t>
      </w:r>
      <w:r w:rsidR="00137B8F" w:rsidRPr="00D35DAE">
        <w:rPr>
          <w:rFonts w:ascii="Arial" w:hAnsi="Arial" w:cs="Arial"/>
        </w:rPr>
        <w:t xml:space="preserve">is </w:t>
      </w:r>
      <w:r w:rsidR="005741B6" w:rsidRPr="00D35DAE">
        <w:rPr>
          <w:rFonts w:ascii="Arial" w:hAnsi="Arial" w:cs="Arial"/>
        </w:rPr>
        <w:t xml:space="preserve">acceptable on heritage grounds. </w:t>
      </w:r>
    </w:p>
    <w:p w14:paraId="609AB778" w14:textId="77777777" w:rsidR="00522132" w:rsidRPr="00D35DAE" w:rsidRDefault="00522132" w:rsidP="00FF7615">
      <w:pPr>
        <w:spacing w:after="0"/>
        <w:rPr>
          <w:rFonts w:ascii="Arial" w:hAnsi="Arial" w:cs="Arial"/>
        </w:rPr>
      </w:pPr>
    </w:p>
    <w:p w14:paraId="29A528E5" w14:textId="4C82CDEC" w:rsidR="00522132" w:rsidRPr="003E3589" w:rsidRDefault="003E3589" w:rsidP="00FF7615">
      <w:pPr>
        <w:spacing w:after="0"/>
        <w:rPr>
          <w:rFonts w:ascii="Arial" w:hAnsi="Arial" w:cs="Arial"/>
          <w:b/>
          <w:bCs/>
        </w:rPr>
      </w:pPr>
      <w:r w:rsidRPr="003E3589">
        <w:rPr>
          <w:rFonts w:ascii="Arial" w:hAnsi="Arial" w:cs="Arial"/>
          <w:b/>
          <w:bCs/>
        </w:rPr>
        <w:t>Recommendation</w:t>
      </w:r>
    </w:p>
    <w:p w14:paraId="2A3F47E1" w14:textId="1CD7F30A" w:rsidR="00522132" w:rsidRPr="00D35DAE" w:rsidRDefault="00111677" w:rsidP="00FF7615">
      <w:pPr>
        <w:spacing w:after="0"/>
        <w:rPr>
          <w:rFonts w:ascii="Arial" w:hAnsi="Arial" w:cs="Arial"/>
        </w:rPr>
      </w:pPr>
      <w:r>
        <w:rPr>
          <w:rFonts w:ascii="Arial" w:hAnsi="Arial" w:cs="Arial"/>
        </w:rPr>
        <w:t>Grant Listed Building Consent</w:t>
      </w:r>
    </w:p>
    <w:p w14:paraId="36AFFB51" w14:textId="77777777" w:rsidR="00522132" w:rsidRPr="00D35DAE" w:rsidRDefault="00522132" w:rsidP="00FF7615">
      <w:pPr>
        <w:spacing w:after="0"/>
        <w:rPr>
          <w:rFonts w:ascii="Arial" w:hAnsi="Arial" w:cs="Arial"/>
        </w:rPr>
      </w:pPr>
    </w:p>
    <w:p w14:paraId="0BFE2988" w14:textId="5F09F429" w:rsidR="00FA5411" w:rsidRPr="003E3589" w:rsidRDefault="003E3589" w:rsidP="00FA5411">
      <w:pPr>
        <w:spacing w:after="0"/>
        <w:rPr>
          <w:rFonts w:ascii="Arial" w:hAnsi="Arial" w:cs="Arial"/>
          <w:u w:val="single"/>
        </w:rPr>
      </w:pPr>
      <w:r w:rsidRPr="003E3589">
        <w:rPr>
          <w:rFonts w:ascii="Arial" w:hAnsi="Arial" w:cs="Arial"/>
          <w:u w:val="single"/>
        </w:rPr>
        <w:t>Conditions</w:t>
      </w:r>
    </w:p>
    <w:p w14:paraId="6F3B26B5" w14:textId="6021262F" w:rsidR="009C5F3A" w:rsidRPr="009B5295" w:rsidRDefault="009B5295" w:rsidP="009B5295">
      <w:pPr>
        <w:spacing w:after="0"/>
        <w:rPr>
          <w:rFonts w:ascii="Arial" w:hAnsi="Arial" w:cs="Arial"/>
        </w:rPr>
      </w:pPr>
      <w:r w:rsidRPr="009B5295">
        <w:rPr>
          <w:rFonts w:ascii="Arial" w:hAnsi="Arial" w:cs="Arial"/>
        </w:rPr>
        <w:t>1.</w:t>
      </w:r>
      <w:r>
        <w:rPr>
          <w:rFonts w:ascii="Arial" w:hAnsi="Arial" w:cs="Arial"/>
        </w:rPr>
        <w:t xml:space="preserve"> </w:t>
      </w:r>
      <w:r w:rsidR="009C5F3A" w:rsidRPr="009B5295">
        <w:rPr>
          <w:rFonts w:ascii="Arial" w:hAnsi="Arial" w:cs="Arial"/>
        </w:rPr>
        <w:t>The works to which this consent relates shall be begun not later than the expiration of three years from the date of this consent.</w:t>
      </w:r>
    </w:p>
    <w:p w14:paraId="4B48E424" w14:textId="77777777" w:rsidR="009C5F3A" w:rsidRPr="009C5F3A" w:rsidRDefault="009C5F3A" w:rsidP="009C5F3A">
      <w:pPr>
        <w:spacing w:after="0"/>
        <w:rPr>
          <w:rFonts w:ascii="Arial" w:hAnsi="Arial" w:cs="Arial"/>
        </w:rPr>
      </w:pPr>
    </w:p>
    <w:p w14:paraId="4665129E" w14:textId="5C0BD270" w:rsidR="009C5F3A" w:rsidRPr="009C5F3A" w:rsidRDefault="009C5F3A" w:rsidP="009C5F3A">
      <w:pPr>
        <w:spacing w:after="0"/>
        <w:rPr>
          <w:rFonts w:ascii="Arial" w:hAnsi="Arial" w:cs="Arial"/>
        </w:rPr>
      </w:pPr>
      <w:r w:rsidRPr="009C5F3A">
        <w:rPr>
          <w:rFonts w:ascii="Arial" w:hAnsi="Arial" w:cs="Arial"/>
        </w:rPr>
        <w:t>R</w:t>
      </w:r>
      <w:r w:rsidR="00A71560">
        <w:rPr>
          <w:rFonts w:ascii="Arial" w:hAnsi="Arial" w:cs="Arial"/>
        </w:rPr>
        <w:t>EASON</w:t>
      </w:r>
      <w:r w:rsidRPr="009C5F3A">
        <w:rPr>
          <w:rFonts w:ascii="Arial" w:hAnsi="Arial" w:cs="Arial"/>
        </w:rPr>
        <w:t xml:space="preserve">: in accordance with Section 18 of the Planning (Listed Building and Conservation Areas) Act 1990 as amended by the Planning and Compulsory Purchase Act 2004. </w:t>
      </w:r>
    </w:p>
    <w:p w14:paraId="2E881390" w14:textId="77777777" w:rsidR="009C5F3A" w:rsidRPr="009C5F3A" w:rsidRDefault="009C5F3A" w:rsidP="009C5F3A">
      <w:pPr>
        <w:spacing w:after="0"/>
        <w:rPr>
          <w:rFonts w:ascii="Arial" w:hAnsi="Arial" w:cs="Arial"/>
        </w:rPr>
      </w:pPr>
    </w:p>
    <w:p w14:paraId="35633ED3" w14:textId="03D99347" w:rsidR="009C5F3A" w:rsidRDefault="009C5F3A" w:rsidP="009C5F3A">
      <w:pPr>
        <w:spacing w:after="0"/>
        <w:rPr>
          <w:rFonts w:ascii="Arial" w:hAnsi="Arial" w:cs="Arial"/>
        </w:rPr>
      </w:pPr>
      <w:r w:rsidRPr="009C5F3A">
        <w:rPr>
          <w:rFonts w:ascii="Arial" w:hAnsi="Arial" w:cs="Arial"/>
        </w:rPr>
        <w:t>2.</w:t>
      </w:r>
      <w:r w:rsidR="009B5295">
        <w:rPr>
          <w:rFonts w:ascii="Arial" w:hAnsi="Arial" w:cs="Arial"/>
        </w:rPr>
        <w:t xml:space="preserve"> </w:t>
      </w:r>
      <w:r w:rsidRPr="009C5F3A">
        <w:rPr>
          <w:rFonts w:ascii="Arial" w:hAnsi="Arial" w:cs="Arial"/>
        </w:rPr>
        <w:t>The works to the Listed Building hereby permitted shall be carried out only in accordance with the following approved plans or specifications:</w:t>
      </w:r>
    </w:p>
    <w:p w14:paraId="40669141" w14:textId="77777777" w:rsidR="009B5295" w:rsidRPr="009C5F3A" w:rsidRDefault="009B5295" w:rsidP="009C5F3A">
      <w:pPr>
        <w:spacing w:after="0"/>
        <w:rPr>
          <w:rFonts w:ascii="Arial" w:hAnsi="Arial" w:cs="Arial"/>
        </w:rPr>
      </w:pPr>
    </w:p>
    <w:p w14:paraId="54F9D8F8" w14:textId="77777777" w:rsidR="00912D41" w:rsidRPr="00912D41" w:rsidRDefault="00912D41" w:rsidP="00912D41">
      <w:pPr>
        <w:spacing w:after="0"/>
        <w:rPr>
          <w:rFonts w:ascii="Arial" w:hAnsi="Arial" w:cs="Arial"/>
        </w:rPr>
      </w:pPr>
      <w:r w:rsidRPr="00912D41">
        <w:rPr>
          <w:rFonts w:ascii="Arial" w:hAnsi="Arial" w:cs="Arial"/>
        </w:rPr>
        <w:t xml:space="preserve">Drawing No: </w:t>
      </w:r>
    </w:p>
    <w:p w14:paraId="10057425" w14:textId="77777777" w:rsidR="00912D41" w:rsidRDefault="00912D41" w:rsidP="00912D41">
      <w:pPr>
        <w:spacing w:after="0"/>
        <w:rPr>
          <w:rFonts w:ascii="Arial" w:hAnsi="Arial" w:cs="Arial"/>
        </w:rPr>
      </w:pPr>
      <w:r w:rsidRPr="00912D41">
        <w:rPr>
          <w:rFonts w:ascii="Arial" w:hAnsi="Arial" w:cs="Arial"/>
        </w:rPr>
        <w:t>- Location Plan received on 28th August 2024</w:t>
      </w:r>
    </w:p>
    <w:p w14:paraId="30855259" w14:textId="77777777" w:rsidR="00912D41" w:rsidRPr="00912D41" w:rsidRDefault="00912D41" w:rsidP="00912D41">
      <w:pPr>
        <w:spacing w:after="0"/>
        <w:rPr>
          <w:rFonts w:ascii="Arial" w:hAnsi="Arial" w:cs="Arial"/>
        </w:rPr>
      </w:pPr>
    </w:p>
    <w:p w14:paraId="3C455EF2" w14:textId="77777777" w:rsidR="00912D41" w:rsidRDefault="00912D41" w:rsidP="00912D41">
      <w:pPr>
        <w:spacing w:after="0"/>
        <w:rPr>
          <w:rFonts w:ascii="Arial" w:hAnsi="Arial" w:cs="Arial"/>
        </w:rPr>
      </w:pPr>
      <w:r w:rsidRPr="00912D41">
        <w:rPr>
          <w:rFonts w:ascii="Arial" w:hAnsi="Arial" w:cs="Arial"/>
        </w:rPr>
        <w:t xml:space="preserve">- Specification for the Works – Brick and Masonry Repair Standard Drawings ref. NR/CIV/SD/101 Rev A received on the </w:t>
      </w:r>
      <w:proofErr w:type="gramStart"/>
      <w:r w:rsidRPr="00912D41">
        <w:rPr>
          <w:rFonts w:ascii="Arial" w:hAnsi="Arial" w:cs="Arial"/>
        </w:rPr>
        <w:t>28th</w:t>
      </w:r>
      <w:proofErr w:type="gramEnd"/>
      <w:r w:rsidRPr="00912D41">
        <w:rPr>
          <w:rFonts w:ascii="Arial" w:hAnsi="Arial" w:cs="Arial"/>
        </w:rPr>
        <w:t xml:space="preserve"> August 2024</w:t>
      </w:r>
    </w:p>
    <w:p w14:paraId="14D8954A" w14:textId="77777777" w:rsidR="00E114E0" w:rsidRPr="00912D41" w:rsidRDefault="00E114E0" w:rsidP="00912D41">
      <w:pPr>
        <w:spacing w:after="0"/>
        <w:rPr>
          <w:rFonts w:ascii="Arial" w:hAnsi="Arial" w:cs="Arial"/>
        </w:rPr>
      </w:pPr>
    </w:p>
    <w:p w14:paraId="4C5849E6" w14:textId="77777777" w:rsidR="00912D41" w:rsidRDefault="00912D41" w:rsidP="00912D41">
      <w:pPr>
        <w:spacing w:after="0"/>
        <w:rPr>
          <w:rFonts w:ascii="Arial" w:hAnsi="Arial" w:cs="Arial"/>
        </w:rPr>
      </w:pPr>
      <w:r w:rsidRPr="00912D41">
        <w:rPr>
          <w:rFonts w:ascii="Arial" w:hAnsi="Arial" w:cs="Arial"/>
        </w:rPr>
        <w:t>- Bath Road Overbridge – Repair work Supporting Statement received on 19th November 2024</w:t>
      </w:r>
    </w:p>
    <w:p w14:paraId="6B21EA93" w14:textId="77777777" w:rsidR="00E114E0" w:rsidRPr="00912D41" w:rsidRDefault="00E114E0" w:rsidP="00912D41">
      <w:pPr>
        <w:spacing w:after="0"/>
        <w:rPr>
          <w:rFonts w:ascii="Arial" w:hAnsi="Arial" w:cs="Arial"/>
        </w:rPr>
      </w:pPr>
    </w:p>
    <w:p w14:paraId="7217CA2D" w14:textId="77777777" w:rsidR="00912D41" w:rsidRDefault="00912D41" w:rsidP="00912D41">
      <w:pPr>
        <w:spacing w:after="0"/>
        <w:rPr>
          <w:rFonts w:ascii="Arial" w:hAnsi="Arial" w:cs="Arial"/>
        </w:rPr>
      </w:pPr>
      <w:r w:rsidRPr="00912D41">
        <w:rPr>
          <w:rFonts w:ascii="Arial" w:hAnsi="Arial" w:cs="Arial"/>
        </w:rPr>
        <w:t>- Bath Road Overbridge – Bridge &amp; Structure Examination Report, Network Rail received on 28th August 20204</w:t>
      </w:r>
    </w:p>
    <w:p w14:paraId="621A4CCD" w14:textId="77777777" w:rsidR="00E114E0" w:rsidRPr="00912D41" w:rsidRDefault="00E114E0" w:rsidP="00912D41">
      <w:pPr>
        <w:spacing w:after="0"/>
        <w:rPr>
          <w:rFonts w:ascii="Arial" w:hAnsi="Arial" w:cs="Arial"/>
        </w:rPr>
      </w:pPr>
    </w:p>
    <w:p w14:paraId="64E2F5D8" w14:textId="15B42772" w:rsidR="009C5F3A" w:rsidRDefault="00912D41" w:rsidP="00912D41">
      <w:pPr>
        <w:spacing w:after="0"/>
        <w:rPr>
          <w:rFonts w:ascii="Arial" w:hAnsi="Arial" w:cs="Arial"/>
        </w:rPr>
      </w:pPr>
      <w:r w:rsidRPr="00912D41">
        <w:rPr>
          <w:rFonts w:ascii="Arial" w:hAnsi="Arial" w:cs="Arial"/>
        </w:rPr>
        <w:t>REASON: For the avoidance of doubt and to ensure that the development is carried out in accordance with the Listed Building Consent hereby approved Policy EN1 of the Reading Local Plan 2019.</w:t>
      </w:r>
    </w:p>
    <w:p w14:paraId="1AF22FD8" w14:textId="77777777" w:rsidR="00E114E0" w:rsidRPr="009C5F3A" w:rsidRDefault="00E114E0" w:rsidP="00912D41">
      <w:pPr>
        <w:spacing w:after="0"/>
        <w:rPr>
          <w:rFonts w:ascii="Arial" w:hAnsi="Arial" w:cs="Arial"/>
        </w:rPr>
      </w:pPr>
    </w:p>
    <w:p w14:paraId="65417071" w14:textId="77777777" w:rsidR="000E7977" w:rsidRDefault="009C5F3A" w:rsidP="000E7977">
      <w:pPr>
        <w:spacing w:after="0"/>
        <w:rPr>
          <w:rFonts w:ascii="Arial" w:hAnsi="Arial" w:cs="Arial"/>
        </w:rPr>
      </w:pPr>
      <w:r w:rsidRPr="009C5F3A">
        <w:rPr>
          <w:rFonts w:ascii="Arial" w:hAnsi="Arial" w:cs="Arial"/>
        </w:rPr>
        <w:lastRenderedPageBreak/>
        <w:t>3.</w:t>
      </w:r>
      <w:r w:rsidR="009B5295">
        <w:rPr>
          <w:rFonts w:ascii="Arial" w:hAnsi="Arial" w:cs="Arial"/>
        </w:rPr>
        <w:t xml:space="preserve"> </w:t>
      </w:r>
      <w:r w:rsidR="000E7977" w:rsidRPr="000E7977">
        <w:rPr>
          <w:rFonts w:ascii="Arial" w:hAnsi="Arial" w:cs="Arial"/>
        </w:rPr>
        <w:t xml:space="preserve">All new external and internal works and finishes, and any works of making good, shall match the existing original fabric in respect of using materials of a matching form, composition and consistency, detailed execution and finished appearance, except </w:t>
      </w:r>
      <w:proofErr w:type="gramStart"/>
      <w:r w:rsidR="000E7977" w:rsidRPr="000E7977">
        <w:rPr>
          <w:rFonts w:ascii="Arial" w:hAnsi="Arial" w:cs="Arial"/>
        </w:rPr>
        <w:t>where</w:t>
      </w:r>
      <w:proofErr w:type="gramEnd"/>
      <w:r w:rsidR="000E7977" w:rsidRPr="000E7977">
        <w:rPr>
          <w:rFonts w:ascii="Arial" w:hAnsi="Arial" w:cs="Arial"/>
        </w:rPr>
        <w:t xml:space="preserve"> indicated otherwise on the drawings hereby approved. </w:t>
      </w:r>
    </w:p>
    <w:p w14:paraId="7312B098" w14:textId="77777777" w:rsidR="000E7977" w:rsidRPr="000E7977" w:rsidRDefault="000E7977" w:rsidP="000E7977">
      <w:pPr>
        <w:spacing w:after="0"/>
        <w:rPr>
          <w:rFonts w:ascii="Arial" w:hAnsi="Arial" w:cs="Arial"/>
        </w:rPr>
      </w:pPr>
    </w:p>
    <w:p w14:paraId="1AD2D8F7" w14:textId="1A838AA7" w:rsidR="009C5F3A" w:rsidRPr="009C5F3A" w:rsidRDefault="000E7977" w:rsidP="000E7977">
      <w:pPr>
        <w:spacing w:after="0"/>
        <w:rPr>
          <w:rFonts w:ascii="Arial" w:hAnsi="Arial" w:cs="Arial"/>
        </w:rPr>
      </w:pPr>
      <w:r w:rsidRPr="000E7977">
        <w:rPr>
          <w:rFonts w:ascii="Arial" w:hAnsi="Arial" w:cs="Arial"/>
        </w:rPr>
        <w:t>REASON: In order that the special architectural and historic interest of this Listed Building is safeguarded in accordance with Policy EN1 of the Reading Borough Local Plan 2019.</w:t>
      </w:r>
    </w:p>
    <w:p w14:paraId="3ABB8D92" w14:textId="77777777" w:rsidR="000E7977" w:rsidRDefault="000E7977" w:rsidP="009C5F3A">
      <w:pPr>
        <w:spacing w:after="0"/>
        <w:rPr>
          <w:rFonts w:ascii="Arial" w:hAnsi="Arial" w:cs="Arial"/>
          <w:u w:val="single"/>
        </w:rPr>
      </w:pPr>
    </w:p>
    <w:p w14:paraId="2DF02D07" w14:textId="77777777" w:rsidR="00AA5220" w:rsidRDefault="00AA5220" w:rsidP="009C5F3A">
      <w:pPr>
        <w:spacing w:after="0"/>
        <w:rPr>
          <w:rFonts w:ascii="Arial" w:hAnsi="Arial" w:cs="Arial"/>
          <w:u w:val="single"/>
        </w:rPr>
      </w:pPr>
    </w:p>
    <w:p w14:paraId="7232C5A3" w14:textId="77777777" w:rsidR="00AA5220" w:rsidRDefault="00AA5220" w:rsidP="009C5F3A">
      <w:pPr>
        <w:spacing w:after="0"/>
        <w:rPr>
          <w:rFonts w:ascii="Arial" w:hAnsi="Arial" w:cs="Arial"/>
          <w:u w:val="single"/>
        </w:rPr>
      </w:pPr>
    </w:p>
    <w:p w14:paraId="25DA4816" w14:textId="2F0DAD3B" w:rsidR="009C5F3A" w:rsidRPr="00A71560" w:rsidRDefault="009C5F3A" w:rsidP="009C5F3A">
      <w:pPr>
        <w:spacing w:after="0"/>
        <w:rPr>
          <w:rFonts w:ascii="Arial" w:hAnsi="Arial" w:cs="Arial"/>
          <w:u w:val="single"/>
        </w:rPr>
      </w:pPr>
      <w:proofErr w:type="spellStart"/>
      <w:r w:rsidRPr="00A71560">
        <w:rPr>
          <w:rFonts w:ascii="Arial" w:hAnsi="Arial" w:cs="Arial"/>
          <w:u w:val="single"/>
        </w:rPr>
        <w:t>Informatives</w:t>
      </w:r>
      <w:proofErr w:type="spellEnd"/>
      <w:r w:rsidRPr="00A71560">
        <w:rPr>
          <w:rFonts w:ascii="Arial" w:hAnsi="Arial" w:cs="Arial"/>
          <w:u w:val="single"/>
        </w:rPr>
        <w:t>:</w:t>
      </w:r>
    </w:p>
    <w:p w14:paraId="420C2AFD" w14:textId="60A92A7F" w:rsidR="009C5F3A" w:rsidRPr="009B5295" w:rsidRDefault="009B5295" w:rsidP="009B5295">
      <w:pPr>
        <w:spacing w:after="0"/>
        <w:rPr>
          <w:rFonts w:ascii="Arial" w:hAnsi="Arial" w:cs="Arial"/>
        </w:rPr>
      </w:pPr>
      <w:r w:rsidRPr="009B5295">
        <w:rPr>
          <w:rFonts w:ascii="Arial" w:hAnsi="Arial" w:cs="Arial"/>
        </w:rPr>
        <w:t>1.</w:t>
      </w:r>
      <w:r>
        <w:rPr>
          <w:rFonts w:ascii="Arial" w:hAnsi="Arial" w:cs="Arial"/>
        </w:rPr>
        <w:t xml:space="preserve"> </w:t>
      </w:r>
      <w:r w:rsidR="009C5F3A" w:rsidRPr="009B5295">
        <w:rPr>
          <w:rFonts w:ascii="Arial" w:hAnsi="Arial" w:cs="Arial"/>
        </w:rPr>
        <w:t xml:space="preserve">Your attention is drawn to the terms and conditions of this consent. Any development which is carried out but differs materially from the approved plans and details or does not comply with any conditions attached to the consent may result in the Council taking action to remedy the breach of planning control. If you are in any doubt, please contact the council.  </w:t>
      </w:r>
    </w:p>
    <w:p w14:paraId="67DA122F" w14:textId="77777777" w:rsidR="009C5F3A" w:rsidRPr="009C5F3A" w:rsidRDefault="009C5F3A" w:rsidP="009C5F3A">
      <w:pPr>
        <w:spacing w:after="0"/>
        <w:rPr>
          <w:rFonts w:ascii="Arial" w:hAnsi="Arial" w:cs="Arial"/>
        </w:rPr>
      </w:pPr>
    </w:p>
    <w:p w14:paraId="33F892F4" w14:textId="5D925DDF" w:rsidR="009C5F3A" w:rsidRPr="009C5F3A" w:rsidRDefault="009C5F3A" w:rsidP="009C5F3A">
      <w:pPr>
        <w:spacing w:after="0"/>
        <w:rPr>
          <w:rFonts w:ascii="Arial" w:hAnsi="Arial" w:cs="Arial"/>
        </w:rPr>
      </w:pPr>
      <w:r w:rsidRPr="009C5F3A">
        <w:rPr>
          <w:rFonts w:ascii="Arial" w:hAnsi="Arial" w:cs="Arial"/>
        </w:rPr>
        <w:t>2.</w:t>
      </w:r>
      <w:r w:rsidR="009B5295">
        <w:rPr>
          <w:rFonts w:ascii="Arial" w:hAnsi="Arial" w:cs="Arial"/>
        </w:rPr>
        <w:t xml:space="preserve"> </w:t>
      </w:r>
      <w:r w:rsidRPr="009C5F3A">
        <w:rPr>
          <w:rFonts w:ascii="Arial" w:hAnsi="Arial" w:cs="Arial"/>
        </w:rPr>
        <w:t>Officers have worked positively and proactively with the applicant on this application.</w:t>
      </w:r>
    </w:p>
    <w:p w14:paraId="622A7A79" w14:textId="77777777" w:rsidR="009C5F3A" w:rsidRPr="009C5F3A" w:rsidRDefault="009C5F3A" w:rsidP="009C5F3A">
      <w:pPr>
        <w:spacing w:after="0"/>
        <w:rPr>
          <w:rFonts w:ascii="Arial" w:hAnsi="Arial" w:cs="Arial"/>
        </w:rPr>
      </w:pPr>
    </w:p>
    <w:p w14:paraId="1373CA62" w14:textId="4257B97D" w:rsidR="00D35DAE" w:rsidRDefault="009C5F3A" w:rsidP="009C5F3A">
      <w:pPr>
        <w:spacing w:after="0"/>
      </w:pPr>
      <w:r w:rsidRPr="009C5F3A">
        <w:rPr>
          <w:rFonts w:ascii="Arial" w:hAnsi="Arial" w:cs="Arial"/>
        </w:rPr>
        <w:t>3.</w:t>
      </w:r>
      <w:r w:rsidR="009B5295">
        <w:rPr>
          <w:rFonts w:ascii="Arial" w:hAnsi="Arial" w:cs="Arial"/>
        </w:rPr>
        <w:t xml:space="preserve"> </w:t>
      </w:r>
      <w:r w:rsidRPr="009C5F3A">
        <w:rPr>
          <w:rFonts w:ascii="Arial" w:hAnsi="Arial" w:cs="Arial"/>
        </w:rPr>
        <w:t xml:space="preserve">Your attention is drawn to the requirement for submission of a Building Regulations application for the proposed development. Please contact Building Control on 0118 937 2449 for advice. </w:t>
      </w:r>
    </w:p>
    <w:p w14:paraId="71D2D7A3" w14:textId="77777777" w:rsidR="0059167F" w:rsidRDefault="0059167F" w:rsidP="0019397B">
      <w:pPr>
        <w:spacing w:after="0"/>
      </w:pPr>
    </w:p>
    <w:p w14:paraId="725ACE62" w14:textId="77777777" w:rsidR="0059167F" w:rsidRDefault="0059167F" w:rsidP="0019397B">
      <w:pPr>
        <w:spacing w:after="0"/>
      </w:pPr>
    </w:p>
    <w:p w14:paraId="17C041A6" w14:textId="77777777" w:rsidR="000743DA" w:rsidRDefault="000743DA" w:rsidP="0019397B">
      <w:pPr>
        <w:spacing w:after="0"/>
      </w:pPr>
    </w:p>
    <w:sectPr w:rsidR="000743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02BD3"/>
    <w:multiLevelType w:val="hybridMultilevel"/>
    <w:tmpl w:val="030A0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3305F"/>
    <w:multiLevelType w:val="hybridMultilevel"/>
    <w:tmpl w:val="2EA01D88"/>
    <w:lvl w:ilvl="0" w:tplc="43183B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F7C3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CA67980"/>
    <w:multiLevelType w:val="hybridMultilevel"/>
    <w:tmpl w:val="19541814"/>
    <w:lvl w:ilvl="0" w:tplc="CBB2108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392BA1"/>
    <w:multiLevelType w:val="hybridMultilevel"/>
    <w:tmpl w:val="290AD396"/>
    <w:lvl w:ilvl="0" w:tplc="2F88DC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1E5624"/>
    <w:multiLevelType w:val="hybridMultilevel"/>
    <w:tmpl w:val="848EA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4669804">
    <w:abstractNumId w:val="2"/>
  </w:num>
  <w:num w:numId="2" w16cid:durableId="458382075">
    <w:abstractNumId w:val="1"/>
  </w:num>
  <w:num w:numId="3" w16cid:durableId="592934436">
    <w:abstractNumId w:val="4"/>
  </w:num>
  <w:num w:numId="4" w16cid:durableId="249126367">
    <w:abstractNumId w:val="0"/>
  </w:num>
  <w:num w:numId="5" w16cid:durableId="482746284">
    <w:abstractNumId w:val="5"/>
  </w:num>
  <w:num w:numId="6" w16cid:durableId="1724284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6C"/>
    <w:rsid w:val="00023DCF"/>
    <w:rsid w:val="000743DA"/>
    <w:rsid w:val="000E7977"/>
    <w:rsid w:val="00111677"/>
    <w:rsid w:val="00137B8F"/>
    <w:rsid w:val="0019397B"/>
    <w:rsid w:val="001D016C"/>
    <w:rsid w:val="001D13BB"/>
    <w:rsid w:val="001D6E23"/>
    <w:rsid w:val="001E61FB"/>
    <w:rsid w:val="00291525"/>
    <w:rsid w:val="00375B8A"/>
    <w:rsid w:val="003E3589"/>
    <w:rsid w:val="00413579"/>
    <w:rsid w:val="0047758C"/>
    <w:rsid w:val="004C1FD9"/>
    <w:rsid w:val="00522132"/>
    <w:rsid w:val="005741B6"/>
    <w:rsid w:val="0059167F"/>
    <w:rsid w:val="005B58EA"/>
    <w:rsid w:val="00632E2A"/>
    <w:rsid w:val="00635146"/>
    <w:rsid w:val="006D2F96"/>
    <w:rsid w:val="006E6CEC"/>
    <w:rsid w:val="00773A9C"/>
    <w:rsid w:val="008D6227"/>
    <w:rsid w:val="008E37AB"/>
    <w:rsid w:val="00912D41"/>
    <w:rsid w:val="0097695B"/>
    <w:rsid w:val="009B5295"/>
    <w:rsid w:val="009C5F3A"/>
    <w:rsid w:val="00A3380A"/>
    <w:rsid w:val="00A71560"/>
    <w:rsid w:val="00AA5220"/>
    <w:rsid w:val="00B60215"/>
    <w:rsid w:val="00C0118F"/>
    <w:rsid w:val="00C65284"/>
    <w:rsid w:val="00C8414D"/>
    <w:rsid w:val="00CB4C5B"/>
    <w:rsid w:val="00D35DAE"/>
    <w:rsid w:val="00DB715A"/>
    <w:rsid w:val="00DE2E43"/>
    <w:rsid w:val="00E114E0"/>
    <w:rsid w:val="00E37CF7"/>
    <w:rsid w:val="00E520CD"/>
    <w:rsid w:val="00E863DB"/>
    <w:rsid w:val="00E942E5"/>
    <w:rsid w:val="00E94D48"/>
    <w:rsid w:val="00F218A7"/>
    <w:rsid w:val="00F35228"/>
    <w:rsid w:val="00F46EF2"/>
    <w:rsid w:val="00FA5411"/>
    <w:rsid w:val="00FF7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A078E"/>
  <w15:chartTrackingRefBased/>
  <w15:docId w15:val="{0EB07692-5F43-4997-987A-292EE4EC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1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1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1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1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1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1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1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1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1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1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1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1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1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1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1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16C"/>
    <w:rPr>
      <w:rFonts w:eastAsiaTheme="majorEastAsia" w:cstheme="majorBidi"/>
      <w:color w:val="272727" w:themeColor="text1" w:themeTint="D8"/>
    </w:rPr>
  </w:style>
  <w:style w:type="paragraph" w:styleId="Title">
    <w:name w:val="Title"/>
    <w:basedOn w:val="Normal"/>
    <w:next w:val="Normal"/>
    <w:link w:val="TitleChar"/>
    <w:uiPriority w:val="10"/>
    <w:qFormat/>
    <w:rsid w:val="001D0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1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1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1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16C"/>
    <w:pPr>
      <w:spacing w:before="160"/>
      <w:jc w:val="center"/>
    </w:pPr>
    <w:rPr>
      <w:i/>
      <w:iCs/>
      <w:color w:val="404040" w:themeColor="text1" w:themeTint="BF"/>
    </w:rPr>
  </w:style>
  <w:style w:type="character" w:customStyle="1" w:styleId="QuoteChar">
    <w:name w:val="Quote Char"/>
    <w:basedOn w:val="DefaultParagraphFont"/>
    <w:link w:val="Quote"/>
    <w:uiPriority w:val="29"/>
    <w:rsid w:val="001D016C"/>
    <w:rPr>
      <w:i/>
      <w:iCs/>
      <w:color w:val="404040" w:themeColor="text1" w:themeTint="BF"/>
    </w:rPr>
  </w:style>
  <w:style w:type="paragraph" w:styleId="ListParagraph">
    <w:name w:val="List Paragraph"/>
    <w:basedOn w:val="Normal"/>
    <w:uiPriority w:val="34"/>
    <w:qFormat/>
    <w:rsid w:val="001D016C"/>
    <w:pPr>
      <w:ind w:left="720"/>
      <w:contextualSpacing/>
    </w:pPr>
  </w:style>
  <w:style w:type="character" w:styleId="IntenseEmphasis">
    <w:name w:val="Intense Emphasis"/>
    <w:basedOn w:val="DefaultParagraphFont"/>
    <w:uiPriority w:val="21"/>
    <w:qFormat/>
    <w:rsid w:val="001D016C"/>
    <w:rPr>
      <w:i/>
      <w:iCs/>
      <w:color w:val="0F4761" w:themeColor="accent1" w:themeShade="BF"/>
    </w:rPr>
  </w:style>
  <w:style w:type="paragraph" w:styleId="IntenseQuote">
    <w:name w:val="Intense Quote"/>
    <w:basedOn w:val="Normal"/>
    <w:next w:val="Normal"/>
    <w:link w:val="IntenseQuoteChar"/>
    <w:uiPriority w:val="30"/>
    <w:qFormat/>
    <w:rsid w:val="001D0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16C"/>
    <w:rPr>
      <w:i/>
      <w:iCs/>
      <w:color w:val="0F4761" w:themeColor="accent1" w:themeShade="BF"/>
    </w:rPr>
  </w:style>
  <w:style w:type="character" w:styleId="IntenseReference">
    <w:name w:val="Intense Reference"/>
    <w:basedOn w:val="DefaultParagraphFont"/>
    <w:uiPriority w:val="32"/>
    <w:qFormat/>
    <w:rsid w:val="001D01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10301">
      <w:bodyDiv w:val="1"/>
      <w:marLeft w:val="0"/>
      <w:marRight w:val="0"/>
      <w:marTop w:val="0"/>
      <w:marBottom w:val="0"/>
      <w:divBdr>
        <w:top w:val="none" w:sz="0" w:space="0" w:color="auto"/>
        <w:left w:val="none" w:sz="0" w:space="0" w:color="auto"/>
        <w:bottom w:val="none" w:sz="0" w:space="0" w:color="auto"/>
        <w:right w:val="none" w:sz="0" w:space="0" w:color="auto"/>
      </w:divBdr>
    </w:div>
    <w:div w:id="296884665">
      <w:bodyDiv w:val="1"/>
      <w:marLeft w:val="0"/>
      <w:marRight w:val="0"/>
      <w:marTop w:val="0"/>
      <w:marBottom w:val="0"/>
      <w:divBdr>
        <w:top w:val="none" w:sz="0" w:space="0" w:color="auto"/>
        <w:left w:val="none" w:sz="0" w:space="0" w:color="auto"/>
        <w:bottom w:val="none" w:sz="0" w:space="0" w:color="auto"/>
        <w:right w:val="none" w:sz="0" w:space="0" w:color="auto"/>
      </w:divBdr>
    </w:div>
    <w:div w:id="1491948488">
      <w:bodyDiv w:val="1"/>
      <w:marLeft w:val="0"/>
      <w:marRight w:val="0"/>
      <w:marTop w:val="0"/>
      <w:marBottom w:val="0"/>
      <w:divBdr>
        <w:top w:val="none" w:sz="0" w:space="0" w:color="auto"/>
        <w:left w:val="none" w:sz="0" w:space="0" w:color="auto"/>
        <w:bottom w:val="none" w:sz="0" w:space="0" w:color="auto"/>
        <w:right w:val="none" w:sz="0" w:space="0" w:color="auto"/>
      </w:divBdr>
    </w:div>
    <w:div w:id="1532035463">
      <w:bodyDiv w:val="1"/>
      <w:marLeft w:val="0"/>
      <w:marRight w:val="0"/>
      <w:marTop w:val="0"/>
      <w:marBottom w:val="0"/>
      <w:divBdr>
        <w:top w:val="none" w:sz="0" w:space="0" w:color="auto"/>
        <w:left w:val="none" w:sz="0" w:space="0" w:color="auto"/>
        <w:bottom w:val="none" w:sz="0" w:space="0" w:color="auto"/>
        <w:right w:val="none" w:sz="0" w:space="0" w:color="auto"/>
      </w:divBdr>
    </w:div>
    <w:div w:id="1645504015">
      <w:bodyDiv w:val="1"/>
      <w:marLeft w:val="0"/>
      <w:marRight w:val="0"/>
      <w:marTop w:val="0"/>
      <w:marBottom w:val="0"/>
      <w:divBdr>
        <w:top w:val="none" w:sz="0" w:space="0" w:color="auto"/>
        <w:left w:val="none" w:sz="0" w:space="0" w:color="auto"/>
        <w:bottom w:val="none" w:sz="0" w:space="0" w:color="auto"/>
        <w:right w:val="none" w:sz="0" w:space="0" w:color="auto"/>
      </w:divBdr>
    </w:div>
    <w:div w:id="182349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1917</Words>
  <Characters>10539</Characters>
  <Application>Microsoft Office Word</Application>
  <DocSecurity>0</DocSecurity>
  <Lines>215</Lines>
  <Paragraphs>78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Cetin, Burcu</dc:creator>
  <cp:keywords/>
  <dc:description/>
  <cp:lastModifiedBy>Can Cetin, Burcu</cp:lastModifiedBy>
  <cp:revision>10</cp:revision>
  <dcterms:created xsi:type="dcterms:W3CDTF">2024-11-21T11:26:00Z</dcterms:created>
  <dcterms:modified xsi:type="dcterms:W3CDTF">2024-11-21T13:41:00Z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c37c7dd3-a7e7-4e77-8295-f15fbdc937d6</vt:lpwstr>
  </property>
</Properties>
</file>