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Acting 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Acting 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1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2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Vistry Thames Valley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C/O Agent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Vistry Thames Valley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C/O Agent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PL/22/1841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11/11/2024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PL/22/1841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11/11/2024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Matthew Burns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Vistry Thames Valley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PL/22/1841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17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  <w:br/>
        <w:t xml:space="preserve"> Kidmore End Road</w:t>
        <w:br/>
        <w:t xml:space="preserve"> Emmer Green</w:t>
        <w:br/>
        <w:t xml:space="preserve"> Reading</w:t>
        <w:br/>
        <w:t xml:space="preserve"> RG4 8SQ</w:t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conditions 15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  <w:br/>
        <w:t xml:space="preserve">        (Boundary Treatment) and 45 (On-Site Play Space Equipment) of planningpermission ref. 221312/VAR</w:t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r>
              <w:altChunk r:id="rId9"/>
            </w:r>
          </w:p>
        </w:tc>
      </w:tr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r>
              <w:altChunk r:id="rId10"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Matthew Burns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Senior Planner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aFChunk" Target="/word/embeddings/file1.html" /><Relationship Id="rId10" Type="http://schemas.openxmlformats.org/officeDocument/2006/relationships/aFChunk" Target="/word/embeddings/file2.html" /><Relationship Id="rId11" Type="http://schemas.openxmlformats.org/officeDocument/2006/relationships/image" Target="/word/media/image1.jpg" /><Relationship Id="rId12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salesforceId:9b6b8c61-e86e-42a9-b23b-847e11242e71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</Properties>
</file>