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6A83" w:rsidRDefault="00DC0D44" w:rsidP="00B06A83">
      <w:pPr>
        <w:pStyle w:val="BodyText"/>
        <w:tabs>
          <w:tab w:val="left" w:pos="2552"/>
        </w:tabs>
        <w:ind w:left="2552" w:hanging="2552"/>
        <w:jc w:val="right"/>
        <w:rPr>
          <w:rFonts w:ascii="Trebuchet MS" w:hAnsi="Trebuchet MS"/>
          <w:sz w:val="22"/>
          <w:szCs w:val="22"/>
        </w:rPr>
      </w:pPr>
      <w:bookmarkStart w:id="0" w:name="_GoBack"/>
      <w:bookmarkEnd w:id="0"/>
      <w:r>
        <w:rPr>
          <w:rFonts w:ascii="Trebuchet MS" w:hAnsi="Trebuchet MS" w:cs="Arial"/>
          <w:noProof/>
          <w:lang w:eastAsia="en-GB"/>
        </w:rPr>
        <w:drawing>
          <wp:inline distT="0" distB="0" distL="0" distR="0">
            <wp:extent cx="1250950" cy="51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517525"/>
                    </a:xfrm>
                    <a:prstGeom prst="rect">
                      <a:avLst/>
                    </a:prstGeom>
                    <a:noFill/>
                    <a:ln>
                      <a:noFill/>
                    </a:ln>
                  </pic:spPr>
                </pic:pic>
              </a:graphicData>
            </a:graphic>
          </wp:inline>
        </w:drawing>
      </w:r>
    </w:p>
    <w:p w:rsidR="00B06A83" w:rsidRDefault="00B06A83">
      <w:pPr>
        <w:pStyle w:val="BodyText"/>
        <w:tabs>
          <w:tab w:val="left" w:pos="2552"/>
        </w:tabs>
        <w:ind w:left="2552" w:hanging="2552"/>
        <w:jc w:val="both"/>
        <w:rPr>
          <w:rFonts w:ascii="Trebuchet MS" w:hAnsi="Trebuchet MS"/>
          <w:sz w:val="22"/>
          <w:szCs w:val="22"/>
        </w:rPr>
      </w:pPr>
    </w:p>
    <w:p w:rsidR="00B06A83" w:rsidRPr="00FF3B1B" w:rsidRDefault="00B06A83" w:rsidP="00B06A83">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B06A83" w:rsidRPr="00FF3B1B" w:rsidRDefault="00B06A83" w:rsidP="00B06A83">
      <w:pPr>
        <w:pStyle w:val="BodyText"/>
        <w:tabs>
          <w:tab w:val="left" w:pos="2552"/>
        </w:tabs>
        <w:ind w:left="3272" w:hanging="2552"/>
        <w:jc w:val="both"/>
        <w:rPr>
          <w:rFonts w:ascii="Trebuchet MS" w:hAnsi="Trebuchet MS"/>
          <w:sz w:val="22"/>
          <w:szCs w:val="22"/>
        </w:rPr>
      </w:pPr>
    </w:p>
    <w:p w:rsidR="00B06A83" w:rsidRPr="00FF3B1B" w:rsidRDefault="00B06A83" w:rsidP="00B06A83">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Whitley</w:t>
      </w:r>
    </w:p>
    <w:p w:rsidR="00B06A83" w:rsidRPr="00FF3B1B" w:rsidRDefault="00B06A83" w:rsidP="00B06A83">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240725</w:t>
      </w:r>
      <w:r w:rsidRPr="00FF3B1B">
        <w:rPr>
          <w:rFonts w:ascii="Trebuchet MS" w:hAnsi="Trebuchet MS"/>
          <w:b w:val="0"/>
          <w:sz w:val="22"/>
          <w:szCs w:val="22"/>
        </w:rPr>
        <w:t>/</w:t>
      </w:r>
      <w:r w:rsidRPr="00FF3B1B">
        <w:rPr>
          <w:rFonts w:ascii="Trebuchet MS" w:hAnsi="Trebuchet MS"/>
          <w:sz w:val="22"/>
          <w:szCs w:val="22"/>
        </w:rPr>
        <w:t>HOU</w:t>
      </w:r>
    </w:p>
    <w:p w:rsidR="00B06A83" w:rsidRPr="00FF3B1B" w:rsidRDefault="00B06A83" w:rsidP="00B06A83">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59 Blandford Road, Reading, RG2 8RP</w:t>
      </w:r>
    </w:p>
    <w:p w:rsidR="00B06A83" w:rsidRPr="00FF3B1B" w:rsidRDefault="00B06A83" w:rsidP="004D129B">
      <w:pPr>
        <w:ind w:left="720"/>
        <w:jc w:val="both"/>
        <w:rPr>
          <w:sz w:val="22"/>
          <w:szCs w:val="22"/>
        </w:rPr>
      </w:pPr>
      <w:r w:rsidRPr="00FF3B1B">
        <w:rPr>
          <w:b/>
          <w:sz w:val="22"/>
          <w:szCs w:val="22"/>
        </w:rPr>
        <w:t>Proposals</w:t>
      </w:r>
      <w:r w:rsidRPr="00FF3B1B">
        <w:rPr>
          <w:sz w:val="22"/>
          <w:szCs w:val="22"/>
        </w:rPr>
        <w:t xml:space="preserve">: </w:t>
      </w:r>
      <w:r>
        <w:rPr>
          <w:rFonts w:cs="Trebuchet MS"/>
          <w:sz w:val="22"/>
          <w:szCs w:val="22"/>
        </w:rPr>
        <w:t xml:space="preserve">Proposal for single storey rear/side extension, Conversion of garage into habitable space and internal alterations </w:t>
      </w:r>
    </w:p>
    <w:p w:rsidR="00B06A83" w:rsidRPr="00FF3B1B" w:rsidRDefault="00B06A83" w:rsidP="00B06A83">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B06A83" w:rsidRPr="00FF3B1B" w:rsidRDefault="00B06A83" w:rsidP="00B06A83">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Asmawa Aissa L. Djoboungue</w:t>
      </w:r>
    </w:p>
    <w:p w:rsidR="00B06A83" w:rsidRDefault="00B06A83" w:rsidP="00B06A83">
      <w:pPr>
        <w:pStyle w:val="BodyText"/>
        <w:ind w:left="720"/>
        <w:jc w:val="both"/>
        <w:rPr>
          <w:rFonts w:ascii="Trebuchet MS" w:hAnsi="Trebuchet MS"/>
          <w:sz w:val="22"/>
          <w:szCs w:val="22"/>
        </w:rPr>
      </w:pPr>
      <w:r w:rsidRPr="00FF3B1B">
        <w:rPr>
          <w:rFonts w:ascii="Trebuchet MS" w:hAnsi="Trebuchet MS"/>
          <w:sz w:val="22"/>
          <w:szCs w:val="22"/>
        </w:rPr>
        <w:t>Date received (valid from): 4 June 2024</w:t>
      </w:r>
      <w:r>
        <w:rPr>
          <w:rFonts w:ascii="Trebuchet MS" w:hAnsi="Trebuchet MS"/>
          <w:sz w:val="22"/>
          <w:szCs w:val="22"/>
        </w:rPr>
        <w:t xml:space="preserve">      </w:t>
      </w:r>
    </w:p>
    <w:p w:rsidR="00B06A83" w:rsidRPr="00FF3B1B" w:rsidRDefault="00B06A83" w:rsidP="00B06A83">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Pr="00FF3B1B">
        <w:rPr>
          <w:rFonts w:ascii="Trebuchet MS" w:hAnsi="Trebuchet MS" w:cs="Trebuchet MS"/>
          <w:noProof/>
          <w:sz w:val="22"/>
          <w:szCs w:val="22"/>
        </w:rPr>
        <w:t>30 July</w:t>
      </w:r>
      <w:r w:rsidRPr="00FF3B1B">
        <w:rPr>
          <w:rFonts w:ascii="Trebuchet MS" w:hAnsi="Trebuchet MS" w:cs="Trebuchet MS"/>
          <w:sz w:val="22"/>
          <w:szCs w:val="22"/>
        </w:rPr>
        <w:t xml:space="preserve"> 2024</w:t>
      </w:r>
      <w:r w:rsidRPr="00FF3B1B">
        <w:rPr>
          <w:rFonts w:ascii="Trebuchet MS" w:hAnsi="Trebuchet MS"/>
          <w:sz w:val="22"/>
          <w:szCs w:val="22"/>
        </w:rPr>
        <w:tab/>
      </w:r>
    </w:p>
    <w:p w:rsidR="00B06A83" w:rsidRPr="00FF3B1B" w:rsidRDefault="00B06A83">
      <w:pPr>
        <w:pStyle w:val="BodyText"/>
        <w:tabs>
          <w:tab w:val="left" w:pos="2552"/>
        </w:tabs>
        <w:ind w:left="2552" w:hanging="2552"/>
        <w:jc w:val="both"/>
        <w:rPr>
          <w:rFonts w:ascii="Trebuchet MS" w:hAnsi="Trebuchet MS"/>
          <w:b w:val="0"/>
          <w:sz w:val="22"/>
          <w:szCs w:val="22"/>
        </w:rPr>
      </w:pPr>
    </w:p>
    <w:p w:rsidR="00B06A83" w:rsidRPr="00FF3B1B" w:rsidRDefault="00B06A83">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B06A83" w:rsidRDefault="00402166" w:rsidP="00402166">
      <w:pPr>
        <w:ind w:left="720"/>
        <w:jc w:val="both"/>
        <w:rPr>
          <w:sz w:val="22"/>
          <w:szCs w:val="22"/>
        </w:rPr>
      </w:pPr>
      <w:r>
        <w:rPr>
          <w:sz w:val="22"/>
          <w:szCs w:val="22"/>
        </w:rPr>
        <w:t>The site is a semi-detached two storey dwelling on the eastern side of Blandford Road, in a predominantly residential area, with dwellings of similar as well as varied styles and sizes on both sides of the road. The dwellings are a mix of brick finishes and white render to the external walls. The dwellings on the road have considerabl</w:t>
      </w:r>
      <w:r w:rsidR="004D129B">
        <w:rPr>
          <w:sz w:val="22"/>
          <w:szCs w:val="22"/>
        </w:rPr>
        <w:t>e</w:t>
      </w:r>
      <w:r>
        <w:rPr>
          <w:sz w:val="22"/>
          <w:szCs w:val="22"/>
        </w:rPr>
        <w:t xml:space="preserve"> sized rear gardens.</w:t>
      </w:r>
    </w:p>
    <w:p w:rsidR="00C8562E" w:rsidRDefault="00C8562E" w:rsidP="00402166">
      <w:pPr>
        <w:ind w:left="720"/>
        <w:jc w:val="both"/>
        <w:rPr>
          <w:noProof/>
          <w:lang w:eastAsia="en-GB"/>
        </w:rPr>
      </w:pPr>
    </w:p>
    <w:p w:rsidR="00402166" w:rsidRPr="00FF3B1B" w:rsidRDefault="00DC0D44" w:rsidP="00402166">
      <w:pPr>
        <w:ind w:left="720"/>
        <w:jc w:val="both"/>
        <w:rPr>
          <w:sz w:val="22"/>
          <w:szCs w:val="22"/>
        </w:rPr>
      </w:pPr>
      <w:r>
        <w:rPr>
          <w:noProof/>
          <w:lang w:eastAsia="en-GB"/>
        </w:rPr>
        <mc:AlternateContent>
          <mc:Choice Requires="wps">
            <w:drawing>
              <wp:anchor distT="0" distB="0" distL="114300" distR="114300" simplePos="0" relativeHeight="251657728" behindDoc="0" locked="0" layoutInCell="1" allowOverlap="1">
                <wp:simplePos x="0" y="0"/>
                <wp:positionH relativeFrom="column">
                  <wp:posOffset>3752215</wp:posOffset>
                </wp:positionH>
                <wp:positionV relativeFrom="paragraph">
                  <wp:posOffset>748665</wp:posOffset>
                </wp:positionV>
                <wp:extent cx="2087880" cy="733425"/>
                <wp:effectExtent l="0" t="0" r="0" b="0"/>
                <wp:wrapNone/>
                <wp:docPr id="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7880" cy="733425"/>
                        </a:xfrm>
                        <a:prstGeom prst="rect">
                          <a:avLst/>
                        </a:prstGeom>
                        <a:noFill/>
                        <a:ln w="317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50630D" id="Rectangle 3" o:spid="_x0000_s1026" style="position:absolute;margin-left:295.45pt;margin-top:58.95pt;width:164.4pt;height:57.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" filled="f" strokecolor="red" strokeweight="2.5pt"/>
            </w:pict>
          </mc:Fallback>
        </mc:AlternateContent>
      </w:r>
      <w:r w:rsidRPr="00A64DC7">
        <w:rPr>
          <w:noProof/>
          <w:lang w:eastAsia="en-GB"/>
        </w:rPr>
        <w:drawing>
          <wp:inline distT="0" distB="0" distL="0" distR="0">
            <wp:extent cx="2398395" cy="20701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98395" cy="2070100"/>
                    </a:xfrm>
                    <a:prstGeom prst="rect">
                      <a:avLst/>
                    </a:prstGeom>
                    <a:noFill/>
                    <a:ln>
                      <a:noFill/>
                    </a:ln>
                  </pic:spPr>
                </pic:pic>
              </a:graphicData>
            </a:graphic>
          </wp:inline>
        </w:drawing>
      </w:r>
      <w:r w:rsidR="00402166">
        <w:rPr>
          <w:noProof/>
          <w:lang w:eastAsia="en-GB"/>
        </w:rPr>
        <w:t xml:space="preserve"> </w:t>
      </w:r>
      <w:r w:rsidR="00C8562E">
        <w:rPr>
          <w:noProof/>
          <w:lang w:eastAsia="en-GB"/>
        </w:rPr>
        <w:t xml:space="preserve">            </w:t>
      </w:r>
      <w:r w:rsidRPr="00A64DC7">
        <w:rPr>
          <w:noProof/>
          <w:lang w:eastAsia="en-GB"/>
        </w:rPr>
        <w:drawing>
          <wp:inline distT="0" distB="0" distL="0" distR="0">
            <wp:extent cx="2648585" cy="208788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48585" cy="2087880"/>
                    </a:xfrm>
                    <a:prstGeom prst="rect">
                      <a:avLst/>
                    </a:prstGeom>
                    <a:noFill/>
                    <a:ln>
                      <a:noFill/>
                    </a:ln>
                  </pic:spPr>
                </pic:pic>
              </a:graphicData>
            </a:graphic>
          </wp:inline>
        </w:drawing>
      </w:r>
    </w:p>
    <w:p w:rsidR="00402166" w:rsidRDefault="00402166" w:rsidP="00B06A83">
      <w:pPr>
        <w:ind w:left="720"/>
        <w:jc w:val="both"/>
        <w:rPr>
          <w:b/>
          <w:bCs/>
          <w:sz w:val="22"/>
          <w:szCs w:val="22"/>
        </w:rPr>
      </w:pPr>
    </w:p>
    <w:p w:rsidR="00592869" w:rsidRDefault="00DC0D44" w:rsidP="00B06A83">
      <w:pPr>
        <w:ind w:left="720"/>
        <w:jc w:val="both"/>
        <w:rPr>
          <w:b/>
          <w:bCs/>
          <w:sz w:val="22"/>
          <w:szCs w:val="22"/>
        </w:rPr>
      </w:pPr>
      <w:r w:rsidRPr="00592869">
        <w:rPr>
          <w:b/>
          <w:bCs/>
          <w:noProof/>
          <w:sz w:val="22"/>
          <w:szCs w:val="22"/>
          <w:lang w:eastAsia="en-GB"/>
        </w:rPr>
        <w:drawing>
          <wp:inline distT="0" distB="0" distL="0" distR="0">
            <wp:extent cx="2406650" cy="17856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06650" cy="1785620"/>
                    </a:xfrm>
                    <a:prstGeom prst="rect">
                      <a:avLst/>
                    </a:prstGeom>
                    <a:noFill/>
                    <a:ln>
                      <a:noFill/>
                    </a:ln>
                  </pic:spPr>
                </pic:pic>
              </a:graphicData>
            </a:graphic>
          </wp:inline>
        </w:drawing>
      </w:r>
      <w:r w:rsidR="00592869">
        <w:rPr>
          <w:b/>
          <w:bCs/>
          <w:sz w:val="22"/>
          <w:szCs w:val="22"/>
        </w:rPr>
        <w:t xml:space="preserve">               </w:t>
      </w:r>
      <w:r w:rsidRPr="00592869">
        <w:rPr>
          <w:b/>
          <w:bCs/>
          <w:noProof/>
          <w:sz w:val="22"/>
          <w:szCs w:val="22"/>
          <w:lang w:eastAsia="en-GB"/>
        </w:rPr>
        <w:drawing>
          <wp:inline distT="0" distB="0" distL="0" distR="0">
            <wp:extent cx="2501900" cy="17856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01900" cy="1785620"/>
                    </a:xfrm>
                    <a:prstGeom prst="rect">
                      <a:avLst/>
                    </a:prstGeom>
                    <a:noFill/>
                    <a:ln>
                      <a:noFill/>
                    </a:ln>
                  </pic:spPr>
                </pic:pic>
              </a:graphicData>
            </a:graphic>
          </wp:inline>
        </w:drawing>
      </w:r>
    </w:p>
    <w:p w:rsidR="00B06A83" w:rsidRPr="00FF3B1B" w:rsidRDefault="00B06A83">
      <w:pPr>
        <w:jc w:val="both"/>
        <w:rPr>
          <w:b/>
          <w:bCs/>
          <w:sz w:val="22"/>
          <w:szCs w:val="22"/>
        </w:rPr>
      </w:pPr>
    </w:p>
    <w:p w:rsidR="00B06A83" w:rsidRDefault="00B06A83" w:rsidP="00C8562E">
      <w:pPr>
        <w:jc w:val="both"/>
        <w:rPr>
          <w:b/>
          <w:bCs/>
          <w:sz w:val="22"/>
          <w:szCs w:val="22"/>
        </w:rPr>
      </w:pPr>
      <w:r w:rsidRPr="00FF3B1B">
        <w:rPr>
          <w:b/>
          <w:bCs/>
          <w:sz w:val="22"/>
          <w:szCs w:val="22"/>
        </w:rPr>
        <w:t>2.</w:t>
      </w:r>
      <w:r w:rsidRPr="00FF3B1B">
        <w:rPr>
          <w:b/>
          <w:bCs/>
          <w:sz w:val="22"/>
          <w:szCs w:val="22"/>
        </w:rPr>
        <w:tab/>
        <w:t>PROPOSAL AND SUPPORTING INFORMATION</w:t>
      </w:r>
    </w:p>
    <w:p w:rsidR="00C8562E" w:rsidRPr="00C8562E" w:rsidRDefault="00C8562E" w:rsidP="00C8562E">
      <w:pPr>
        <w:jc w:val="both"/>
        <w:rPr>
          <w:b/>
          <w:bCs/>
          <w:sz w:val="22"/>
          <w:szCs w:val="22"/>
        </w:rPr>
      </w:pPr>
    </w:p>
    <w:p w:rsidR="00B06A83" w:rsidRPr="00FF3B1B" w:rsidRDefault="00C8562E" w:rsidP="004D129B">
      <w:pPr>
        <w:ind w:left="720"/>
        <w:jc w:val="both"/>
        <w:rPr>
          <w:sz w:val="22"/>
          <w:szCs w:val="22"/>
        </w:rPr>
      </w:pPr>
      <w:r>
        <w:rPr>
          <w:sz w:val="22"/>
          <w:szCs w:val="22"/>
        </w:rPr>
        <w:t>The p</w:t>
      </w:r>
      <w:r w:rsidR="00B06A83">
        <w:rPr>
          <w:sz w:val="22"/>
          <w:szCs w:val="22"/>
        </w:rPr>
        <w:t xml:space="preserve">roposal </w:t>
      </w:r>
      <w:r>
        <w:rPr>
          <w:sz w:val="22"/>
          <w:szCs w:val="22"/>
        </w:rPr>
        <w:t xml:space="preserve">is </w:t>
      </w:r>
      <w:r w:rsidR="00B06A83">
        <w:rPr>
          <w:sz w:val="22"/>
          <w:szCs w:val="22"/>
        </w:rPr>
        <w:t xml:space="preserve">for </w:t>
      </w:r>
      <w:r>
        <w:rPr>
          <w:sz w:val="22"/>
          <w:szCs w:val="22"/>
        </w:rPr>
        <w:t xml:space="preserve">a </w:t>
      </w:r>
      <w:r w:rsidR="00B06A83">
        <w:rPr>
          <w:sz w:val="22"/>
          <w:szCs w:val="22"/>
        </w:rPr>
        <w:t>single storey rear/side extension,</w:t>
      </w:r>
      <w:r>
        <w:rPr>
          <w:sz w:val="22"/>
          <w:szCs w:val="22"/>
        </w:rPr>
        <w:t xml:space="preserve"> measuring 4m to the rear, on the same width as the existing, whilst</w:t>
      </w:r>
      <w:r w:rsidR="00B06A83">
        <w:rPr>
          <w:sz w:val="22"/>
          <w:szCs w:val="22"/>
        </w:rPr>
        <w:t xml:space="preserve"> </w:t>
      </w:r>
      <w:r>
        <w:rPr>
          <w:sz w:val="22"/>
          <w:szCs w:val="22"/>
        </w:rPr>
        <w:t>converting the</w:t>
      </w:r>
      <w:r w:rsidR="00B06A83">
        <w:rPr>
          <w:sz w:val="22"/>
          <w:szCs w:val="22"/>
        </w:rPr>
        <w:t xml:space="preserve"> garage into habitable space</w:t>
      </w:r>
      <w:r>
        <w:rPr>
          <w:sz w:val="22"/>
          <w:szCs w:val="22"/>
        </w:rPr>
        <w:t xml:space="preserve">. Also proposed are </w:t>
      </w:r>
      <w:r w:rsidR="00B06A83">
        <w:rPr>
          <w:sz w:val="22"/>
          <w:szCs w:val="22"/>
        </w:rPr>
        <w:t xml:space="preserve">internal alterations </w:t>
      </w:r>
    </w:p>
    <w:p w:rsidR="00B06A83" w:rsidRPr="00FF3B1B" w:rsidRDefault="00B06A83" w:rsidP="004E1F9F">
      <w:pPr>
        <w:pStyle w:val="BodyText"/>
        <w:ind w:left="1440" w:hanging="720"/>
        <w:jc w:val="both"/>
        <w:rPr>
          <w:rFonts w:ascii="Trebuchet MS" w:hAnsi="Trebuchet MS"/>
          <w:b w:val="0"/>
          <w:sz w:val="22"/>
          <w:szCs w:val="22"/>
        </w:rPr>
      </w:pPr>
    </w:p>
    <w:p w:rsidR="00B06A83" w:rsidRDefault="00B06A83" w:rsidP="00C8562E">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902ED6">
        <w:rPr>
          <w:rFonts w:ascii="Trebuchet MS" w:hAnsi="Trebuchet MS"/>
          <w:b w:val="0"/>
          <w:bCs/>
          <w:sz w:val="22"/>
          <w:szCs w:val="22"/>
        </w:rPr>
        <w:t xml:space="preserve"> dated 18</w:t>
      </w:r>
      <w:r w:rsidR="00902ED6" w:rsidRPr="00902ED6">
        <w:rPr>
          <w:rFonts w:ascii="Trebuchet MS" w:hAnsi="Trebuchet MS"/>
          <w:b w:val="0"/>
          <w:bCs/>
          <w:sz w:val="22"/>
          <w:szCs w:val="22"/>
          <w:vertAlign w:val="superscript"/>
        </w:rPr>
        <w:t>th</w:t>
      </w:r>
      <w:r w:rsidR="00902ED6">
        <w:rPr>
          <w:rFonts w:ascii="Trebuchet MS" w:hAnsi="Trebuchet MS"/>
          <w:b w:val="0"/>
          <w:bCs/>
          <w:sz w:val="22"/>
          <w:szCs w:val="22"/>
        </w:rPr>
        <w:t xml:space="preserve"> March 2024 received 05/06/2024</w:t>
      </w:r>
    </w:p>
    <w:p w:rsidR="00B06A83" w:rsidRDefault="00902ED6" w:rsidP="00C8562E">
      <w:pPr>
        <w:pStyle w:val="BodyText"/>
        <w:ind w:left="720"/>
        <w:jc w:val="both"/>
        <w:rPr>
          <w:rFonts w:ascii="Trebuchet MS" w:hAnsi="Trebuchet MS"/>
          <w:b w:val="0"/>
          <w:bCs/>
          <w:sz w:val="22"/>
          <w:szCs w:val="22"/>
        </w:rPr>
      </w:pPr>
      <w:r>
        <w:rPr>
          <w:rFonts w:ascii="Trebuchet MS" w:hAnsi="Trebuchet MS"/>
          <w:b w:val="0"/>
          <w:bCs/>
          <w:sz w:val="22"/>
          <w:szCs w:val="22"/>
        </w:rPr>
        <w:t xml:space="preserve">Drawing No </w:t>
      </w:r>
      <w:r w:rsidR="00C8562E" w:rsidRPr="00C8562E">
        <w:rPr>
          <w:rFonts w:ascii="Trebuchet MS" w:hAnsi="Trebuchet MS"/>
          <w:b w:val="0"/>
          <w:bCs/>
          <w:sz w:val="22"/>
          <w:szCs w:val="22"/>
        </w:rPr>
        <w:t>59BR/18032024/REV-C-1/2</w:t>
      </w:r>
      <w:r>
        <w:rPr>
          <w:rFonts w:ascii="Trebuchet MS" w:hAnsi="Trebuchet MS"/>
          <w:b w:val="0"/>
          <w:bCs/>
          <w:sz w:val="22"/>
          <w:szCs w:val="22"/>
        </w:rPr>
        <w:t>: Existing and Proposed Plans and Elevations</w:t>
      </w:r>
    </w:p>
    <w:p w:rsidR="00902ED6" w:rsidRDefault="00902ED6" w:rsidP="00902ED6">
      <w:pPr>
        <w:pStyle w:val="BodyText"/>
        <w:ind w:left="720"/>
        <w:jc w:val="both"/>
        <w:rPr>
          <w:rFonts w:ascii="Trebuchet MS" w:hAnsi="Trebuchet MS"/>
          <w:b w:val="0"/>
          <w:bCs/>
          <w:sz w:val="22"/>
          <w:szCs w:val="22"/>
        </w:rPr>
      </w:pPr>
      <w:r>
        <w:rPr>
          <w:rFonts w:ascii="Trebuchet MS" w:hAnsi="Trebuchet MS"/>
          <w:b w:val="0"/>
          <w:bCs/>
          <w:sz w:val="22"/>
          <w:szCs w:val="22"/>
        </w:rPr>
        <w:t>Drawing No 59BR/18032024/REV-C-2</w:t>
      </w:r>
      <w:r w:rsidRPr="00C8562E">
        <w:rPr>
          <w:rFonts w:ascii="Trebuchet MS" w:hAnsi="Trebuchet MS"/>
          <w:b w:val="0"/>
          <w:bCs/>
          <w:sz w:val="22"/>
          <w:szCs w:val="22"/>
        </w:rPr>
        <w:t>/2</w:t>
      </w:r>
      <w:r>
        <w:rPr>
          <w:rFonts w:ascii="Trebuchet MS" w:hAnsi="Trebuchet MS"/>
          <w:b w:val="0"/>
          <w:bCs/>
          <w:sz w:val="22"/>
          <w:szCs w:val="22"/>
        </w:rPr>
        <w:t>: Existing Site Plan, Proposed Site Plan and Location Plan</w:t>
      </w:r>
    </w:p>
    <w:p w:rsidR="00F2786F" w:rsidRDefault="00F2786F" w:rsidP="00902ED6">
      <w:pPr>
        <w:pStyle w:val="BodyText"/>
        <w:ind w:left="720"/>
        <w:jc w:val="both"/>
        <w:rPr>
          <w:rFonts w:ascii="Trebuchet MS" w:hAnsi="Trebuchet MS"/>
          <w:b w:val="0"/>
          <w:bCs/>
          <w:sz w:val="22"/>
          <w:szCs w:val="22"/>
        </w:rPr>
      </w:pPr>
    </w:p>
    <w:p w:rsidR="00F2786F" w:rsidRDefault="00DC0D44" w:rsidP="00902ED6">
      <w:pPr>
        <w:pStyle w:val="BodyText"/>
        <w:ind w:left="720"/>
        <w:jc w:val="both"/>
        <w:rPr>
          <w:noProof/>
          <w:lang w:eastAsia="en-GB"/>
        </w:rPr>
      </w:pPr>
      <w:r w:rsidRPr="00A64DC7">
        <w:rPr>
          <w:noProof/>
          <w:lang w:eastAsia="en-GB"/>
        </w:rPr>
        <w:lastRenderedPageBreak/>
        <w:drawing>
          <wp:inline distT="0" distB="0" distL="0" distR="0">
            <wp:extent cx="2734310" cy="173418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34310" cy="1734185"/>
                    </a:xfrm>
                    <a:prstGeom prst="rect">
                      <a:avLst/>
                    </a:prstGeom>
                    <a:noFill/>
                    <a:ln>
                      <a:noFill/>
                    </a:ln>
                  </pic:spPr>
                </pic:pic>
              </a:graphicData>
            </a:graphic>
          </wp:inline>
        </w:drawing>
      </w:r>
      <w:r w:rsidR="00F2786F">
        <w:rPr>
          <w:noProof/>
          <w:lang w:eastAsia="en-GB"/>
        </w:rPr>
        <w:t xml:space="preserve">    </w:t>
      </w:r>
      <w:r w:rsidRPr="00A64DC7">
        <w:rPr>
          <w:noProof/>
          <w:lang w:eastAsia="en-GB"/>
        </w:rPr>
        <w:drawing>
          <wp:inline distT="0" distB="0" distL="0" distR="0">
            <wp:extent cx="2501900" cy="175133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01900" cy="1751330"/>
                    </a:xfrm>
                    <a:prstGeom prst="rect">
                      <a:avLst/>
                    </a:prstGeom>
                    <a:noFill/>
                    <a:ln>
                      <a:noFill/>
                    </a:ln>
                  </pic:spPr>
                </pic:pic>
              </a:graphicData>
            </a:graphic>
          </wp:inline>
        </w:drawing>
      </w:r>
    </w:p>
    <w:p w:rsidR="00F2786F" w:rsidRPr="00F2786F" w:rsidRDefault="00F2786F" w:rsidP="00902ED6">
      <w:pPr>
        <w:pStyle w:val="BodyText"/>
        <w:ind w:left="720"/>
        <w:jc w:val="both"/>
        <w:rPr>
          <w:rFonts w:ascii="Trebuchet MS" w:hAnsi="Trebuchet MS"/>
          <w:b w:val="0"/>
          <w:sz w:val="22"/>
          <w:szCs w:val="22"/>
          <w:u w:val="single"/>
        </w:rPr>
      </w:pPr>
      <w:r>
        <w:rPr>
          <w:rFonts w:ascii="Trebuchet MS" w:hAnsi="Trebuchet MS"/>
          <w:b w:val="0"/>
          <w:noProof/>
          <w:sz w:val="22"/>
          <w:szCs w:val="22"/>
          <w:lang w:eastAsia="en-GB"/>
        </w:rPr>
        <w:t xml:space="preserve">            </w:t>
      </w:r>
      <w:r w:rsidRPr="00F2786F">
        <w:rPr>
          <w:rFonts w:ascii="Trebuchet MS" w:hAnsi="Trebuchet MS"/>
          <w:b w:val="0"/>
          <w:noProof/>
          <w:sz w:val="22"/>
          <w:szCs w:val="22"/>
          <w:u w:val="single"/>
          <w:lang w:eastAsia="en-GB"/>
        </w:rPr>
        <w:t>Existing Plans and Elevations                  Proposed Plans and Elevations</w:t>
      </w:r>
    </w:p>
    <w:p w:rsidR="00902ED6" w:rsidRPr="00FF3B1B" w:rsidRDefault="00902ED6" w:rsidP="00C8562E">
      <w:pPr>
        <w:pStyle w:val="BodyText"/>
        <w:ind w:left="720"/>
        <w:jc w:val="both"/>
        <w:rPr>
          <w:rFonts w:ascii="Trebuchet MS" w:hAnsi="Trebuchet MS"/>
          <w:b w:val="0"/>
          <w:sz w:val="22"/>
          <w:szCs w:val="22"/>
        </w:rPr>
      </w:pPr>
    </w:p>
    <w:p w:rsidR="00B06A83" w:rsidRPr="00FF3B1B" w:rsidRDefault="00B06A83">
      <w:pPr>
        <w:pStyle w:val="BodyText"/>
        <w:ind w:left="720" w:hanging="720"/>
        <w:jc w:val="both"/>
        <w:rPr>
          <w:rFonts w:ascii="Trebuchet MS" w:hAnsi="Trebuchet MS"/>
          <w:b w:val="0"/>
          <w:sz w:val="22"/>
          <w:szCs w:val="22"/>
        </w:rPr>
      </w:pPr>
    </w:p>
    <w:p w:rsidR="00B06A83" w:rsidRPr="00FF3B1B" w:rsidRDefault="00B06A83">
      <w:pPr>
        <w:numPr>
          <w:ilvl w:val="0"/>
          <w:numId w:val="24"/>
        </w:numPr>
        <w:ind w:hanging="720"/>
        <w:jc w:val="both"/>
        <w:rPr>
          <w:b/>
          <w:bCs/>
          <w:sz w:val="22"/>
          <w:szCs w:val="22"/>
        </w:rPr>
      </w:pPr>
      <w:r w:rsidRPr="00FF3B1B">
        <w:rPr>
          <w:b/>
          <w:bCs/>
          <w:sz w:val="22"/>
          <w:szCs w:val="22"/>
        </w:rPr>
        <w:t xml:space="preserve">RELEVANT PLANNING HISTORY </w:t>
      </w:r>
    </w:p>
    <w:p w:rsidR="00B06A83" w:rsidRPr="00902ED6" w:rsidRDefault="00902ED6" w:rsidP="00902ED6">
      <w:pPr>
        <w:ind w:left="720"/>
        <w:jc w:val="both"/>
        <w:rPr>
          <w:bCs/>
          <w:sz w:val="22"/>
          <w:szCs w:val="22"/>
        </w:rPr>
      </w:pPr>
      <w:r w:rsidRPr="00902ED6">
        <w:rPr>
          <w:bCs/>
          <w:sz w:val="22"/>
          <w:szCs w:val="22"/>
        </w:rPr>
        <w:t>Application Ref: 901147</w:t>
      </w:r>
    </w:p>
    <w:p w:rsidR="00902ED6" w:rsidRPr="00902ED6" w:rsidRDefault="00902ED6" w:rsidP="00902ED6">
      <w:pPr>
        <w:ind w:left="720"/>
        <w:jc w:val="both"/>
        <w:rPr>
          <w:bCs/>
          <w:sz w:val="22"/>
          <w:szCs w:val="22"/>
        </w:rPr>
      </w:pPr>
      <w:r w:rsidRPr="00902ED6">
        <w:rPr>
          <w:bCs/>
          <w:sz w:val="22"/>
          <w:szCs w:val="22"/>
        </w:rPr>
        <w:t>Description: Single storey side extension for utility room and garage. Front extension to porch.</w:t>
      </w:r>
    </w:p>
    <w:p w:rsidR="00902ED6" w:rsidRPr="00902ED6" w:rsidRDefault="00902ED6" w:rsidP="00902ED6">
      <w:pPr>
        <w:ind w:left="720"/>
        <w:jc w:val="both"/>
        <w:rPr>
          <w:bCs/>
          <w:sz w:val="22"/>
          <w:szCs w:val="22"/>
        </w:rPr>
      </w:pPr>
      <w:r w:rsidRPr="00902ED6">
        <w:rPr>
          <w:bCs/>
          <w:sz w:val="22"/>
          <w:szCs w:val="22"/>
        </w:rPr>
        <w:t>Decision: Permitted</w:t>
      </w:r>
    </w:p>
    <w:p w:rsidR="00902ED6" w:rsidRPr="00902ED6" w:rsidRDefault="00902ED6" w:rsidP="00902ED6">
      <w:pPr>
        <w:ind w:left="720"/>
        <w:jc w:val="both"/>
        <w:rPr>
          <w:bCs/>
          <w:sz w:val="22"/>
          <w:szCs w:val="22"/>
        </w:rPr>
      </w:pPr>
      <w:r w:rsidRPr="00902ED6">
        <w:rPr>
          <w:bCs/>
          <w:sz w:val="22"/>
          <w:szCs w:val="22"/>
        </w:rPr>
        <w:t>Decision Date: 18/6/1990</w:t>
      </w:r>
    </w:p>
    <w:p w:rsidR="00B06A83" w:rsidRPr="00FF3B1B" w:rsidRDefault="00B06A83" w:rsidP="00B06A83">
      <w:pPr>
        <w:jc w:val="both"/>
        <w:rPr>
          <w:b/>
          <w:bCs/>
          <w:sz w:val="22"/>
          <w:szCs w:val="22"/>
        </w:rPr>
      </w:pPr>
    </w:p>
    <w:p w:rsidR="00B06A83" w:rsidRPr="00FF3B1B" w:rsidRDefault="00B06A83">
      <w:pPr>
        <w:jc w:val="both"/>
        <w:rPr>
          <w:b/>
          <w:bCs/>
          <w:sz w:val="22"/>
          <w:szCs w:val="22"/>
        </w:rPr>
      </w:pPr>
      <w:r w:rsidRPr="00FF3B1B">
        <w:rPr>
          <w:b/>
          <w:bCs/>
          <w:sz w:val="22"/>
          <w:szCs w:val="22"/>
        </w:rPr>
        <w:t>4.</w:t>
      </w:r>
      <w:r w:rsidRPr="00FF3B1B">
        <w:rPr>
          <w:b/>
          <w:bCs/>
          <w:sz w:val="22"/>
          <w:szCs w:val="22"/>
        </w:rPr>
        <w:tab/>
        <w:t>CONSULTATIONS</w:t>
      </w:r>
    </w:p>
    <w:p w:rsidR="00B06A83" w:rsidRPr="00FF3B1B" w:rsidRDefault="00B06A83">
      <w:pPr>
        <w:jc w:val="both"/>
        <w:rPr>
          <w:b/>
          <w:bCs/>
          <w:sz w:val="22"/>
          <w:szCs w:val="22"/>
        </w:rPr>
      </w:pPr>
    </w:p>
    <w:p w:rsidR="00B06A83" w:rsidRDefault="00B06A83" w:rsidP="00902ED6">
      <w:pPr>
        <w:ind w:left="720"/>
        <w:jc w:val="both"/>
        <w:rPr>
          <w:sz w:val="22"/>
          <w:szCs w:val="22"/>
        </w:rPr>
      </w:pPr>
      <w:r w:rsidRPr="00FF3B1B">
        <w:rPr>
          <w:sz w:val="22"/>
          <w:szCs w:val="22"/>
        </w:rPr>
        <w:t>The following addresses were consulted by letter.</w:t>
      </w:r>
    </w:p>
    <w:p w:rsidR="00B06A83" w:rsidRPr="00FF3B1B" w:rsidRDefault="00B06A83" w:rsidP="00902ED6">
      <w:pPr>
        <w:ind w:left="720"/>
        <w:jc w:val="both"/>
        <w:rPr>
          <w:b/>
          <w:sz w:val="22"/>
          <w:szCs w:val="22"/>
        </w:rPr>
      </w:pPr>
    </w:p>
    <w:p w:rsidR="00B06A83" w:rsidRPr="00FF3B1B" w:rsidRDefault="00B06A83" w:rsidP="00902ED6">
      <w:pPr>
        <w:ind w:left="720"/>
        <w:rPr>
          <w:sz w:val="22"/>
          <w:szCs w:val="22"/>
        </w:rPr>
      </w:pPr>
      <w:r w:rsidRPr="00FF3B1B">
        <w:rPr>
          <w:sz w:val="22"/>
          <w:szCs w:val="22"/>
        </w:rPr>
        <w:t>52 Blandford Road, Reading, Berkshire, RG2 8RN</w:t>
      </w:r>
    </w:p>
    <w:p w:rsidR="00B06A83" w:rsidRPr="00FF3B1B" w:rsidRDefault="00B06A83" w:rsidP="00902ED6">
      <w:pPr>
        <w:ind w:left="720"/>
        <w:rPr>
          <w:sz w:val="22"/>
          <w:szCs w:val="22"/>
        </w:rPr>
      </w:pPr>
      <w:r>
        <w:rPr>
          <w:sz w:val="22"/>
          <w:szCs w:val="22"/>
        </w:rPr>
        <w:t>57 Blandford Road, Reading, RG2 8RP</w:t>
      </w:r>
    </w:p>
    <w:p w:rsidR="00B06A83" w:rsidRPr="00FF3B1B" w:rsidRDefault="00B06A83" w:rsidP="00902ED6">
      <w:pPr>
        <w:ind w:left="720"/>
        <w:rPr>
          <w:sz w:val="22"/>
          <w:szCs w:val="22"/>
        </w:rPr>
      </w:pPr>
      <w:r w:rsidRPr="00FF3B1B">
        <w:rPr>
          <w:sz w:val="22"/>
          <w:szCs w:val="22"/>
        </w:rPr>
        <w:t>61 Blandford Road, Reading, RG2 8RP</w:t>
      </w:r>
    </w:p>
    <w:p w:rsidR="00B06A83" w:rsidRPr="00FF3B1B" w:rsidRDefault="00B06A83" w:rsidP="00902ED6">
      <w:pPr>
        <w:ind w:left="720"/>
        <w:rPr>
          <w:sz w:val="22"/>
          <w:szCs w:val="22"/>
        </w:rPr>
      </w:pPr>
      <w:r w:rsidRPr="00FF3B1B">
        <w:rPr>
          <w:sz w:val="22"/>
          <w:szCs w:val="22"/>
        </w:rPr>
        <w:t>54 Blandford Road, Reading, RG2 8RN</w:t>
      </w:r>
    </w:p>
    <w:p w:rsidR="00B06A83" w:rsidRPr="00FF3B1B" w:rsidRDefault="00B06A83">
      <w:pPr>
        <w:ind w:left="720" w:hanging="720"/>
        <w:jc w:val="both"/>
        <w:rPr>
          <w:sz w:val="22"/>
          <w:szCs w:val="22"/>
        </w:rPr>
      </w:pPr>
    </w:p>
    <w:p w:rsidR="00B06A83" w:rsidRPr="00FF3B1B" w:rsidRDefault="00902ED6" w:rsidP="00902ED6">
      <w:pPr>
        <w:ind w:left="1440" w:hanging="720"/>
        <w:jc w:val="both"/>
        <w:rPr>
          <w:sz w:val="22"/>
          <w:szCs w:val="22"/>
        </w:rPr>
      </w:pPr>
      <w:r>
        <w:rPr>
          <w:sz w:val="22"/>
          <w:szCs w:val="22"/>
        </w:rPr>
        <w:t>No l</w:t>
      </w:r>
      <w:r w:rsidR="00B06A83" w:rsidRPr="00FF3B1B">
        <w:rPr>
          <w:sz w:val="22"/>
          <w:szCs w:val="22"/>
        </w:rPr>
        <w:t>etters of representation have been received as follows:</w:t>
      </w:r>
    </w:p>
    <w:p w:rsidR="00B06A83" w:rsidRDefault="00B06A83" w:rsidP="00B06A83">
      <w:pPr>
        <w:jc w:val="both"/>
        <w:rPr>
          <w:sz w:val="22"/>
          <w:szCs w:val="22"/>
        </w:rPr>
      </w:pPr>
    </w:p>
    <w:p w:rsidR="00B06A83" w:rsidRPr="00902ED6" w:rsidRDefault="00B06A83" w:rsidP="00902ED6">
      <w:pPr>
        <w:overflowPunct/>
        <w:adjustRightInd/>
        <w:ind w:left="720"/>
        <w:jc w:val="both"/>
        <w:textAlignment w:val="auto"/>
        <w:rPr>
          <w:rFonts w:cs="Arial"/>
          <w:b/>
          <w:bCs/>
          <w:color w:val="000000"/>
          <w:sz w:val="22"/>
          <w:szCs w:val="22"/>
          <w:lang w:eastAsia="en-GB"/>
        </w:rPr>
      </w:pPr>
      <w:r w:rsidRPr="00902ED6">
        <w:rPr>
          <w:rFonts w:cs="Arial"/>
          <w:b/>
          <w:bCs/>
          <w:color w:val="000000"/>
          <w:sz w:val="22"/>
          <w:szCs w:val="22"/>
          <w:lang w:eastAsia="en-GB"/>
        </w:rPr>
        <w:t>Equality Act 2010:</w:t>
      </w:r>
    </w:p>
    <w:p w:rsidR="00B06A83" w:rsidRPr="00902ED6" w:rsidRDefault="00B06A83" w:rsidP="00902ED6">
      <w:pPr>
        <w:overflowPunct/>
        <w:adjustRightInd/>
        <w:ind w:left="720"/>
        <w:jc w:val="both"/>
        <w:textAlignment w:val="auto"/>
        <w:rPr>
          <w:rFonts w:cs="Arial"/>
          <w:bCs/>
          <w:color w:val="000000"/>
          <w:sz w:val="22"/>
          <w:szCs w:val="22"/>
          <w:lang w:eastAsia="en-GB"/>
        </w:rPr>
      </w:pPr>
      <w:r w:rsidRPr="00902ED6">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B06A83" w:rsidRPr="00902ED6" w:rsidRDefault="00B06A83" w:rsidP="00902ED6">
      <w:pPr>
        <w:ind w:left="1440" w:hanging="720"/>
        <w:jc w:val="both"/>
        <w:rPr>
          <w:sz w:val="22"/>
          <w:szCs w:val="22"/>
        </w:rPr>
      </w:pPr>
    </w:p>
    <w:p w:rsidR="00B06A83" w:rsidRPr="00FF3B1B" w:rsidRDefault="00902ED6" w:rsidP="00B06A83">
      <w:pPr>
        <w:numPr>
          <w:ilvl w:val="0"/>
          <w:numId w:val="29"/>
        </w:numPr>
        <w:jc w:val="both"/>
        <w:rPr>
          <w:b/>
          <w:bCs/>
          <w:sz w:val="22"/>
          <w:szCs w:val="22"/>
          <w:lang w:eastAsia="en-GB"/>
        </w:rPr>
      </w:pPr>
      <w:r>
        <w:rPr>
          <w:b/>
          <w:bCs/>
          <w:sz w:val="22"/>
          <w:szCs w:val="22"/>
          <w:lang w:eastAsia="en-GB"/>
        </w:rPr>
        <w:t xml:space="preserve">      </w:t>
      </w:r>
      <w:r w:rsidR="00B06A83" w:rsidRPr="00FF3B1B">
        <w:rPr>
          <w:b/>
          <w:bCs/>
          <w:sz w:val="22"/>
          <w:szCs w:val="22"/>
          <w:lang w:eastAsia="en-GB"/>
        </w:rPr>
        <w:t>LEGAL AND PLANNING POLICY CONTEXT</w:t>
      </w:r>
    </w:p>
    <w:p w:rsidR="00B06A83" w:rsidRPr="00FF3B1B" w:rsidRDefault="00B06A83" w:rsidP="00B06A83">
      <w:pPr>
        <w:ind w:left="720"/>
        <w:jc w:val="both"/>
        <w:rPr>
          <w:bCs/>
          <w:sz w:val="22"/>
          <w:szCs w:val="22"/>
          <w:lang w:eastAsia="en-GB"/>
        </w:rPr>
      </w:pPr>
    </w:p>
    <w:p w:rsidR="00B06A83" w:rsidRPr="00FF3B1B" w:rsidRDefault="00B06A83" w:rsidP="00902ED6">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B06A83" w:rsidRPr="00FF3B1B" w:rsidRDefault="00B06A83" w:rsidP="00B06A83">
      <w:pPr>
        <w:jc w:val="both"/>
        <w:rPr>
          <w:b/>
          <w:bCs/>
          <w:sz w:val="22"/>
          <w:szCs w:val="22"/>
          <w:lang w:eastAsia="en-GB"/>
        </w:rPr>
      </w:pPr>
    </w:p>
    <w:p w:rsidR="00B06A83" w:rsidRPr="00FF3B1B" w:rsidRDefault="00B06A83" w:rsidP="00902ED6">
      <w:pPr>
        <w:ind w:left="720"/>
        <w:jc w:val="both"/>
        <w:rPr>
          <w:b/>
          <w:bCs/>
          <w:sz w:val="22"/>
          <w:szCs w:val="22"/>
          <w:u w:val="single"/>
          <w:lang w:eastAsia="en-GB"/>
        </w:rPr>
      </w:pPr>
      <w:r w:rsidRPr="00FF3B1B">
        <w:rPr>
          <w:b/>
          <w:bCs/>
          <w:sz w:val="22"/>
          <w:szCs w:val="22"/>
          <w:u w:val="single"/>
          <w:lang w:eastAsia="en-GB"/>
        </w:rPr>
        <w:t>National Policy</w:t>
      </w:r>
    </w:p>
    <w:p w:rsidR="00B06A83" w:rsidRPr="00FF3B1B" w:rsidRDefault="00B06A83" w:rsidP="00902ED6">
      <w:pPr>
        <w:ind w:left="720"/>
        <w:jc w:val="both"/>
        <w:rPr>
          <w:bCs/>
          <w:sz w:val="22"/>
          <w:szCs w:val="22"/>
          <w:lang w:eastAsia="en-GB"/>
        </w:rPr>
      </w:pPr>
      <w:r w:rsidRPr="00FF3B1B">
        <w:rPr>
          <w:bCs/>
          <w:sz w:val="22"/>
          <w:szCs w:val="22"/>
          <w:lang w:eastAsia="en-GB"/>
        </w:rPr>
        <w:t xml:space="preserve">National Planning Policy Framework </w:t>
      </w:r>
    </w:p>
    <w:p w:rsidR="00B06A83" w:rsidRPr="00FF3B1B" w:rsidRDefault="00B06A83" w:rsidP="00902ED6">
      <w:pPr>
        <w:ind w:left="720"/>
        <w:jc w:val="both"/>
        <w:rPr>
          <w:bCs/>
          <w:sz w:val="22"/>
          <w:szCs w:val="22"/>
          <w:lang w:eastAsia="en-GB"/>
        </w:rPr>
      </w:pPr>
      <w:r w:rsidRPr="00FF3B1B">
        <w:rPr>
          <w:bCs/>
          <w:sz w:val="22"/>
          <w:szCs w:val="22"/>
          <w:lang w:eastAsia="en-GB"/>
        </w:rPr>
        <w:lastRenderedPageBreak/>
        <w:t>National Planning Practice Guidance</w:t>
      </w:r>
    </w:p>
    <w:p w:rsidR="00B06A83" w:rsidRDefault="00B06A83" w:rsidP="00902ED6">
      <w:pPr>
        <w:ind w:left="720"/>
        <w:jc w:val="both"/>
        <w:rPr>
          <w:bCs/>
          <w:sz w:val="22"/>
          <w:szCs w:val="22"/>
          <w:lang w:eastAsia="en-GB"/>
        </w:rPr>
      </w:pPr>
    </w:p>
    <w:p w:rsidR="00B06A83" w:rsidRPr="00FF3B1B" w:rsidRDefault="00B06A83" w:rsidP="00902ED6">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B06A83" w:rsidRPr="00917B3D" w:rsidRDefault="00B06A83" w:rsidP="00902ED6">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B06A83" w:rsidRPr="00917B3D" w:rsidRDefault="00B06A83" w:rsidP="00902ED6">
      <w:pPr>
        <w:ind w:left="720"/>
        <w:jc w:val="both"/>
        <w:rPr>
          <w:bCs/>
          <w:sz w:val="22"/>
          <w:szCs w:val="22"/>
        </w:rPr>
      </w:pPr>
      <w:r>
        <w:rPr>
          <w:bCs/>
          <w:sz w:val="22"/>
          <w:szCs w:val="22"/>
        </w:rPr>
        <w:t>CC8</w:t>
      </w:r>
      <w:r w:rsidRPr="00917B3D">
        <w:rPr>
          <w:bCs/>
          <w:sz w:val="22"/>
          <w:szCs w:val="22"/>
        </w:rPr>
        <w:t xml:space="preserve"> (Safeguarding Amenity) </w:t>
      </w:r>
    </w:p>
    <w:p w:rsidR="00B06A83" w:rsidRPr="00917B3D" w:rsidRDefault="00B06A83" w:rsidP="00902ED6">
      <w:pPr>
        <w:ind w:left="720"/>
        <w:jc w:val="both"/>
        <w:rPr>
          <w:bCs/>
          <w:sz w:val="22"/>
          <w:szCs w:val="22"/>
        </w:rPr>
      </w:pPr>
      <w:r>
        <w:rPr>
          <w:bCs/>
          <w:sz w:val="22"/>
          <w:szCs w:val="22"/>
        </w:rPr>
        <w:t>H9</w:t>
      </w:r>
      <w:r w:rsidRPr="00917B3D">
        <w:rPr>
          <w:bCs/>
          <w:sz w:val="22"/>
          <w:szCs w:val="22"/>
        </w:rPr>
        <w:t xml:space="preserve"> (House Extensions and Ancillary Accommodation)</w:t>
      </w:r>
    </w:p>
    <w:p w:rsidR="00B23526" w:rsidRPr="00917B3D" w:rsidRDefault="00B23526" w:rsidP="00B23526">
      <w:pPr>
        <w:ind w:left="720"/>
        <w:jc w:val="both"/>
        <w:rPr>
          <w:bCs/>
          <w:sz w:val="22"/>
          <w:szCs w:val="22"/>
        </w:rPr>
      </w:pPr>
      <w:r>
        <w:rPr>
          <w:bCs/>
          <w:sz w:val="22"/>
          <w:szCs w:val="22"/>
        </w:rPr>
        <w:t>H10</w:t>
      </w:r>
      <w:r w:rsidRPr="00917B3D">
        <w:rPr>
          <w:bCs/>
          <w:sz w:val="22"/>
          <w:szCs w:val="22"/>
        </w:rPr>
        <w:t xml:space="preserve"> (</w:t>
      </w:r>
      <w:r>
        <w:rPr>
          <w:bCs/>
          <w:sz w:val="22"/>
          <w:szCs w:val="22"/>
        </w:rPr>
        <w:t>Private and Communal Outdoor Space</w:t>
      </w:r>
      <w:r w:rsidRPr="00917B3D">
        <w:rPr>
          <w:bCs/>
          <w:sz w:val="22"/>
          <w:szCs w:val="22"/>
        </w:rPr>
        <w:t>)</w:t>
      </w:r>
    </w:p>
    <w:p w:rsidR="00B06A83" w:rsidRPr="004E2E1A" w:rsidRDefault="00B06A83" w:rsidP="00902ED6">
      <w:pPr>
        <w:ind w:left="720"/>
        <w:jc w:val="both"/>
        <w:rPr>
          <w:sz w:val="22"/>
          <w:szCs w:val="22"/>
          <w:lang w:eastAsia="en-GB"/>
        </w:rPr>
      </w:pPr>
      <w:r w:rsidRPr="004E2E1A">
        <w:rPr>
          <w:sz w:val="22"/>
          <w:szCs w:val="22"/>
          <w:lang w:eastAsia="en-GB"/>
        </w:rPr>
        <w:t>TR3 (Access Traffic and Highway-related Matters)</w:t>
      </w:r>
    </w:p>
    <w:p w:rsidR="00B06A83" w:rsidRPr="00026BE6" w:rsidRDefault="00B06A83" w:rsidP="00902ED6">
      <w:pPr>
        <w:ind w:left="720"/>
        <w:jc w:val="both"/>
        <w:rPr>
          <w:sz w:val="22"/>
          <w:szCs w:val="22"/>
          <w:lang w:eastAsia="en-GB"/>
        </w:rPr>
      </w:pPr>
      <w:r w:rsidRPr="004E2E1A">
        <w:rPr>
          <w:sz w:val="22"/>
          <w:szCs w:val="22"/>
          <w:lang w:eastAsia="en-GB"/>
        </w:rPr>
        <w:t>TR5 (Car and Cycle Parking)</w:t>
      </w:r>
    </w:p>
    <w:p w:rsidR="00B06A83" w:rsidRPr="00FF3B1B" w:rsidRDefault="00B06A83" w:rsidP="00902ED6">
      <w:pPr>
        <w:ind w:left="720"/>
        <w:jc w:val="both"/>
        <w:rPr>
          <w:bCs/>
          <w:sz w:val="22"/>
          <w:szCs w:val="22"/>
          <w:lang w:eastAsia="en-GB"/>
        </w:rPr>
      </w:pPr>
    </w:p>
    <w:p w:rsidR="00B06A83" w:rsidRPr="00FF3B1B" w:rsidRDefault="00B06A83" w:rsidP="00D37F47">
      <w:pPr>
        <w:ind w:left="720"/>
        <w:jc w:val="both"/>
        <w:rPr>
          <w:b/>
          <w:bCs/>
          <w:sz w:val="22"/>
          <w:szCs w:val="22"/>
          <w:u w:val="single"/>
          <w:lang w:eastAsia="en-GB"/>
        </w:rPr>
      </w:pPr>
      <w:r w:rsidRPr="00FF3B1B">
        <w:rPr>
          <w:b/>
          <w:bCs/>
          <w:sz w:val="22"/>
          <w:szCs w:val="22"/>
          <w:u w:val="single"/>
          <w:lang w:eastAsia="en-GB"/>
        </w:rPr>
        <w:t>SPD</w:t>
      </w:r>
    </w:p>
    <w:p w:rsidR="00B06A83" w:rsidRPr="004E2E1A" w:rsidRDefault="00B06A83" w:rsidP="00D37F47">
      <w:pPr>
        <w:overflowPunct/>
        <w:autoSpaceDE/>
        <w:autoSpaceDN/>
        <w:adjustRightInd/>
        <w:ind w:left="720"/>
        <w:textAlignment w:val="auto"/>
        <w:rPr>
          <w:sz w:val="22"/>
          <w:szCs w:val="22"/>
        </w:rPr>
      </w:pPr>
      <w:r w:rsidRPr="004E2E1A">
        <w:rPr>
          <w:sz w:val="22"/>
          <w:szCs w:val="22"/>
        </w:rPr>
        <w:t>Desi</w:t>
      </w:r>
      <w:r w:rsidR="0055180A">
        <w:rPr>
          <w:sz w:val="22"/>
          <w:szCs w:val="22"/>
        </w:rPr>
        <w:t>gn Guide to House Extensions 2021</w:t>
      </w:r>
    </w:p>
    <w:p w:rsidR="00B06A83" w:rsidRPr="00FA05A6" w:rsidRDefault="00B06A83" w:rsidP="00D37F47">
      <w:pPr>
        <w:ind w:left="720"/>
        <w:jc w:val="both"/>
        <w:rPr>
          <w:sz w:val="22"/>
          <w:szCs w:val="22"/>
        </w:rPr>
      </w:pPr>
      <w:r w:rsidRPr="004E2E1A">
        <w:rPr>
          <w:sz w:val="22"/>
          <w:szCs w:val="22"/>
        </w:rPr>
        <w:t>Revised Parking Standards and Design SPD 2011</w:t>
      </w:r>
    </w:p>
    <w:p w:rsidR="00B06A83" w:rsidRPr="00FF3B1B" w:rsidRDefault="00B06A83" w:rsidP="00B06A83">
      <w:pPr>
        <w:overflowPunct/>
        <w:autoSpaceDE/>
        <w:autoSpaceDN/>
        <w:adjustRightInd/>
        <w:ind w:left="720"/>
        <w:textAlignment w:val="auto"/>
        <w:rPr>
          <w:sz w:val="22"/>
          <w:szCs w:val="22"/>
        </w:rPr>
      </w:pPr>
    </w:p>
    <w:p w:rsidR="00B06A83" w:rsidRPr="00FF3B1B" w:rsidRDefault="00B06A83">
      <w:pPr>
        <w:jc w:val="both"/>
        <w:rPr>
          <w:b/>
          <w:bCs/>
          <w:sz w:val="22"/>
          <w:szCs w:val="22"/>
        </w:rPr>
      </w:pPr>
    </w:p>
    <w:p w:rsidR="00B06A83" w:rsidRPr="00FF3B1B" w:rsidRDefault="00B06A83">
      <w:pPr>
        <w:jc w:val="both"/>
        <w:rPr>
          <w:b/>
          <w:bCs/>
          <w:sz w:val="22"/>
          <w:szCs w:val="22"/>
        </w:rPr>
      </w:pPr>
      <w:r w:rsidRPr="00FF3B1B">
        <w:rPr>
          <w:b/>
          <w:bCs/>
          <w:sz w:val="22"/>
          <w:szCs w:val="22"/>
        </w:rPr>
        <w:t>6.</w:t>
      </w:r>
      <w:r w:rsidRPr="00FF3B1B">
        <w:rPr>
          <w:b/>
          <w:bCs/>
          <w:sz w:val="22"/>
          <w:szCs w:val="22"/>
        </w:rPr>
        <w:tab/>
        <w:t>APPRAISAL</w:t>
      </w:r>
    </w:p>
    <w:p w:rsidR="00B06A83" w:rsidRPr="006D3285" w:rsidRDefault="00B06A83" w:rsidP="00D37F47">
      <w:pPr>
        <w:ind w:left="720"/>
        <w:jc w:val="both"/>
        <w:rPr>
          <w:b/>
          <w:bCs/>
          <w:sz w:val="22"/>
          <w:szCs w:val="22"/>
          <w:u w:val="single"/>
          <w:lang w:eastAsia="en-GB"/>
        </w:rPr>
      </w:pPr>
      <w:r w:rsidRPr="006D3285">
        <w:rPr>
          <w:b/>
          <w:bCs/>
          <w:sz w:val="22"/>
          <w:szCs w:val="22"/>
          <w:u w:val="single"/>
          <w:lang w:eastAsia="en-GB"/>
        </w:rPr>
        <w:t>Character and Appearance</w:t>
      </w:r>
    </w:p>
    <w:p w:rsidR="00B06A83" w:rsidRPr="00FA05A6" w:rsidRDefault="00B06A83" w:rsidP="00D37F47">
      <w:pPr>
        <w:ind w:left="720"/>
        <w:jc w:val="both"/>
        <w:rPr>
          <w:sz w:val="22"/>
          <w:szCs w:val="22"/>
          <w:lang w:eastAsia="en-GB"/>
        </w:rPr>
      </w:pPr>
    </w:p>
    <w:p w:rsidR="00B06A83" w:rsidRDefault="00B06A83" w:rsidP="00D37F47">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4E2E1A" w:rsidRDefault="004E2E1A" w:rsidP="00D37F47">
      <w:pPr>
        <w:overflowPunct/>
        <w:adjustRightInd/>
        <w:ind w:left="720"/>
        <w:contextualSpacing/>
        <w:jc w:val="both"/>
        <w:textAlignment w:val="auto"/>
        <w:rPr>
          <w:sz w:val="22"/>
          <w:szCs w:val="22"/>
          <w:lang w:eastAsia="en-GB"/>
        </w:rPr>
      </w:pPr>
    </w:p>
    <w:p w:rsidR="004E2E1A" w:rsidRDefault="004E2E1A" w:rsidP="00D37F47">
      <w:pPr>
        <w:overflowPunct/>
        <w:adjustRightInd/>
        <w:ind w:left="720"/>
        <w:contextualSpacing/>
        <w:jc w:val="both"/>
        <w:textAlignment w:val="auto"/>
        <w:rPr>
          <w:sz w:val="22"/>
          <w:szCs w:val="22"/>
          <w:lang w:eastAsia="en-GB"/>
        </w:rPr>
      </w:pPr>
      <w:r>
        <w:rPr>
          <w:sz w:val="22"/>
          <w:szCs w:val="22"/>
          <w:lang w:eastAsia="en-GB"/>
        </w:rPr>
        <w:t>The proposal presents a ground floor extension of the existing dwelling approximately 4m to the rear, pulling the existing side extension by the same depth to the rear, to create a wrap-around extension to the left and rear of the dwelling. All aspects of the extension would be covered by a flat roof, with a skylight installed in the centre of the rear extension.</w:t>
      </w:r>
    </w:p>
    <w:p w:rsidR="004E2E1A" w:rsidRDefault="004E2E1A" w:rsidP="00D37F47">
      <w:pPr>
        <w:overflowPunct/>
        <w:adjustRightInd/>
        <w:ind w:left="720"/>
        <w:contextualSpacing/>
        <w:jc w:val="both"/>
        <w:textAlignment w:val="auto"/>
        <w:rPr>
          <w:sz w:val="22"/>
          <w:szCs w:val="22"/>
          <w:lang w:eastAsia="en-GB"/>
        </w:rPr>
      </w:pPr>
    </w:p>
    <w:p w:rsidR="004E2E1A" w:rsidRDefault="004E2E1A" w:rsidP="00D37F47">
      <w:pPr>
        <w:overflowPunct/>
        <w:adjustRightInd/>
        <w:ind w:left="720"/>
        <w:contextualSpacing/>
        <w:jc w:val="both"/>
        <w:textAlignment w:val="auto"/>
        <w:rPr>
          <w:sz w:val="22"/>
          <w:szCs w:val="22"/>
          <w:lang w:eastAsia="en-GB"/>
        </w:rPr>
      </w:pPr>
      <w:r>
        <w:rPr>
          <w:sz w:val="22"/>
          <w:szCs w:val="22"/>
          <w:lang w:eastAsia="en-GB"/>
        </w:rPr>
        <w:t>The extension to the side and rear would be of a maximum height of 2.9m and all external walls would be finished with materials to match existing materials.</w:t>
      </w:r>
    </w:p>
    <w:p w:rsidR="00C452B2" w:rsidRDefault="00C452B2" w:rsidP="00D37F47">
      <w:pPr>
        <w:overflowPunct/>
        <w:adjustRightInd/>
        <w:ind w:left="720"/>
        <w:contextualSpacing/>
        <w:jc w:val="both"/>
        <w:textAlignment w:val="auto"/>
        <w:rPr>
          <w:sz w:val="22"/>
          <w:szCs w:val="22"/>
          <w:lang w:eastAsia="en-GB"/>
        </w:rPr>
      </w:pPr>
    </w:p>
    <w:p w:rsidR="00B06A83" w:rsidRPr="00E97572" w:rsidRDefault="00C452B2" w:rsidP="00E97572">
      <w:pPr>
        <w:overflowPunct/>
        <w:adjustRightInd/>
        <w:ind w:left="720"/>
        <w:contextualSpacing/>
        <w:jc w:val="both"/>
        <w:textAlignment w:val="auto"/>
        <w:rPr>
          <w:sz w:val="22"/>
          <w:szCs w:val="22"/>
          <w:lang w:eastAsia="en-GB"/>
        </w:rPr>
      </w:pPr>
      <w:r>
        <w:rPr>
          <w:sz w:val="22"/>
          <w:szCs w:val="22"/>
          <w:lang w:eastAsia="en-GB"/>
        </w:rPr>
        <w:t xml:space="preserve">It is considered that the alterations presented by this proposal, including the internal alterations would not alter the appearance and character of the dwelling or the general appearance and character of the street scene in terms of scale, location, materials and design. </w:t>
      </w:r>
      <w:r w:rsidR="00E97572">
        <w:rPr>
          <w:sz w:val="22"/>
          <w:szCs w:val="22"/>
          <w:lang w:eastAsia="en-GB"/>
        </w:rPr>
        <w:t>The building line to the front would also not be moved forward as a result of the extensions proposed.</w:t>
      </w:r>
    </w:p>
    <w:p w:rsidR="00B06A83" w:rsidRPr="00FA05A6" w:rsidRDefault="00B06A83" w:rsidP="00B06A83">
      <w:pPr>
        <w:overflowPunct/>
        <w:adjustRightInd/>
        <w:contextualSpacing/>
        <w:textAlignment w:val="auto"/>
        <w:rPr>
          <w:sz w:val="22"/>
          <w:szCs w:val="22"/>
          <w:u w:val="single"/>
          <w:lang w:eastAsia="en-GB"/>
        </w:rPr>
      </w:pPr>
    </w:p>
    <w:p w:rsidR="00B06A83" w:rsidRPr="00FA05A6" w:rsidRDefault="00B06A83" w:rsidP="00E97572">
      <w:pPr>
        <w:ind w:left="720"/>
        <w:rPr>
          <w:b/>
          <w:bCs/>
          <w:sz w:val="22"/>
          <w:szCs w:val="22"/>
          <w:u w:val="single"/>
          <w:lang w:eastAsia="en-GB"/>
        </w:rPr>
      </w:pPr>
      <w:r w:rsidRPr="006D3285">
        <w:rPr>
          <w:b/>
          <w:bCs/>
          <w:sz w:val="22"/>
          <w:szCs w:val="22"/>
          <w:u w:val="single"/>
          <w:lang w:eastAsia="en-GB"/>
        </w:rPr>
        <w:t>Residential Amenity</w:t>
      </w:r>
    </w:p>
    <w:p w:rsidR="00B06A83" w:rsidRPr="00FA05A6" w:rsidRDefault="00B06A83" w:rsidP="00E97572">
      <w:pPr>
        <w:ind w:left="720"/>
        <w:rPr>
          <w:b/>
          <w:bCs/>
          <w:sz w:val="22"/>
          <w:szCs w:val="22"/>
          <w:u w:val="single"/>
          <w:lang w:eastAsia="en-GB"/>
        </w:rPr>
      </w:pPr>
    </w:p>
    <w:p w:rsidR="00B06A83" w:rsidRDefault="00B06A83" w:rsidP="00E97572">
      <w:pPr>
        <w:overflowPunct/>
        <w:adjustRightInd/>
        <w:ind w:left="72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olicy CC8 states an extension to a house will be acceptable where it will not cause a significant detrimental impact to the living environment of existing or new residential properties.</w:t>
      </w:r>
    </w:p>
    <w:p w:rsidR="00E97572" w:rsidRDefault="00E97572" w:rsidP="00E97572">
      <w:pPr>
        <w:overflowPunct/>
        <w:adjustRightInd/>
        <w:ind w:left="720"/>
        <w:jc w:val="both"/>
        <w:textAlignment w:val="auto"/>
        <w:rPr>
          <w:color w:val="000000"/>
          <w:sz w:val="22"/>
          <w:szCs w:val="22"/>
          <w:lang w:eastAsia="en-GB"/>
        </w:rPr>
      </w:pPr>
    </w:p>
    <w:p w:rsidR="00E97572" w:rsidRDefault="00E97572" w:rsidP="00E97572">
      <w:pPr>
        <w:overflowPunct/>
        <w:adjustRightInd/>
        <w:ind w:left="720"/>
        <w:jc w:val="both"/>
        <w:textAlignment w:val="auto"/>
        <w:rPr>
          <w:color w:val="000000"/>
          <w:sz w:val="22"/>
          <w:szCs w:val="22"/>
          <w:lang w:eastAsia="en-GB"/>
        </w:rPr>
      </w:pPr>
      <w:r>
        <w:rPr>
          <w:color w:val="000000"/>
          <w:sz w:val="22"/>
          <w:szCs w:val="22"/>
          <w:lang w:eastAsia="en-GB"/>
        </w:rPr>
        <w:t xml:space="preserve">The height of the extensions proposed are limited to approximately 2.9m and are covered by a flat roof. There are no side windows proposed and the angle of orientation of the proposed site in relation </w:t>
      </w:r>
      <w:r w:rsidR="004D129B">
        <w:rPr>
          <w:color w:val="000000"/>
          <w:sz w:val="22"/>
          <w:szCs w:val="22"/>
          <w:lang w:eastAsia="en-GB"/>
        </w:rPr>
        <w:t>to</w:t>
      </w:r>
      <w:r>
        <w:rPr>
          <w:color w:val="000000"/>
          <w:sz w:val="22"/>
          <w:szCs w:val="22"/>
          <w:lang w:eastAsia="en-GB"/>
        </w:rPr>
        <w:t xml:space="preserve"> the adjoining property mean that there would not be any negative amenity impacts caused by the extensions on the adjoining properties.</w:t>
      </w:r>
    </w:p>
    <w:p w:rsidR="00E97572" w:rsidRDefault="00E97572" w:rsidP="00E97572">
      <w:pPr>
        <w:overflowPunct/>
        <w:adjustRightInd/>
        <w:ind w:left="720"/>
        <w:jc w:val="both"/>
        <w:textAlignment w:val="auto"/>
        <w:rPr>
          <w:color w:val="000000"/>
          <w:sz w:val="22"/>
          <w:szCs w:val="22"/>
          <w:lang w:eastAsia="en-GB"/>
        </w:rPr>
      </w:pPr>
    </w:p>
    <w:p w:rsidR="00B06A83" w:rsidRPr="00E97572" w:rsidRDefault="00E97572" w:rsidP="00E97572">
      <w:pPr>
        <w:overflowPunct/>
        <w:adjustRightInd/>
        <w:ind w:left="720"/>
        <w:jc w:val="both"/>
        <w:textAlignment w:val="auto"/>
        <w:rPr>
          <w:color w:val="000000"/>
          <w:sz w:val="22"/>
          <w:szCs w:val="22"/>
          <w:lang w:eastAsia="en-GB"/>
        </w:rPr>
      </w:pPr>
      <w:r>
        <w:rPr>
          <w:color w:val="000000"/>
          <w:sz w:val="22"/>
          <w:szCs w:val="22"/>
          <w:lang w:eastAsia="en-GB"/>
        </w:rPr>
        <w:t>No 61 has an existing rear extension which also serves to limit any cumulative effect of the proposed extension o</w:t>
      </w:r>
      <w:r w:rsidR="004D129B">
        <w:rPr>
          <w:color w:val="000000"/>
          <w:sz w:val="22"/>
          <w:szCs w:val="22"/>
          <w:lang w:eastAsia="en-GB"/>
        </w:rPr>
        <w:t>n the amenity of that property.  The application p</w:t>
      </w:r>
      <w:r>
        <w:rPr>
          <w:color w:val="000000"/>
          <w:sz w:val="22"/>
          <w:szCs w:val="22"/>
          <w:lang w:eastAsia="en-GB"/>
        </w:rPr>
        <w:t xml:space="preserve">roperty has a </w:t>
      </w:r>
      <w:r>
        <w:rPr>
          <w:color w:val="000000"/>
          <w:sz w:val="22"/>
          <w:szCs w:val="22"/>
          <w:lang w:eastAsia="en-GB"/>
        </w:rPr>
        <w:lastRenderedPageBreak/>
        <w:t>considerabl</w:t>
      </w:r>
      <w:r w:rsidR="004D129B">
        <w:rPr>
          <w:color w:val="000000"/>
          <w:sz w:val="22"/>
          <w:szCs w:val="22"/>
          <w:lang w:eastAsia="en-GB"/>
        </w:rPr>
        <w:t>e</w:t>
      </w:r>
      <w:r>
        <w:rPr>
          <w:color w:val="000000"/>
          <w:sz w:val="22"/>
          <w:szCs w:val="22"/>
          <w:lang w:eastAsia="en-GB"/>
        </w:rPr>
        <w:t xml:space="preserve"> sized rear garden and there would not be such encroachment on this garden space that would have a negative impact on the amenity of the users of No 59.</w:t>
      </w:r>
    </w:p>
    <w:p w:rsidR="00B06A83" w:rsidRPr="00356D64" w:rsidRDefault="00B06A83" w:rsidP="00B06A83">
      <w:pPr>
        <w:jc w:val="both"/>
        <w:rPr>
          <w:color w:val="000000"/>
          <w:sz w:val="22"/>
          <w:szCs w:val="22"/>
          <w:lang w:eastAsia="en-GB"/>
        </w:rPr>
      </w:pPr>
    </w:p>
    <w:p w:rsidR="00B06A83" w:rsidRDefault="00B06A83" w:rsidP="00B06A83">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B06A83" w:rsidRPr="00FA05A6" w:rsidRDefault="00B06A83" w:rsidP="00E97572">
      <w:pPr>
        <w:ind w:left="720"/>
        <w:jc w:val="both"/>
        <w:rPr>
          <w:bCs/>
          <w:sz w:val="22"/>
          <w:szCs w:val="22"/>
          <w:lang w:eastAsia="en-GB"/>
        </w:rPr>
      </w:pPr>
      <w:r w:rsidRPr="00E97572">
        <w:rPr>
          <w:bCs/>
          <w:sz w:val="22"/>
          <w:szCs w:val="22"/>
          <w:lang w:eastAsia="en-GB"/>
        </w:rPr>
        <w:t>The proposed development has been assessed as set out above and is considered to be acceptable on that basis, subject to the following conditions.</w:t>
      </w:r>
    </w:p>
    <w:p w:rsidR="00B06A83" w:rsidRPr="00FA05A6" w:rsidRDefault="00B06A83" w:rsidP="00B06A83">
      <w:pPr>
        <w:jc w:val="both"/>
        <w:rPr>
          <w:rFonts w:cs="Trebuchet MS"/>
          <w:sz w:val="22"/>
          <w:szCs w:val="22"/>
          <w:u w:val="single"/>
          <w:lang w:eastAsia="en-GB"/>
        </w:rPr>
      </w:pPr>
    </w:p>
    <w:p w:rsidR="00B06A83" w:rsidRPr="00E97572" w:rsidRDefault="00B06A83" w:rsidP="00E97572">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r>
      <w:r w:rsidR="00E97572" w:rsidRPr="00FF3B1B">
        <w:rPr>
          <w:rFonts w:ascii="Trebuchet MS" w:hAnsi="Trebuchet MS"/>
          <w:b/>
          <w:bCs/>
          <w:sz w:val="22"/>
          <w:szCs w:val="22"/>
        </w:rPr>
        <w:t>R</w:t>
      </w:r>
      <w:r w:rsidR="00E97572">
        <w:rPr>
          <w:rFonts w:ascii="Trebuchet MS" w:hAnsi="Trebuchet MS"/>
          <w:b/>
          <w:bCs/>
          <w:sz w:val="22"/>
          <w:szCs w:val="22"/>
        </w:rPr>
        <w:t xml:space="preserve">ECOMMENDATION: </w:t>
      </w:r>
      <w:r w:rsidR="00E97572" w:rsidRPr="00E97572">
        <w:rPr>
          <w:rFonts w:ascii="Trebuchet MS" w:hAnsi="Trebuchet MS"/>
          <w:bCs/>
          <w:sz w:val="22"/>
          <w:szCs w:val="22"/>
        </w:rPr>
        <w:t>Grant</w:t>
      </w:r>
    </w:p>
    <w:p w:rsidR="00B06A83" w:rsidRDefault="00B06A83" w:rsidP="00E97572">
      <w:pPr>
        <w:ind w:left="731" w:hanging="11"/>
        <w:jc w:val="both"/>
        <w:rPr>
          <w:rFonts w:cs="Trebuchet MS"/>
          <w:sz w:val="22"/>
          <w:szCs w:val="22"/>
          <w:lang w:eastAsia="en-GB"/>
        </w:rPr>
      </w:pPr>
      <w:r w:rsidRPr="006511AF">
        <w:rPr>
          <w:rFonts w:cs="Trebuchet MS"/>
          <w:sz w:val="22"/>
          <w:szCs w:val="22"/>
          <w:lang w:eastAsia="en-GB"/>
        </w:rPr>
        <w:t>Recommended Conditions:</w:t>
      </w:r>
    </w:p>
    <w:p w:rsidR="00E97572" w:rsidRDefault="00E97572" w:rsidP="00E97572">
      <w:pPr>
        <w:ind w:left="731" w:hanging="11"/>
        <w:jc w:val="both"/>
        <w:rPr>
          <w:rFonts w:cs="Trebuchet MS"/>
          <w:sz w:val="22"/>
          <w:szCs w:val="22"/>
          <w:lang w:eastAsia="en-GB"/>
        </w:rPr>
      </w:pPr>
      <w:r>
        <w:rPr>
          <w:rFonts w:cs="Trebuchet MS"/>
          <w:sz w:val="22"/>
          <w:szCs w:val="22"/>
          <w:lang w:eastAsia="en-GB"/>
        </w:rPr>
        <w:t>Approved Plans</w:t>
      </w:r>
    </w:p>
    <w:p w:rsidR="00E97572" w:rsidRDefault="00E97572" w:rsidP="00E97572">
      <w:pPr>
        <w:ind w:left="731" w:hanging="11"/>
        <w:jc w:val="both"/>
        <w:rPr>
          <w:rFonts w:cs="Trebuchet MS"/>
          <w:sz w:val="22"/>
          <w:szCs w:val="22"/>
          <w:lang w:eastAsia="en-GB"/>
        </w:rPr>
      </w:pPr>
      <w:r>
        <w:rPr>
          <w:rFonts w:cs="Trebuchet MS"/>
          <w:sz w:val="22"/>
          <w:szCs w:val="22"/>
          <w:lang w:eastAsia="en-GB"/>
        </w:rPr>
        <w:t>Time Limit Standards</w:t>
      </w:r>
    </w:p>
    <w:p w:rsidR="00E97572" w:rsidRPr="006511AF" w:rsidRDefault="00E97572" w:rsidP="00E97572">
      <w:pPr>
        <w:ind w:left="731" w:hanging="11"/>
        <w:jc w:val="both"/>
        <w:rPr>
          <w:rFonts w:cs="Trebuchet MS"/>
          <w:sz w:val="22"/>
          <w:szCs w:val="22"/>
          <w:lang w:eastAsia="en-GB"/>
        </w:rPr>
      </w:pPr>
      <w:r>
        <w:rPr>
          <w:rFonts w:cs="Trebuchet MS"/>
          <w:sz w:val="22"/>
          <w:szCs w:val="22"/>
          <w:lang w:eastAsia="en-GB"/>
        </w:rPr>
        <w:t>Materials to Match Existing</w:t>
      </w:r>
    </w:p>
    <w:sectPr w:rsidR="00E97572" w:rsidRPr="006511AF" w:rsidSect="00B06A83">
      <w:footerReference w:type="default" r:id="rId14"/>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B4D" w:rsidRDefault="00042B4D">
      <w:r>
        <w:separator/>
      </w:r>
    </w:p>
  </w:endnote>
  <w:endnote w:type="continuationSeparator" w:id="0">
    <w:p w:rsidR="00042B4D" w:rsidRDefault="00042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86F" w:rsidRDefault="00F2786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B4D" w:rsidRDefault="00042B4D">
      <w:r>
        <w:separator/>
      </w:r>
    </w:p>
  </w:footnote>
  <w:footnote w:type="continuationSeparator" w:id="0">
    <w:p w:rsidR="00042B4D" w:rsidRDefault="00042B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1"/>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2"/>
  </w:num>
  <w:num w:numId="33">
    <w:abstractNumId w:val="20"/>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42B4D"/>
    <w:rsid w:val="00402166"/>
    <w:rsid w:val="004D129B"/>
    <w:rsid w:val="004E1F9F"/>
    <w:rsid w:val="004E2E1A"/>
    <w:rsid w:val="0055180A"/>
    <w:rsid w:val="00592869"/>
    <w:rsid w:val="00902ED6"/>
    <w:rsid w:val="009C2ADA"/>
    <w:rsid w:val="00B06A83"/>
    <w:rsid w:val="00B23526"/>
    <w:rsid w:val="00C452B2"/>
    <w:rsid w:val="00C8562E"/>
    <w:rsid w:val="00D37F47"/>
    <w:rsid w:val="00DC0D44"/>
    <w:rsid w:val="00E97572"/>
    <w:rsid w:val="00F278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5:chartTrackingRefBased/>
  <w15:docId w15:val="{4BA8B66F-FE5B-4254-B687-24FD4C0DB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914</Words>
  <Characters>5210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2024-07-03T07:39:00Z</dcterms:created>
  <dcterms:modified xsi:type="dcterms:W3CDTF">2024-07-03T07:39:00Z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