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2FB" w:rsidRDefault="001068F4" w:rsidP="00C912FB">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C912FB" w:rsidRDefault="00C912FB">
      <w:pPr>
        <w:pStyle w:val="BodyText"/>
        <w:tabs>
          <w:tab w:val="left" w:pos="2552"/>
        </w:tabs>
        <w:ind w:left="2552" w:hanging="2552"/>
        <w:jc w:val="both"/>
        <w:rPr>
          <w:rFonts w:ascii="Trebuchet MS" w:hAnsi="Trebuchet MS"/>
          <w:sz w:val="22"/>
          <w:szCs w:val="22"/>
        </w:rPr>
      </w:pPr>
    </w:p>
    <w:p w:rsidR="00C912FB" w:rsidRPr="00FF3B1B" w:rsidRDefault="00C912FB" w:rsidP="00C912F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C912FB" w:rsidRPr="00FF3B1B" w:rsidRDefault="00C912FB" w:rsidP="00C912FB">
      <w:pPr>
        <w:pStyle w:val="BodyText"/>
        <w:tabs>
          <w:tab w:val="left" w:pos="2552"/>
        </w:tabs>
        <w:ind w:left="3272" w:hanging="2552"/>
        <w:jc w:val="both"/>
        <w:rPr>
          <w:rFonts w:ascii="Trebuchet MS" w:hAnsi="Trebuchet MS"/>
          <w:sz w:val="22"/>
          <w:szCs w:val="22"/>
        </w:rPr>
      </w:pPr>
    </w:p>
    <w:p w:rsidR="00C912FB" w:rsidRPr="00FF3B1B" w:rsidRDefault="00C912FB" w:rsidP="00C912F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rsidR="00C912FB" w:rsidRPr="00FF3B1B" w:rsidRDefault="00C912FB" w:rsidP="00C912F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231805</w:t>
      </w:r>
      <w:r w:rsidRPr="00FF3B1B">
        <w:rPr>
          <w:rFonts w:ascii="Trebuchet MS" w:hAnsi="Trebuchet MS"/>
          <w:b w:val="0"/>
          <w:sz w:val="22"/>
          <w:szCs w:val="22"/>
        </w:rPr>
        <w:t>/</w:t>
      </w:r>
      <w:r w:rsidRPr="00FF3B1B">
        <w:rPr>
          <w:rFonts w:ascii="Trebuchet MS" w:hAnsi="Trebuchet MS"/>
          <w:sz w:val="22"/>
          <w:szCs w:val="22"/>
        </w:rPr>
        <w:t>HOU</w:t>
      </w:r>
    </w:p>
    <w:p w:rsidR="00C912FB" w:rsidRPr="00FF3B1B" w:rsidRDefault="00C912FB" w:rsidP="00C912FB">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82 Northcourt Avenue, Reading, RG2 7HQ</w:t>
      </w:r>
    </w:p>
    <w:p w:rsidR="00C912FB" w:rsidRPr="00FF3B1B" w:rsidRDefault="00C912FB" w:rsidP="00C912FB">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Demolition of existing concrete garage building and construction of a new single storey side extension </w:t>
      </w:r>
    </w:p>
    <w:p w:rsidR="00C912FB" w:rsidRPr="00FF3B1B" w:rsidRDefault="00C912FB" w:rsidP="00C912FB">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C912FB" w:rsidRPr="00FF3B1B" w:rsidRDefault="00C912FB" w:rsidP="00C912F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Rowell</w:t>
      </w:r>
    </w:p>
    <w:p w:rsidR="00C912FB" w:rsidRDefault="00C912FB" w:rsidP="00C912FB">
      <w:pPr>
        <w:pStyle w:val="BodyText"/>
        <w:ind w:left="720"/>
        <w:jc w:val="both"/>
        <w:rPr>
          <w:rFonts w:ascii="Trebuchet MS" w:hAnsi="Trebuchet MS"/>
          <w:sz w:val="22"/>
          <w:szCs w:val="22"/>
        </w:rPr>
      </w:pPr>
      <w:r w:rsidRPr="00FF3B1B">
        <w:rPr>
          <w:rFonts w:ascii="Trebuchet MS" w:hAnsi="Trebuchet MS"/>
          <w:sz w:val="22"/>
          <w:szCs w:val="22"/>
        </w:rPr>
        <w:t>Date received (valid from): 10 January 2024</w:t>
      </w:r>
      <w:r>
        <w:rPr>
          <w:rFonts w:ascii="Trebuchet MS" w:hAnsi="Trebuchet MS"/>
          <w:sz w:val="22"/>
          <w:szCs w:val="22"/>
        </w:rPr>
        <w:t xml:space="preserve">      </w:t>
      </w:r>
    </w:p>
    <w:p w:rsidR="00C912FB" w:rsidRPr="00FF3B1B" w:rsidRDefault="00C912FB" w:rsidP="00C912FB">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6 March</w:t>
      </w:r>
      <w:r w:rsidRPr="00FF3B1B">
        <w:rPr>
          <w:rFonts w:ascii="Trebuchet MS" w:hAnsi="Trebuchet MS" w:cs="Trebuchet MS"/>
          <w:sz w:val="22"/>
          <w:szCs w:val="22"/>
        </w:rPr>
        <w:t xml:space="preserve"> 2024</w:t>
      </w:r>
      <w:r w:rsidRPr="00FF3B1B">
        <w:rPr>
          <w:rFonts w:ascii="Trebuchet MS" w:hAnsi="Trebuchet MS"/>
          <w:sz w:val="22"/>
          <w:szCs w:val="22"/>
        </w:rPr>
        <w:tab/>
      </w:r>
    </w:p>
    <w:p w:rsidR="00C912FB" w:rsidRPr="00FF3B1B" w:rsidRDefault="00C912FB">
      <w:pPr>
        <w:pStyle w:val="BodyText"/>
        <w:tabs>
          <w:tab w:val="left" w:pos="2552"/>
        </w:tabs>
        <w:ind w:left="2552" w:hanging="2552"/>
        <w:jc w:val="both"/>
        <w:rPr>
          <w:rFonts w:ascii="Trebuchet MS" w:hAnsi="Trebuchet MS"/>
          <w:b w:val="0"/>
          <w:sz w:val="22"/>
          <w:szCs w:val="22"/>
        </w:rPr>
      </w:pPr>
    </w:p>
    <w:p w:rsidR="00C912FB" w:rsidRPr="00FF3B1B" w:rsidRDefault="00C912FB">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C912FB" w:rsidRPr="00FF3B1B" w:rsidRDefault="00C912FB">
      <w:pPr>
        <w:jc w:val="both"/>
        <w:rPr>
          <w:sz w:val="22"/>
          <w:szCs w:val="22"/>
        </w:rPr>
      </w:pPr>
    </w:p>
    <w:p w:rsidR="00C912FB" w:rsidRDefault="0075343B" w:rsidP="0075343B">
      <w:pPr>
        <w:pStyle w:val="BodyText"/>
        <w:tabs>
          <w:tab w:val="left" w:pos="2552"/>
        </w:tabs>
        <w:ind w:left="3272" w:hanging="2552"/>
        <w:jc w:val="both"/>
        <w:rPr>
          <w:rFonts w:ascii="Trebuchet MS" w:hAnsi="Trebuchet MS"/>
          <w:b w:val="0"/>
          <w:sz w:val="22"/>
          <w:szCs w:val="22"/>
        </w:rPr>
      </w:pPr>
      <w:r>
        <w:rPr>
          <w:noProof/>
          <w:lang w:eastAsia="en-GB"/>
        </w:rPr>
        <w:t xml:space="preserve">  </w:t>
      </w:r>
      <w:r w:rsidR="001068F4" w:rsidRPr="00122EEB">
        <w:rPr>
          <w:noProof/>
          <w:lang w:eastAsia="en-GB"/>
        </w:rPr>
        <w:drawing>
          <wp:inline distT="0" distB="0" distL="0" distR="0">
            <wp:extent cx="2415540" cy="23723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5540" cy="2372360"/>
                    </a:xfrm>
                    <a:prstGeom prst="rect">
                      <a:avLst/>
                    </a:prstGeom>
                    <a:noFill/>
                    <a:ln>
                      <a:noFill/>
                    </a:ln>
                  </pic:spPr>
                </pic:pic>
              </a:graphicData>
            </a:graphic>
          </wp:inline>
        </w:drawing>
      </w:r>
      <w:r>
        <w:rPr>
          <w:noProof/>
          <w:lang w:eastAsia="en-GB"/>
        </w:rPr>
        <w:t xml:space="preserve">  </w:t>
      </w:r>
      <w:r w:rsidR="001068F4" w:rsidRPr="00122EEB">
        <w:rPr>
          <w:noProof/>
          <w:lang w:eastAsia="en-GB"/>
        </w:rPr>
        <w:drawing>
          <wp:inline distT="0" distB="0" distL="0" distR="0">
            <wp:extent cx="2812415" cy="237236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2415" cy="2372360"/>
                    </a:xfrm>
                    <a:prstGeom prst="rect">
                      <a:avLst/>
                    </a:prstGeom>
                    <a:noFill/>
                    <a:ln>
                      <a:noFill/>
                    </a:ln>
                  </pic:spPr>
                </pic:pic>
              </a:graphicData>
            </a:graphic>
          </wp:inline>
        </w:drawing>
      </w:r>
    </w:p>
    <w:p w:rsidR="00C912FB" w:rsidRPr="00FF3B1B" w:rsidRDefault="00C912FB" w:rsidP="00C912FB">
      <w:pPr>
        <w:ind w:firstLine="720"/>
        <w:rPr>
          <w:sz w:val="22"/>
          <w:szCs w:val="22"/>
        </w:rPr>
      </w:pPr>
    </w:p>
    <w:p w:rsidR="00C912FB" w:rsidRPr="00FF3B1B" w:rsidRDefault="00C912FB">
      <w:pPr>
        <w:jc w:val="both"/>
        <w:rPr>
          <w:b/>
          <w:bCs/>
          <w:sz w:val="22"/>
          <w:szCs w:val="22"/>
        </w:rPr>
      </w:pPr>
    </w:p>
    <w:p w:rsidR="00C912FB" w:rsidRPr="00FF3B1B" w:rsidRDefault="00C912FB">
      <w:pPr>
        <w:jc w:val="both"/>
        <w:rPr>
          <w:b/>
          <w:bCs/>
          <w:sz w:val="22"/>
          <w:szCs w:val="22"/>
        </w:rPr>
      </w:pPr>
      <w:r w:rsidRPr="00FF3B1B">
        <w:rPr>
          <w:b/>
          <w:bCs/>
          <w:sz w:val="22"/>
          <w:szCs w:val="22"/>
        </w:rPr>
        <w:t>2.</w:t>
      </w:r>
      <w:r w:rsidRPr="00FF3B1B">
        <w:rPr>
          <w:b/>
          <w:bCs/>
          <w:sz w:val="22"/>
          <w:szCs w:val="22"/>
        </w:rPr>
        <w:tab/>
        <w:t>PROPOSAL AND SUPPORTING INFORMATION</w:t>
      </w:r>
    </w:p>
    <w:p w:rsidR="0075343B" w:rsidRPr="00FF3B1B" w:rsidRDefault="0075343B" w:rsidP="0075343B">
      <w:pPr>
        <w:ind w:left="720"/>
        <w:rPr>
          <w:sz w:val="22"/>
          <w:szCs w:val="22"/>
        </w:rPr>
      </w:pPr>
      <w:r>
        <w:rPr>
          <w:sz w:val="22"/>
          <w:szCs w:val="22"/>
        </w:rPr>
        <w:t xml:space="preserve">Demolition of existing concrete garage building and construction of a new single storey side extension measuring approximately 7.5m wide and 6m deep, set back 0.6m from the boundary </w:t>
      </w:r>
      <w:r w:rsidR="00D738C0">
        <w:rPr>
          <w:sz w:val="22"/>
          <w:szCs w:val="22"/>
        </w:rPr>
        <w:t>with No 84.</w:t>
      </w:r>
    </w:p>
    <w:p w:rsidR="00C912FB" w:rsidRPr="00FF3B1B" w:rsidRDefault="00C912FB" w:rsidP="0075343B">
      <w:pPr>
        <w:pStyle w:val="BodyText"/>
        <w:jc w:val="both"/>
        <w:rPr>
          <w:rFonts w:ascii="Trebuchet MS" w:hAnsi="Trebuchet MS"/>
          <w:b w:val="0"/>
          <w:sz w:val="22"/>
          <w:szCs w:val="22"/>
        </w:rPr>
      </w:pPr>
    </w:p>
    <w:p w:rsidR="00C912FB" w:rsidRDefault="00C912FB" w:rsidP="00C912FB">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75343B" w:rsidRPr="00FF3B1B" w:rsidRDefault="0075343B" w:rsidP="0075343B">
      <w:pPr>
        <w:pStyle w:val="BodyText"/>
        <w:ind w:left="720"/>
        <w:jc w:val="both"/>
        <w:rPr>
          <w:rFonts w:ascii="Trebuchet MS" w:hAnsi="Trebuchet MS"/>
          <w:b w:val="0"/>
          <w:sz w:val="22"/>
          <w:szCs w:val="22"/>
        </w:rPr>
      </w:pPr>
      <w:r>
        <w:rPr>
          <w:rFonts w:ascii="Trebuchet MS" w:hAnsi="Trebuchet MS"/>
          <w:b w:val="0"/>
          <w:bCs/>
          <w:sz w:val="22"/>
          <w:szCs w:val="22"/>
        </w:rPr>
        <w:t>Drawing No 323-A1-00: Existing Plans + Elevations received 13/12/2023</w:t>
      </w:r>
    </w:p>
    <w:p w:rsidR="00C912FB" w:rsidRDefault="0075343B" w:rsidP="00C912FB">
      <w:pPr>
        <w:pStyle w:val="BodyText"/>
        <w:ind w:left="720"/>
        <w:jc w:val="both"/>
        <w:rPr>
          <w:rFonts w:ascii="Trebuchet MS" w:hAnsi="Trebuchet MS"/>
          <w:b w:val="0"/>
          <w:bCs/>
          <w:sz w:val="22"/>
          <w:szCs w:val="22"/>
        </w:rPr>
      </w:pPr>
      <w:r>
        <w:rPr>
          <w:rFonts w:ascii="Trebuchet MS" w:hAnsi="Trebuchet MS"/>
          <w:b w:val="0"/>
          <w:bCs/>
          <w:sz w:val="22"/>
          <w:szCs w:val="22"/>
        </w:rPr>
        <w:t>Drawing No 323-A1-06: Proposed Plans + Elevations received 25/01/2024</w:t>
      </w:r>
    </w:p>
    <w:p w:rsidR="008E01C8" w:rsidRDefault="008E01C8" w:rsidP="00C912FB">
      <w:pPr>
        <w:pStyle w:val="BodyText"/>
        <w:ind w:left="720"/>
        <w:jc w:val="both"/>
        <w:rPr>
          <w:rFonts w:ascii="Trebuchet MS" w:hAnsi="Trebuchet MS"/>
          <w:b w:val="0"/>
          <w:bCs/>
          <w:sz w:val="22"/>
          <w:szCs w:val="22"/>
        </w:rPr>
      </w:pPr>
    </w:p>
    <w:p w:rsidR="008E01C8" w:rsidRDefault="001068F4" w:rsidP="00C912FB">
      <w:pPr>
        <w:pStyle w:val="BodyText"/>
        <w:ind w:left="720"/>
        <w:jc w:val="both"/>
        <w:rPr>
          <w:rFonts w:ascii="Trebuchet MS" w:hAnsi="Trebuchet MS"/>
          <w:b w:val="0"/>
          <w:bCs/>
          <w:sz w:val="22"/>
          <w:szCs w:val="22"/>
        </w:rPr>
      </w:pPr>
      <w:r w:rsidRPr="00122EEB">
        <w:rPr>
          <w:noProof/>
          <w:lang w:eastAsia="en-GB"/>
        </w:rPr>
        <w:drawing>
          <wp:inline distT="0" distB="0" distL="0" distR="0">
            <wp:extent cx="2346325" cy="15525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6325" cy="1552575"/>
                    </a:xfrm>
                    <a:prstGeom prst="rect">
                      <a:avLst/>
                    </a:prstGeom>
                    <a:noFill/>
                    <a:ln>
                      <a:noFill/>
                    </a:ln>
                  </pic:spPr>
                </pic:pic>
              </a:graphicData>
            </a:graphic>
          </wp:inline>
        </w:drawing>
      </w:r>
      <w:r w:rsidR="008E01C8">
        <w:rPr>
          <w:noProof/>
          <w:lang w:eastAsia="en-GB"/>
        </w:rPr>
        <w:t xml:space="preserve">                   </w:t>
      </w:r>
      <w:r w:rsidRPr="00122EEB">
        <w:rPr>
          <w:noProof/>
          <w:lang w:eastAsia="en-GB"/>
        </w:rPr>
        <w:drawing>
          <wp:inline distT="0" distB="0" distL="0" distR="0">
            <wp:extent cx="2009775" cy="163893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1638935"/>
                    </a:xfrm>
                    <a:prstGeom prst="rect">
                      <a:avLst/>
                    </a:prstGeom>
                    <a:noFill/>
                    <a:ln>
                      <a:noFill/>
                    </a:ln>
                  </pic:spPr>
                </pic:pic>
              </a:graphicData>
            </a:graphic>
          </wp:inline>
        </w:drawing>
      </w:r>
    </w:p>
    <w:p w:rsidR="008E01C8" w:rsidRPr="008E01C8" w:rsidRDefault="008E01C8" w:rsidP="008E01C8">
      <w:pPr>
        <w:pStyle w:val="BodyText"/>
        <w:ind w:left="1440"/>
        <w:jc w:val="both"/>
        <w:rPr>
          <w:rFonts w:ascii="Trebuchet MS" w:hAnsi="Trebuchet MS"/>
          <w:b w:val="0"/>
          <w:sz w:val="22"/>
          <w:szCs w:val="22"/>
          <w:u w:val="single"/>
        </w:rPr>
      </w:pPr>
      <w:r>
        <w:rPr>
          <w:noProof/>
          <w:lang w:eastAsia="en-GB"/>
        </w:rPr>
        <w:t xml:space="preserve"> </w:t>
      </w:r>
      <w:r w:rsidRPr="008E01C8">
        <w:rPr>
          <w:rFonts w:ascii="Trebuchet MS" w:hAnsi="Trebuchet MS"/>
          <w:b w:val="0"/>
          <w:noProof/>
          <w:sz w:val="22"/>
          <w:szCs w:val="22"/>
          <w:u w:val="single"/>
          <w:lang w:eastAsia="en-GB"/>
        </w:rPr>
        <w:t>Existing</w:t>
      </w:r>
      <w:r>
        <w:rPr>
          <w:rFonts w:ascii="Trebuchet MS" w:hAnsi="Trebuchet MS"/>
          <w:b w:val="0"/>
          <w:noProof/>
          <w:sz w:val="22"/>
          <w:szCs w:val="22"/>
          <w:u w:val="single"/>
          <w:lang w:eastAsia="en-GB"/>
        </w:rPr>
        <w:t xml:space="preserve"> Ground Floor Plan                        Proposed Ground Floor Plan</w:t>
      </w:r>
    </w:p>
    <w:p w:rsidR="00C912FB" w:rsidRPr="00FF3B1B" w:rsidRDefault="00C912FB">
      <w:pPr>
        <w:pStyle w:val="BodyText"/>
        <w:ind w:left="720" w:hanging="720"/>
        <w:jc w:val="both"/>
        <w:rPr>
          <w:rFonts w:ascii="Trebuchet MS" w:hAnsi="Trebuchet MS"/>
          <w:b w:val="0"/>
          <w:sz w:val="22"/>
          <w:szCs w:val="22"/>
        </w:rPr>
      </w:pPr>
    </w:p>
    <w:p w:rsidR="00C912FB" w:rsidRPr="00037ED8" w:rsidRDefault="00C912FB" w:rsidP="00C912FB">
      <w:pPr>
        <w:numPr>
          <w:ilvl w:val="0"/>
          <w:numId w:val="24"/>
        </w:numPr>
        <w:ind w:hanging="720"/>
        <w:jc w:val="both"/>
        <w:rPr>
          <w:b/>
          <w:bCs/>
          <w:sz w:val="22"/>
          <w:szCs w:val="22"/>
        </w:rPr>
      </w:pPr>
      <w:r w:rsidRPr="00FF3B1B">
        <w:rPr>
          <w:b/>
          <w:bCs/>
          <w:sz w:val="22"/>
          <w:szCs w:val="22"/>
        </w:rPr>
        <w:t xml:space="preserve">RELEVANT PLANNING HISTORY </w:t>
      </w:r>
    </w:p>
    <w:p w:rsidR="00C912FB" w:rsidRDefault="00B04C2E" w:rsidP="00C912FB">
      <w:pPr>
        <w:ind w:left="720"/>
        <w:jc w:val="both"/>
        <w:rPr>
          <w:bCs/>
          <w:sz w:val="22"/>
          <w:szCs w:val="22"/>
        </w:rPr>
      </w:pPr>
      <w:r>
        <w:rPr>
          <w:bCs/>
          <w:sz w:val="22"/>
          <w:szCs w:val="22"/>
        </w:rPr>
        <w:t>Application Ref: 150862</w:t>
      </w:r>
    </w:p>
    <w:p w:rsidR="00B04C2E" w:rsidRDefault="00B04C2E" w:rsidP="00C912FB">
      <w:pPr>
        <w:ind w:left="720"/>
        <w:jc w:val="both"/>
        <w:rPr>
          <w:bCs/>
          <w:sz w:val="22"/>
          <w:szCs w:val="22"/>
        </w:rPr>
      </w:pPr>
      <w:r>
        <w:rPr>
          <w:bCs/>
          <w:sz w:val="22"/>
          <w:szCs w:val="22"/>
        </w:rPr>
        <w:t>Description: S</w:t>
      </w:r>
      <w:r w:rsidRPr="00B04C2E">
        <w:rPr>
          <w:bCs/>
          <w:sz w:val="22"/>
          <w:szCs w:val="22"/>
        </w:rPr>
        <w:t>ingle storey side and rear extension, first floor rear extension</w:t>
      </w:r>
    </w:p>
    <w:p w:rsidR="00B04C2E" w:rsidRDefault="00B04C2E" w:rsidP="00C912FB">
      <w:pPr>
        <w:ind w:left="720"/>
        <w:jc w:val="both"/>
        <w:rPr>
          <w:bCs/>
          <w:sz w:val="22"/>
          <w:szCs w:val="22"/>
        </w:rPr>
      </w:pPr>
      <w:r>
        <w:rPr>
          <w:bCs/>
          <w:sz w:val="22"/>
          <w:szCs w:val="22"/>
        </w:rPr>
        <w:lastRenderedPageBreak/>
        <w:t xml:space="preserve">Decision: Permitted </w:t>
      </w:r>
    </w:p>
    <w:p w:rsidR="00B04C2E" w:rsidRPr="004D4304" w:rsidRDefault="00B04C2E" w:rsidP="00C912FB">
      <w:pPr>
        <w:ind w:left="720"/>
        <w:jc w:val="both"/>
        <w:rPr>
          <w:bCs/>
          <w:sz w:val="22"/>
          <w:szCs w:val="22"/>
        </w:rPr>
      </w:pPr>
      <w:r>
        <w:rPr>
          <w:bCs/>
          <w:sz w:val="22"/>
          <w:szCs w:val="22"/>
        </w:rPr>
        <w:t xml:space="preserve">Decision Date: </w:t>
      </w:r>
      <w:r w:rsidR="000B4DB2">
        <w:rPr>
          <w:bCs/>
          <w:sz w:val="22"/>
          <w:szCs w:val="22"/>
        </w:rPr>
        <w:t>30/06/2015</w:t>
      </w:r>
    </w:p>
    <w:p w:rsidR="00C912FB" w:rsidRPr="00FF3B1B" w:rsidRDefault="00C912FB" w:rsidP="00C912FB">
      <w:pPr>
        <w:jc w:val="both"/>
        <w:rPr>
          <w:b/>
          <w:bCs/>
          <w:sz w:val="22"/>
          <w:szCs w:val="22"/>
        </w:rPr>
      </w:pPr>
    </w:p>
    <w:p w:rsidR="00C912FB" w:rsidRPr="00FF3B1B" w:rsidRDefault="00C912FB">
      <w:pPr>
        <w:jc w:val="both"/>
        <w:rPr>
          <w:b/>
          <w:bCs/>
          <w:sz w:val="22"/>
          <w:szCs w:val="22"/>
        </w:rPr>
      </w:pPr>
      <w:r w:rsidRPr="00FF3B1B">
        <w:rPr>
          <w:b/>
          <w:bCs/>
          <w:sz w:val="22"/>
          <w:szCs w:val="22"/>
        </w:rPr>
        <w:t>4.</w:t>
      </w:r>
      <w:r w:rsidRPr="00FF3B1B">
        <w:rPr>
          <w:b/>
          <w:bCs/>
          <w:sz w:val="22"/>
          <w:szCs w:val="22"/>
        </w:rPr>
        <w:tab/>
        <w:t>CONSULTATIONS</w:t>
      </w:r>
    </w:p>
    <w:p w:rsidR="00C912FB" w:rsidRPr="00FF3B1B" w:rsidRDefault="00C912FB">
      <w:pPr>
        <w:jc w:val="both"/>
        <w:rPr>
          <w:b/>
          <w:bCs/>
          <w:sz w:val="22"/>
          <w:szCs w:val="22"/>
        </w:rPr>
      </w:pPr>
    </w:p>
    <w:p w:rsidR="00C912FB" w:rsidRDefault="00C912FB" w:rsidP="00C912FB">
      <w:pPr>
        <w:ind w:left="720"/>
        <w:jc w:val="both"/>
        <w:rPr>
          <w:sz w:val="22"/>
          <w:szCs w:val="22"/>
        </w:rPr>
      </w:pPr>
      <w:r w:rsidRPr="00FF3B1B">
        <w:rPr>
          <w:sz w:val="22"/>
          <w:szCs w:val="22"/>
        </w:rPr>
        <w:t>The following addresses were consulted by letter.</w:t>
      </w:r>
    </w:p>
    <w:p w:rsidR="00C912FB" w:rsidRPr="00FF3B1B" w:rsidRDefault="00C912FB" w:rsidP="00C912FB">
      <w:pPr>
        <w:ind w:left="720"/>
        <w:jc w:val="both"/>
        <w:rPr>
          <w:b/>
          <w:sz w:val="22"/>
          <w:szCs w:val="22"/>
        </w:rPr>
      </w:pPr>
    </w:p>
    <w:p w:rsidR="00C912FB" w:rsidRPr="00FF3B1B" w:rsidRDefault="00C912FB" w:rsidP="00C912FB">
      <w:pPr>
        <w:ind w:left="720"/>
        <w:rPr>
          <w:sz w:val="22"/>
          <w:szCs w:val="22"/>
        </w:rPr>
      </w:pPr>
      <w:r w:rsidRPr="00FF3B1B">
        <w:rPr>
          <w:sz w:val="22"/>
          <w:szCs w:val="22"/>
        </w:rPr>
        <w:t>101 Barnsdale Road, Reading, RG2 7JQ</w:t>
      </w:r>
    </w:p>
    <w:p w:rsidR="00C912FB" w:rsidRPr="00FF3B1B" w:rsidRDefault="00C912FB" w:rsidP="00C912FB">
      <w:pPr>
        <w:ind w:left="720"/>
        <w:rPr>
          <w:sz w:val="22"/>
          <w:szCs w:val="22"/>
        </w:rPr>
      </w:pPr>
      <w:r>
        <w:rPr>
          <w:sz w:val="22"/>
          <w:szCs w:val="22"/>
        </w:rPr>
        <w:t>86 Northcourt Avenue, Reading</w:t>
      </w:r>
    </w:p>
    <w:p w:rsidR="00C912FB" w:rsidRPr="00FF3B1B" w:rsidRDefault="00C912FB" w:rsidP="00C912FB">
      <w:pPr>
        <w:ind w:left="720"/>
        <w:rPr>
          <w:sz w:val="22"/>
          <w:szCs w:val="22"/>
        </w:rPr>
      </w:pPr>
      <w:r w:rsidRPr="00FF3B1B">
        <w:rPr>
          <w:sz w:val="22"/>
          <w:szCs w:val="22"/>
        </w:rPr>
        <w:t>80 Northcourt Avenue, Reading, RG2 7HQ</w:t>
      </w:r>
    </w:p>
    <w:p w:rsidR="00C912FB" w:rsidRPr="00FF3B1B" w:rsidRDefault="00C912FB" w:rsidP="00C912FB">
      <w:pPr>
        <w:ind w:left="1440" w:hanging="720"/>
        <w:jc w:val="both"/>
        <w:rPr>
          <w:sz w:val="22"/>
          <w:szCs w:val="22"/>
        </w:rPr>
      </w:pPr>
    </w:p>
    <w:p w:rsidR="00C912FB" w:rsidRDefault="00037ED8" w:rsidP="00037ED8">
      <w:pPr>
        <w:ind w:left="1440" w:hanging="720"/>
        <w:jc w:val="both"/>
        <w:rPr>
          <w:sz w:val="22"/>
          <w:szCs w:val="22"/>
        </w:rPr>
      </w:pPr>
      <w:r>
        <w:rPr>
          <w:sz w:val="22"/>
          <w:szCs w:val="22"/>
        </w:rPr>
        <w:t>No l</w:t>
      </w:r>
      <w:r w:rsidR="00C912FB" w:rsidRPr="00FF3B1B">
        <w:rPr>
          <w:sz w:val="22"/>
          <w:szCs w:val="22"/>
        </w:rPr>
        <w:t>etters of representation have been received</w:t>
      </w:r>
      <w:r>
        <w:rPr>
          <w:sz w:val="22"/>
          <w:szCs w:val="22"/>
        </w:rPr>
        <w:t>.</w:t>
      </w:r>
    </w:p>
    <w:p w:rsidR="00C912FB" w:rsidRDefault="00C912FB" w:rsidP="00C912FB">
      <w:pPr>
        <w:ind w:left="720"/>
        <w:jc w:val="both"/>
        <w:rPr>
          <w:sz w:val="22"/>
          <w:szCs w:val="22"/>
        </w:rPr>
      </w:pPr>
    </w:p>
    <w:p w:rsidR="00C912FB" w:rsidRPr="00C912FB" w:rsidRDefault="00C912FB" w:rsidP="00C912FB">
      <w:pPr>
        <w:overflowPunct/>
        <w:adjustRightInd/>
        <w:ind w:left="720"/>
        <w:jc w:val="both"/>
        <w:textAlignment w:val="auto"/>
        <w:rPr>
          <w:rFonts w:cs="Arial"/>
          <w:b/>
          <w:bCs/>
          <w:color w:val="000000"/>
          <w:sz w:val="22"/>
          <w:szCs w:val="22"/>
          <w:lang w:eastAsia="en-GB"/>
        </w:rPr>
      </w:pPr>
      <w:r w:rsidRPr="00C912FB">
        <w:rPr>
          <w:rFonts w:cs="Arial"/>
          <w:b/>
          <w:bCs/>
          <w:color w:val="000000"/>
          <w:sz w:val="22"/>
          <w:szCs w:val="22"/>
          <w:lang w:eastAsia="en-GB"/>
        </w:rPr>
        <w:t>Equality Act 2010:</w:t>
      </w:r>
    </w:p>
    <w:p w:rsidR="00C912FB" w:rsidRPr="002B4A87" w:rsidRDefault="00C912FB" w:rsidP="00C912FB">
      <w:pPr>
        <w:overflowPunct/>
        <w:adjustRightInd/>
        <w:ind w:left="720"/>
        <w:jc w:val="both"/>
        <w:textAlignment w:val="auto"/>
        <w:rPr>
          <w:rFonts w:cs="Arial"/>
          <w:bCs/>
          <w:color w:val="000000"/>
          <w:szCs w:val="24"/>
          <w:lang w:eastAsia="en-GB"/>
        </w:rPr>
      </w:pPr>
      <w:r w:rsidRPr="00C912FB">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912FB" w:rsidRPr="00FF3B1B" w:rsidRDefault="00C912FB">
      <w:pPr>
        <w:ind w:left="720" w:hanging="720"/>
        <w:jc w:val="both"/>
        <w:rPr>
          <w:sz w:val="22"/>
          <w:szCs w:val="22"/>
        </w:rPr>
      </w:pPr>
    </w:p>
    <w:p w:rsidR="00C912FB" w:rsidRPr="00FF3B1B" w:rsidRDefault="00C912FB" w:rsidP="00C912FB">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C912FB" w:rsidRPr="00FF3B1B" w:rsidRDefault="00C912FB" w:rsidP="00C912FB">
      <w:pPr>
        <w:ind w:left="720"/>
        <w:jc w:val="both"/>
        <w:rPr>
          <w:bCs/>
          <w:sz w:val="22"/>
          <w:szCs w:val="22"/>
          <w:lang w:eastAsia="en-GB"/>
        </w:rPr>
      </w:pPr>
    </w:p>
    <w:p w:rsidR="00C912FB" w:rsidRPr="00FF3B1B" w:rsidRDefault="00C912FB" w:rsidP="00C912FB">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C912FB" w:rsidRPr="00FF3B1B" w:rsidRDefault="00C912FB" w:rsidP="00037ED8">
      <w:pPr>
        <w:jc w:val="both"/>
        <w:rPr>
          <w:b/>
          <w:bCs/>
          <w:sz w:val="22"/>
          <w:szCs w:val="22"/>
          <w:lang w:eastAsia="en-GB"/>
        </w:rPr>
      </w:pPr>
    </w:p>
    <w:p w:rsidR="00C912FB" w:rsidRPr="00FF3B1B" w:rsidRDefault="00C912FB" w:rsidP="00C912FB">
      <w:pPr>
        <w:ind w:left="720"/>
        <w:jc w:val="both"/>
        <w:rPr>
          <w:b/>
          <w:bCs/>
          <w:sz w:val="22"/>
          <w:szCs w:val="22"/>
          <w:u w:val="single"/>
          <w:lang w:eastAsia="en-GB"/>
        </w:rPr>
      </w:pPr>
      <w:r w:rsidRPr="00FF3B1B">
        <w:rPr>
          <w:b/>
          <w:bCs/>
          <w:sz w:val="22"/>
          <w:szCs w:val="22"/>
          <w:u w:val="single"/>
          <w:lang w:eastAsia="en-GB"/>
        </w:rPr>
        <w:t>National Policy</w:t>
      </w:r>
    </w:p>
    <w:p w:rsidR="00C912FB" w:rsidRPr="00FF3B1B" w:rsidRDefault="00C912FB" w:rsidP="00C912FB">
      <w:pPr>
        <w:ind w:left="720"/>
        <w:jc w:val="both"/>
        <w:rPr>
          <w:bCs/>
          <w:sz w:val="22"/>
          <w:szCs w:val="22"/>
          <w:lang w:eastAsia="en-GB"/>
        </w:rPr>
      </w:pPr>
      <w:r w:rsidRPr="00FF3B1B">
        <w:rPr>
          <w:bCs/>
          <w:sz w:val="22"/>
          <w:szCs w:val="22"/>
          <w:lang w:eastAsia="en-GB"/>
        </w:rPr>
        <w:t xml:space="preserve">National Planning Policy Framework </w:t>
      </w:r>
    </w:p>
    <w:p w:rsidR="00C912FB" w:rsidRPr="00FF3B1B" w:rsidRDefault="00C912FB" w:rsidP="00C912FB">
      <w:pPr>
        <w:ind w:left="720"/>
        <w:jc w:val="both"/>
        <w:rPr>
          <w:bCs/>
          <w:sz w:val="22"/>
          <w:szCs w:val="22"/>
          <w:lang w:eastAsia="en-GB"/>
        </w:rPr>
      </w:pPr>
      <w:r w:rsidRPr="00FF3B1B">
        <w:rPr>
          <w:bCs/>
          <w:sz w:val="22"/>
          <w:szCs w:val="22"/>
          <w:lang w:eastAsia="en-GB"/>
        </w:rPr>
        <w:t>National Planning Practice Guidance</w:t>
      </w:r>
    </w:p>
    <w:p w:rsidR="00C912FB" w:rsidRDefault="00C912FB" w:rsidP="00C912FB">
      <w:pPr>
        <w:ind w:left="720"/>
        <w:jc w:val="both"/>
        <w:rPr>
          <w:bCs/>
          <w:sz w:val="22"/>
          <w:szCs w:val="22"/>
          <w:lang w:eastAsia="en-GB"/>
        </w:rPr>
      </w:pPr>
    </w:p>
    <w:p w:rsidR="00C912FB" w:rsidRPr="00FF3B1B" w:rsidRDefault="00C912FB" w:rsidP="00C912FB">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C912FB" w:rsidRPr="00917B3D" w:rsidRDefault="00C912FB" w:rsidP="00C912FB">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C912FB" w:rsidRPr="00917B3D" w:rsidRDefault="00C912FB" w:rsidP="00C912FB">
      <w:pPr>
        <w:ind w:left="720"/>
        <w:jc w:val="both"/>
        <w:rPr>
          <w:bCs/>
          <w:sz w:val="22"/>
          <w:szCs w:val="22"/>
        </w:rPr>
      </w:pPr>
      <w:r>
        <w:rPr>
          <w:bCs/>
          <w:sz w:val="22"/>
          <w:szCs w:val="22"/>
        </w:rPr>
        <w:t>CC8</w:t>
      </w:r>
      <w:r w:rsidRPr="00917B3D">
        <w:rPr>
          <w:bCs/>
          <w:sz w:val="22"/>
          <w:szCs w:val="22"/>
        </w:rPr>
        <w:t xml:space="preserve"> (Safeguarding Amenity) </w:t>
      </w:r>
    </w:p>
    <w:p w:rsidR="00C912FB" w:rsidRPr="00917B3D" w:rsidRDefault="00C912FB" w:rsidP="00C912FB">
      <w:pPr>
        <w:ind w:left="720"/>
        <w:jc w:val="both"/>
        <w:rPr>
          <w:bCs/>
          <w:sz w:val="22"/>
          <w:szCs w:val="22"/>
        </w:rPr>
      </w:pPr>
      <w:r>
        <w:rPr>
          <w:bCs/>
          <w:sz w:val="22"/>
          <w:szCs w:val="22"/>
        </w:rPr>
        <w:t>H9</w:t>
      </w:r>
      <w:r w:rsidRPr="00917B3D">
        <w:rPr>
          <w:bCs/>
          <w:sz w:val="22"/>
          <w:szCs w:val="22"/>
        </w:rPr>
        <w:t xml:space="preserve"> (House Extensions and Ancillary Accommodation)</w:t>
      </w:r>
    </w:p>
    <w:p w:rsidR="00C912FB" w:rsidRPr="00037ED8" w:rsidRDefault="00C912FB" w:rsidP="00C912FB">
      <w:pPr>
        <w:ind w:left="720"/>
        <w:jc w:val="both"/>
        <w:rPr>
          <w:sz w:val="22"/>
          <w:szCs w:val="22"/>
          <w:lang w:eastAsia="en-GB"/>
        </w:rPr>
      </w:pPr>
      <w:r w:rsidRPr="00037ED8">
        <w:rPr>
          <w:sz w:val="22"/>
          <w:szCs w:val="22"/>
          <w:lang w:eastAsia="en-GB"/>
        </w:rPr>
        <w:t>TR5 (Car and Cycle Parking)</w:t>
      </w:r>
    </w:p>
    <w:p w:rsidR="00C912FB" w:rsidRPr="00FA05A6" w:rsidRDefault="00C912FB" w:rsidP="00C912FB">
      <w:pPr>
        <w:ind w:left="720"/>
        <w:jc w:val="both"/>
        <w:rPr>
          <w:bCs/>
          <w:sz w:val="22"/>
          <w:szCs w:val="22"/>
          <w:lang w:eastAsia="en-GB"/>
        </w:rPr>
      </w:pPr>
      <w:r w:rsidRPr="00037ED8">
        <w:rPr>
          <w:bCs/>
          <w:sz w:val="22"/>
          <w:szCs w:val="22"/>
          <w:lang w:eastAsia="en-GB"/>
        </w:rPr>
        <w:t>EN14 (Trees, Hedges and Woodlands)</w:t>
      </w:r>
    </w:p>
    <w:p w:rsidR="00C912FB" w:rsidRPr="00FF3B1B" w:rsidRDefault="00C912FB" w:rsidP="00C912FB">
      <w:pPr>
        <w:jc w:val="both"/>
        <w:rPr>
          <w:bCs/>
          <w:sz w:val="22"/>
          <w:szCs w:val="22"/>
          <w:lang w:eastAsia="en-GB"/>
        </w:rPr>
      </w:pPr>
    </w:p>
    <w:p w:rsidR="00C912FB" w:rsidRPr="00FF3B1B" w:rsidRDefault="00C912FB" w:rsidP="00C912FB">
      <w:pPr>
        <w:ind w:left="720"/>
        <w:jc w:val="both"/>
        <w:rPr>
          <w:b/>
          <w:bCs/>
          <w:sz w:val="22"/>
          <w:szCs w:val="22"/>
          <w:u w:val="single"/>
          <w:lang w:eastAsia="en-GB"/>
        </w:rPr>
      </w:pPr>
      <w:r w:rsidRPr="00FF3B1B">
        <w:rPr>
          <w:b/>
          <w:bCs/>
          <w:sz w:val="22"/>
          <w:szCs w:val="22"/>
          <w:u w:val="single"/>
          <w:lang w:eastAsia="en-GB"/>
        </w:rPr>
        <w:t>SPD</w:t>
      </w:r>
    </w:p>
    <w:p w:rsidR="00C912FB" w:rsidRPr="00037ED8" w:rsidRDefault="00C912FB" w:rsidP="00C912FB">
      <w:pPr>
        <w:overflowPunct/>
        <w:autoSpaceDE/>
        <w:autoSpaceDN/>
        <w:adjustRightInd/>
        <w:ind w:left="720"/>
        <w:textAlignment w:val="auto"/>
        <w:rPr>
          <w:sz w:val="22"/>
          <w:szCs w:val="22"/>
        </w:rPr>
      </w:pPr>
      <w:r w:rsidRPr="00037ED8">
        <w:rPr>
          <w:sz w:val="22"/>
          <w:szCs w:val="22"/>
        </w:rPr>
        <w:t>Design Guide to House E</w:t>
      </w:r>
      <w:r w:rsidR="00037ED8">
        <w:rPr>
          <w:sz w:val="22"/>
          <w:szCs w:val="22"/>
        </w:rPr>
        <w:t>xtensions 2021</w:t>
      </w:r>
    </w:p>
    <w:p w:rsidR="00017B55" w:rsidRPr="00365587" w:rsidRDefault="00C912FB" w:rsidP="00365587">
      <w:pPr>
        <w:ind w:left="720"/>
        <w:jc w:val="both"/>
        <w:rPr>
          <w:sz w:val="22"/>
          <w:szCs w:val="22"/>
        </w:rPr>
      </w:pPr>
      <w:r w:rsidRPr="00037ED8">
        <w:rPr>
          <w:sz w:val="22"/>
          <w:szCs w:val="22"/>
        </w:rPr>
        <w:t>Revised Parking Standards and Design SPD 2011</w:t>
      </w:r>
    </w:p>
    <w:p w:rsidR="00017B55" w:rsidRDefault="00017B55">
      <w:pPr>
        <w:jc w:val="both"/>
        <w:rPr>
          <w:b/>
          <w:bCs/>
          <w:sz w:val="22"/>
          <w:szCs w:val="22"/>
        </w:rPr>
      </w:pPr>
    </w:p>
    <w:p w:rsidR="00C912FB" w:rsidRPr="00FF3B1B" w:rsidRDefault="00C912FB">
      <w:pPr>
        <w:jc w:val="both"/>
        <w:rPr>
          <w:b/>
          <w:bCs/>
          <w:sz w:val="22"/>
          <w:szCs w:val="22"/>
        </w:rPr>
      </w:pPr>
      <w:r w:rsidRPr="00FF3B1B">
        <w:rPr>
          <w:b/>
          <w:bCs/>
          <w:sz w:val="22"/>
          <w:szCs w:val="22"/>
        </w:rPr>
        <w:t>6.</w:t>
      </w:r>
      <w:r w:rsidRPr="00FF3B1B">
        <w:rPr>
          <w:b/>
          <w:bCs/>
          <w:sz w:val="22"/>
          <w:szCs w:val="22"/>
        </w:rPr>
        <w:tab/>
        <w:t>APPRAISAL</w:t>
      </w:r>
    </w:p>
    <w:p w:rsidR="00C912FB" w:rsidRPr="006D3285" w:rsidRDefault="00C912FB" w:rsidP="00C912FB">
      <w:pPr>
        <w:ind w:left="720"/>
        <w:jc w:val="both"/>
        <w:rPr>
          <w:b/>
          <w:bCs/>
          <w:sz w:val="22"/>
          <w:szCs w:val="22"/>
          <w:u w:val="single"/>
          <w:lang w:eastAsia="en-GB"/>
        </w:rPr>
      </w:pPr>
      <w:r w:rsidRPr="006D3285">
        <w:rPr>
          <w:b/>
          <w:bCs/>
          <w:sz w:val="22"/>
          <w:szCs w:val="22"/>
          <w:u w:val="single"/>
          <w:lang w:eastAsia="en-GB"/>
        </w:rPr>
        <w:t>Character and Appearance</w:t>
      </w:r>
    </w:p>
    <w:p w:rsidR="00C912FB" w:rsidRPr="00FA05A6" w:rsidRDefault="00C912FB" w:rsidP="00C912FB">
      <w:pPr>
        <w:ind w:left="720"/>
        <w:jc w:val="both"/>
        <w:rPr>
          <w:sz w:val="22"/>
          <w:szCs w:val="22"/>
          <w:lang w:eastAsia="en-GB"/>
        </w:rPr>
      </w:pPr>
    </w:p>
    <w:p w:rsidR="00C912FB" w:rsidRDefault="00C912FB" w:rsidP="00C912FB">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6966F9" w:rsidRDefault="006966F9" w:rsidP="00C912FB">
      <w:pPr>
        <w:overflowPunct/>
        <w:adjustRightInd/>
        <w:ind w:left="720"/>
        <w:contextualSpacing/>
        <w:jc w:val="both"/>
        <w:textAlignment w:val="auto"/>
        <w:rPr>
          <w:sz w:val="22"/>
          <w:szCs w:val="22"/>
          <w:lang w:eastAsia="en-GB"/>
        </w:rPr>
      </w:pPr>
    </w:p>
    <w:p w:rsidR="00D25B51" w:rsidRDefault="006966F9" w:rsidP="00C912FB">
      <w:pPr>
        <w:overflowPunct/>
        <w:adjustRightInd/>
        <w:ind w:left="720"/>
        <w:contextualSpacing/>
        <w:jc w:val="both"/>
        <w:textAlignment w:val="auto"/>
        <w:rPr>
          <w:sz w:val="22"/>
          <w:szCs w:val="22"/>
          <w:lang w:eastAsia="en-GB"/>
        </w:rPr>
      </w:pPr>
      <w:r>
        <w:rPr>
          <w:sz w:val="22"/>
          <w:szCs w:val="22"/>
          <w:lang w:eastAsia="en-GB"/>
        </w:rPr>
        <w:t xml:space="preserve">The new ground floor extension to be created would be for most part, on the footprint of the garage to be demolished. The height is limited to maximum height of 3m, with a flat roof over the extension. The materials to be used </w:t>
      </w:r>
      <w:r w:rsidR="00D738C0">
        <w:rPr>
          <w:sz w:val="22"/>
          <w:szCs w:val="22"/>
          <w:lang w:eastAsia="en-GB"/>
        </w:rPr>
        <w:t>externally are proposed to be of timber cladding, with preformed aluminium coping to top and a f</w:t>
      </w:r>
      <w:r w:rsidR="00D738C0" w:rsidRPr="00D738C0">
        <w:rPr>
          <w:sz w:val="22"/>
          <w:szCs w:val="22"/>
          <w:lang w:eastAsia="en-GB"/>
        </w:rPr>
        <w:t>lat roof finished with an EDPM</w:t>
      </w:r>
      <w:r w:rsidR="00D738C0">
        <w:rPr>
          <w:sz w:val="22"/>
          <w:szCs w:val="22"/>
          <w:lang w:eastAsia="en-GB"/>
        </w:rPr>
        <w:t xml:space="preserve"> (</w:t>
      </w:r>
      <w:r w:rsidR="00D738C0" w:rsidRPr="00D738C0">
        <w:rPr>
          <w:sz w:val="22"/>
          <w:szCs w:val="22"/>
          <w:lang w:eastAsia="en-GB"/>
        </w:rPr>
        <w:t>ethylene propylene diene monomer rubber</w:t>
      </w:r>
      <w:r w:rsidR="00D738C0">
        <w:rPr>
          <w:sz w:val="22"/>
          <w:szCs w:val="22"/>
          <w:lang w:eastAsia="en-GB"/>
        </w:rPr>
        <w:t xml:space="preserve">) </w:t>
      </w:r>
      <w:bookmarkStart w:id="0" w:name="_GoBack"/>
      <w:bookmarkEnd w:id="0"/>
    </w:p>
    <w:p w:rsidR="00D738C0" w:rsidRDefault="00D738C0" w:rsidP="00C912FB">
      <w:pPr>
        <w:overflowPunct/>
        <w:adjustRightInd/>
        <w:ind w:left="720"/>
        <w:contextualSpacing/>
        <w:jc w:val="both"/>
        <w:textAlignment w:val="auto"/>
        <w:rPr>
          <w:sz w:val="22"/>
          <w:szCs w:val="22"/>
          <w:lang w:eastAsia="en-GB"/>
        </w:rPr>
      </w:pPr>
    </w:p>
    <w:p w:rsidR="00D25B51" w:rsidRPr="006D3285" w:rsidRDefault="00D25B51" w:rsidP="00C912FB">
      <w:pPr>
        <w:overflowPunct/>
        <w:adjustRightInd/>
        <w:ind w:left="720"/>
        <w:contextualSpacing/>
        <w:jc w:val="both"/>
        <w:textAlignment w:val="auto"/>
        <w:rPr>
          <w:sz w:val="22"/>
          <w:szCs w:val="22"/>
          <w:lang w:eastAsia="en-GB"/>
        </w:rPr>
      </w:pPr>
      <w:r>
        <w:rPr>
          <w:sz w:val="22"/>
          <w:szCs w:val="22"/>
          <w:lang w:eastAsia="en-GB"/>
        </w:rPr>
        <w:t xml:space="preserve">The development </w:t>
      </w:r>
      <w:r w:rsidR="00E25853">
        <w:rPr>
          <w:sz w:val="22"/>
          <w:szCs w:val="22"/>
          <w:lang w:eastAsia="en-GB"/>
        </w:rPr>
        <w:t>is not considered to be of such material change to the overall fabric and pattern of the house in terms of scale, location, materials and design, as to be unacceptable.</w:t>
      </w:r>
    </w:p>
    <w:p w:rsidR="00B759AF" w:rsidRDefault="00B759AF" w:rsidP="00E25853">
      <w:pPr>
        <w:jc w:val="both"/>
        <w:rPr>
          <w:b/>
          <w:bCs/>
          <w:sz w:val="22"/>
          <w:szCs w:val="22"/>
          <w:u w:val="single"/>
          <w:lang w:eastAsia="en-GB"/>
        </w:rPr>
      </w:pPr>
    </w:p>
    <w:p w:rsidR="00C912FB" w:rsidRPr="00FA05A6" w:rsidRDefault="00C912FB" w:rsidP="00C912FB">
      <w:pPr>
        <w:ind w:left="720"/>
        <w:jc w:val="both"/>
        <w:rPr>
          <w:b/>
          <w:bCs/>
          <w:sz w:val="22"/>
          <w:szCs w:val="22"/>
          <w:u w:val="single"/>
          <w:lang w:eastAsia="en-GB"/>
        </w:rPr>
      </w:pPr>
      <w:r w:rsidRPr="006D3285">
        <w:rPr>
          <w:b/>
          <w:bCs/>
          <w:sz w:val="22"/>
          <w:szCs w:val="22"/>
          <w:u w:val="single"/>
          <w:lang w:eastAsia="en-GB"/>
        </w:rPr>
        <w:t>Residential Amenity</w:t>
      </w:r>
    </w:p>
    <w:p w:rsidR="00C912FB" w:rsidRPr="00FA05A6" w:rsidRDefault="00C912FB" w:rsidP="00C912FB">
      <w:pPr>
        <w:ind w:left="720"/>
        <w:jc w:val="both"/>
        <w:rPr>
          <w:b/>
          <w:bCs/>
          <w:sz w:val="22"/>
          <w:szCs w:val="22"/>
          <w:u w:val="single"/>
          <w:lang w:eastAsia="en-GB"/>
        </w:rPr>
      </w:pPr>
    </w:p>
    <w:p w:rsidR="00C912FB" w:rsidRDefault="00C912FB" w:rsidP="00C912FB">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E25853" w:rsidRDefault="00E25853" w:rsidP="00C912FB">
      <w:pPr>
        <w:overflowPunct/>
        <w:adjustRightInd/>
        <w:ind w:left="720"/>
        <w:jc w:val="both"/>
        <w:textAlignment w:val="auto"/>
        <w:rPr>
          <w:color w:val="000000"/>
          <w:sz w:val="22"/>
          <w:szCs w:val="22"/>
          <w:lang w:eastAsia="en-GB"/>
        </w:rPr>
      </w:pPr>
    </w:p>
    <w:p w:rsidR="00E25853" w:rsidRDefault="00E25853" w:rsidP="00C912FB">
      <w:pPr>
        <w:overflowPunct/>
        <w:adjustRightInd/>
        <w:ind w:left="720"/>
        <w:jc w:val="both"/>
        <w:textAlignment w:val="auto"/>
        <w:rPr>
          <w:color w:val="000000"/>
          <w:sz w:val="22"/>
          <w:szCs w:val="22"/>
          <w:lang w:eastAsia="en-GB"/>
        </w:rPr>
      </w:pPr>
      <w:r>
        <w:rPr>
          <w:color w:val="000000"/>
          <w:sz w:val="22"/>
          <w:szCs w:val="22"/>
          <w:lang w:eastAsia="en-GB"/>
        </w:rPr>
        <w:t>The height of the extension is a maximum of 3m, with a flat roof and has no windows to the side.</w:t>
      </w:r>
      <w:r w:rsidR="00283A77">
        <w:rPr>
          <w:color w:val="000000"/>
          <w:sz w:val="22"/>
          <w:szCs w:val="22"/>
          <w:lang w:eastAsia="en-GB"/>
        </w:rPr>
        <w:t xml:space="preserve"> The footprint does not exceed, to the rear garden or to the front of the dwelling, the original footprint of the existing garage. The limited height and the limits to the rear and front would mean it</w:t>
      </w:r>
      <w:r w:rsidR="00F64ED3">
        <w:rPr>
          <w:color w:val="000000"/>
          <w:sz w:val="22"/>
          <w:szCs w:val="22"/>
          <w:lang w:eastAsia="en-GB"/>
        </w:rPr>
        <w:t xml:space="preserve"> would </w:t>
      </w:r>
      <w:r w:rsidR="00283A77">
        <w:rPr>
          <w:color w:val="000000"/>
          <w:sz w:val="22"/>
          <w:szCs w:val="22"/>
          <w:lang w:eastAsia="en-GB"/>
        </w:rPr>
        <w:t xml:space="preserve">not </w:t>
      </w:r>
      <w:r w:rsidR="00F64ED3">
        <w:rPr>
          <w:color w:val="000000"/>
          <w:sz w:val="22"/>
          <w:szCs w:val="22"/>
          <w:lang w:eastAsia="en-GB"/>
        </w:rPr>
        <w:t xml:space="preserve">be </w:t>
      </w:r>
      <w:r w:rsidR="00283A77">
        <w:rPr>
          <w:color w:val="000000"/>
          <w:sz w:val="22"/>
          <w:szCs w:val="22"/>
          <w:lang w:eastAsia="en-GB"/>
        </w:rPr>
        <w:t>overbearing on the adjoining dwelling. It would also not create any negative impacts in terms of the sunlight and daylight accessible to the adjoining neighbours to the side of the extension.</w:t>
      </w:r>
    </w:p>
    <w:p w:rsidR="00017B55" w:rsidRDefault="00017B55" w:rsidP="00C912FB">
      <w:pPr>
        <w:overflowPunct/>
        <w:adjustRightInd/>
        <w:ind w:left="720"/>
        <w:jc w:val="both"/>
        <w:textAlignment w:val="auto"/>
        <w:rPr>
          <w:color w:val="000000"/>
          <w:sz w:val="22"/>
          <w:szCs w:val="22"/>
          <w:lang w:eastAsia="en-GB"/>
        </w:rPr>
      </w:pPr>
    </w:p>
    <w:p w:rsidR="00017B55" w:rsidRPr="00017B55" w:rsidRDefault="00017B55" w:rsidP="00C912FB">
      <w:pPr>
        <w:overflowPunct/>
        <w:adjustRightInd/>
        <w:ind w:left="720"/>
        <w:jc w:val="both"/>
        <w:textAlignment w:val="auto"/>
        <w:rPr>
          <w:b/>
          <w:color w:val="000000"/>
          <w:sz w:val="22"/>
          <w:szCs w:val="22"/>
          <w:u w:val="single"/>
          <w:lang w:eastAsia="en-GB"/>
        </w:rPr>
      </w:pPr>
      <w:r w:rsidRPr="00017B55">
        <w:rPr>
          <w:b/>
          <w:color w:val="000000"/>
          <w:sz w:val="22"/>
          <w:szCs w:val="22"/>
          <w:u w:val="single"/>
          <w:lang w:eastAsia="en-GB"/>
        </w:rPr>
        <w:t>Car Parking.</w:t>
      </w:r>
    </w:p>
    <w:p w:rsidR="00C912FB" w:rsidRDefault="00C912FB" w:rsidP="00C912FB">
      <w:pPr>
        <w:overflowPunct/>
        <w:adjustRightInd/>
        <w:ind w:left="720"/>
        <w:jc w:val="both"/>
        <w:textAlignment w:val="auto"/>
        <w:rPr>
          <w:color w:val="000000"/>
          <w:sz w:val="22"/>
          <w:szCs w:val="22"/>
          <w:lang w:eastAsia="en-GB"/>
        </w:rPr>
      </w:pPr>
    </w:p>
    <w:p w:rsidR="00017B55" w:rsidRDefault="00017B55" w:rsidP="00C912FB">
      <w:pPr>
        <w:overflowPunct/>
        <w:adjustRightInd/>
        <w:ind w:left="720"/>
        <w:jc w:val="both"/>
        <w:textAlignment w:val="auto"/>
        <w:rPr>
          <w:color w:val="000000"/>
          <w:sz w:val="22"/>
          <w:szCs w:val="22"/>
          <w:lang w:eastAsia="en-GB"/>
        </w:rPr>
      </w:pPr>
      <w:r>
        <w:rPr>
          <w:color w:val="000000"/>
          <w:sz w:val="22"/>
          <w:szCs w:val="22"/>
          <w:lang w:eastAsia="en-GB"/>
        </w:rPr>
        <w:t>As the development takes away the existing garage, car parking would be lost. However, the agent has provided evidence to show that there would be adequate parking in the front garden of the property to accommodate three cars. These provisions have been considered to be adequate.</w:t>
      </w:r>
    </w:p>
    <w:p w:rsidR="005540F6" w:rsidRDefault="005540F6" w:rsidP="00C912FB">
      <w:pPr>
        <w:overflowPunct/>
        <w:adjustRightInd/>
        <w:ind w:left="720"/>
        <w:jc w:val="both"/>
        <w:textAlignment w:val="auto"/>
        <w:rPr>
          <w:color w:val="000000"/>
          <w:sz w:val="22"/>
          <w:szCs w:val="22"/>
          <w:lang w:eastAsia="en-GB"/>
        </w:rPr>
      </w:pPr>
    </w:p>
    <w:p w:rsidR="005540F6" w:rsidRPr="005540F6" w:rsidRDefault="005540F6" w:rsidP="00C912FB">
      <w:pPr>
        <w:overflowPunct/>
        <w:adjustRightInd/>
        <w:ind w:left="720"/>
        <w:jc w:val="both"/>
        <w:textAlignment w:val="auto"/>
        <w:rPr>
          <w:b/>
          <w:color w:val="000000"/>
          <w:sz w:val="22"/>
          <w:szCs w:val="22"/>
          <w:u w:val="single"/>
          <w:lang w:eastAsia="en-GB"/>
        </w:rPr>
      </w:pPr>
      <w:r w:rsidRPr="005540F6">
        <w:rPr>
          <w:b/>
          <w:color w:val="000000"/>
          <w:sz w:val="22"/>
          <w:szCs w:val="22"/>
          <w:u w:val="single"/>
          <w:lang w:eastAsia="en-GB"/>
        </w:rPr>
        <w:t>Boundary Fence vertical Extension</w:t>
      </w:r>
    </w:p>
    <w:p w:rsidR="00C912FB" w:rsidRDefault="00C912FB" w:rsidP="00C912FB">
      <w:pPr>
        <w:jc w:val="both"/>
        <w:rPr>
          <w:color w:val="000000"/>
          <w:sz w:val="22"/>
          <w:szCs w:val="22"/>
          <w:lang w:eastAsia="en-GB"/>
        </w:rPr>
      </w:pPr>
    </w:p>
    <w:p w:rsidR="005540F6" w:rsidRDefault="005540F6" w:rsidP="005540F6">
      <w:pPr>
        <w:ind w:left="720"/>
        <w:jc w:val="both"/>
        <w:rPr>
          <w:color w:val="000000"/>
          <w:sz w:val="22"/>
          <w:szCs w:val="22"/>
          <w:lang w:eastAsia="en-GB"/>
        </w:rPr>
      </w:pPr>
      <w:r>
        <w:rPr>
          <w:color w:val="000000"/>
          <w:sz w:val="22"/>
          <w:szCs w:val="22"/>
          <w:lang w:eastAsia="en-GB"/>
        </w:rPr>
        <w:t>The proposal includes an aspect that seeks to extend the boundary fence upwards b</w:t>
      </w:r>
      <w:r w:rsidR="00D738C0">
        <w:rPr>
          <w:color w:val="000000"/>
          <w:sz w:val="22"/>
          <w:szCs w:val="22"/>
          <w:lang w:eastAsia="en-GB"/>
        </w:rPr>
        <w:t>y 1m, to a maximum height of 3m, on the boundary with No 84.</w:t>
      </w:r>
      <w:r>
        <w:rPr>
          <w:color w:val="000000"/>
          <w:sz w:val="22"/>
          <w:szCs w:val="22"/>
          <w:lang w:eastAsia="en-GB"/>
        </w:rPr>
        <w:t xml:space="preserve"> The agent states that this is to protect the users of the proposal site from the glare of the garden light on the neighbouring property. It is not considered that this 1m increase would cause an overbearing impact on the neighbours on that side, especially as there are no windows on the side of the neighbouring property.</w:t>
      </w:r>
    </w:p>
    <w:p w:rsidR="005540F6" w:rsidRPr="00356D64" w:rsidRDefault="005540F6" w:rsidP="005540F6">
      <w:pPr>
        <w:ind w:left="720"/>
        <w:jc w:val="both"/>
        <w:rPr>
          <w:color w:val="000000"/>
          <w:sz w:val="22"/>
          <w:szCs w:val="22"/>
          <w:lang w:eastAsia="en-GB"/>
        </w:rPr>
      </w:pPr>
    </w:p>
    <w:p w:rsidR="00C912FB" w:rsidRDefault="00C912FB" w:rsidP="00C912FB">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C912FB" w:rsidRPr="00FA05A6" w:rsidRDefault="00C912FB" w:rsidP="00C912FB">
      <w:pPr>
        <w:ind w:left="720"/>
        <w:jc w:val="both"/>
        <w:rPr>
          <w:bCs/>
          <w:sz w:val="22"/>
          <w:szCs w:val="22"/>
          <w:lang w:eastAsia="en-GB"/>
        </w:rPr>
      </w:pPr>
      <w:r w:rsidRPr="00017B55">
        <w:rPr>
          <w:bCs/>
          <w:sz w:val="22"/>
          <w:szCs w:val="22"/>
          <w:lang w:eastAsia="en-GB"/>
        </w:rPr>
        <w:t>The proposed development has been assessed as set out above and is considered to be acceptable on that basis, subject to the following conditions.</w:t>
      </w:r>
    </w:p>
    <w:p w:rsidR="00C912FB" w:rsidRPr="00356D64" w:rsidRDefault="00C912FB" w:rsidP="00B045B7">
      <w:pPr>
        <w:jc w:val="both"/>
        <w:rPr>
          <w:rFonts w:cs="Trebuchet MS"/>
          <w:sz w:val="22"/>
          <w:szCs w:val="22"/>
          <w:u w:val="single"/>
          <w:lang w:eastAsia="en-GB"/>
        </w:rPr>
      </w:pPr>
    </w:p>
    <w:p w:rsidR="00C912FB" w:rsidRPr="00FF3B1B" w:rsidRDefault="00C912FB">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sidR="00B045B7">
        <w:rPr>
          <w:rFonts w:ascii="Trebuchet MS" w:hAnsi="Trebuchet MS"/>
          <w:b/>
          <w:bCs/>
          <w:sz w:val="22"/>
          <w:szCs w:val="22"/>
        </w:rPr>
        <w:t>ECOMMENDATION</w:t>
      </w:r>
      <w:r w:rsidR="00017B55">
        <w:rPr>
          <w:rFonts w:ascii="Trebuchet MS" w:hAnsi="Trebuchet MS"/>
          <w:b/>
          <w:bCs/>
          <w:sz w:val="22"/>
          <w:szCs w:val="22"/>
        </w:rPr>
        <w:t xml:space="preserve">: </w:t>
      </w:r>
      <w:r w:rsidR="00017B55" w:rsidRPr="00017B55">
        <w:rPr>
          <w:rFonts w:ascii="Trebuchet MS" w:hAnsi="Trebuchet MS"/>
          <w:bCs/>
          <w:sz w:val="22"/>
          <w:szCs w:val="22"/>
        </w:rPr>
        <w:t>Grant</w:t>
      </w:r>
      <w:r w:rsidRPr="00FF3B1B">
        <w:rPr>
          <w:rFonts w:ascii="Trebuchet MS" w:hAnsi="Trebuchet MS"/>
          <w:b/>
          <w:bCs/>
          <w:sz w:val="22"/>
          <w:szCs w:val="22"/>
        </w:rPr>
        <w:t xml:space="preserve"> </w:t>
      </w:r>
    </w:p>
    <w:p w:rsidR="00C912FB" w:rsidRDefault="00C912FB" w:rsidP="00B045B7">
      <w:pPr>
        <w:ind w:left="720"/>
        <w:jc w:val="both"/>
        <w:rPr>
          <w:rFonts w:cs="Trebuchet MS"/>
          <w:sz w:val="22"/>
          <w:szCs w:val="22"/>
          <w:lang w:eastAsia="en-GB"/>
        </w:rPr>
      </w:pPr>
      <w:r w:rsidRPr="006511AF">
        <w:rPr>
          <w:rFonts w:cs="Trebuchet MS"/>
          <w:sz w:val="22"/>
          <w:szCs w:val="22"/>
          <w:lang w:eastAsia="en-GB"/>
        </w:rPr>
        <w:t>Recommended Conditions:</w:t>
      </w:r>
    </w:p>
    <w:p w:rsidR="00017B55" w:rsidRDefault="00017B55" w:rsidP="00C912FB">
      <w:pPr>
        <w:ind w:left="731" w:hanging="11"/>
        <w:jc w:val="both"/>
        <w:rPr>
          <w:rFonts w:cs="Trebuchet MS"/>
          <w:sz w:val="22"/>
          <w:szCs w:val="22"/>
          <w:lang w:eastAsia="en-GB"/>
        </w:rPr>
      </w:pPr>
      <w:r>
        <w:rPr>
          <w:rFonts w:cs="Trebuchet MS"/>
          <w:sz w:val="22"/>
          <w:szCs w:val="22"/>
          <w:lang w:eastAsia="en-GB"/>
        </w:rPr>
        <w:t>Approved Plans</w:t>
      </w:r>
    </w:p>
    <w:p w:rsidR="00017B55" w:rsidRDefault="00B045B7" w:rsidP="00C912FB">
      <w:pPr>
        <w:ind w:left="731" w:hanging="11"/>
        <w:jc w:val="both"/>
        <w:rPr>
          <w:rFonts w:cs="Trebuchet MS"/>
          <w:sz w:val="22"/>
          <w:szCs w:val="22"/>
          <w:lang w:eastAsia="en-GB"/>
        </w:rPr>
      </w:pPr>
      <w:r>
        <w:rPr>
          <w:rFonts w:cs="Trebuchet MS"/>
          <w:sz w:val="22"/>
          <w:szCs w:val="22"/>
          <w:lang w:eastAsia="en-GB"/>
        </w:rPr>
        <w:t xml:space="preserve">Materials </w:t>
      </w:r>
      <w:r w:rsidR="00740D4C">
        <w:rPr>
          <w:rFonts w:cs="Trebuchet MS"/>
          <w:sz w:val="22"/>
          <w:szCs w:val="22"/>
          <w:lang w:eastAsia="en-GB"/>
        </w:rPr>
        <w:t>As Specified</w:t>
      </w:r>
    </w:p>
    <w:p w:rsidR="00B045B7" w:rsidRDefault="00B045B7" w:rsidP="00C912FB">
      <w:pPr>
        <w:ind w:left="731" w:hanging="11"/>
        <w:jc w:val="both"/>
        <w:rPr>
          <w:rFonts w:cs="Trebuchet MS"/>
          <w:sz w:val="22"/>
          <w:szCs w:val="22"/>
          <w:lang w:eastAsia="en-GB"/>
        </w:rPr>
      </w:pPr>
      <w:r>
        <w:rPr>
          <w:rFonts w:cs="Trebuchet MS"/>
          <w:sz w:val="22"/>
          <w:szCs w:val="22"/>
          <w:lang w:eastAsia="en-GB"/>
        </w:rPr>
        <w:t>Time Limit Standards</w:t>
      </w:r>
    </w:p>
    <w:p w:rsidR="00B045B7" w:rsidRPr="006511AF" w:rsidRDefault="00B045B7" w:rsidP="00C912FB">
      <w:pPr>
        <w:ind w:left="731" w:hanging="11"/>
        <w:jc w:val="both"/>
        <w:rPr>
          <w:rFonts w:cs="Trebuchet MS"/>
          <w:sz w:val="22"/>
          <w:szCs w:val="22"/>
          <w:lang w:eastAsia="en-GB"/>
        </w:rPr>
      </w:pPr>
      <w:r>
        <w:rPr>
          <w:rFonts w:cs="Trebuchet MS"/>
          <w:sz w:val="22"/>
          <w:szCs w:val="22"/>
          <w:lang w:eastAsia="en-GB"/>
        </w:rPr>
        <w:t>Vehicle spaces as Specified</w:t>
      </w:r>
    </w:p>
    <w:sectPr w:rsidR="00B045B7" w:rsidRPr="006511AF" w:rsidSect="00C912FB">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D9D" w:rsidRDefault="00624D9D">
      <w:r>
        <w:separator/>
      </w:r>
    </w:p>
  </w:endnote>
  <w:endnote w:type="continuationSeparator" w:id="0">
    <w:p w:rsidR="00624D9D" w:rsidRDefault="0062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9D" w:rsidRDefault="00624D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D9D" w:rsidRDefault="00624D9D">
      <w:r>
        <w:separator/>
      </w:r>
    </w:p>
  </w:footnote>
  <w:footnote w:type="continuationSeparator" w:id="0">
    <w:p w:rsidR="00624D9D" w:rsidRDefault="00624D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7B55"/>
    <w:rsid w:val="00037ED8"/>
    <w:rsid w:val="000B4DB2"/>
    <w:rsid w:val="001068F4"/>
    <w:rsid w:val="00283A77"/>
    <w:rsid w:val="00365587"/>
    <w:rsid w:val="003839F2"/>
    <w:rsid w:val="00441DBF"/>
    <w:rsid w:val="005410FF"/>
    <w:rsid w:val="005540F6"/>
    <w:rsid w:val="00606DCD"/>
    <w:rsid w:val="00624D9D"/>
    <w:rsid w:val="006966F9"/>
    <w:rsid w:val="00740D4C"/>
    <w:rsid w:val="0075343B"/>
    <w:rsid w:val="008E01C8"/>
    <w:rsid w:val="009B7158"/>
    <w:rsid w:val="00B045B7"/>
    <w:rsid w:val="00B04C2E"/>
    <w:rsid w:val="00B759AF"/>
    <w:rsid w:val="00C912FB"/>
    <w:rsid w:val="00D25B51"/>
    <w:rsid w:val="00D738C0"/>
    <w:rsid w:val="00DB28DC"/>
    <w:rsid w:val="00E25853"/>
    <w:rsid w:val="00F64E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5DBEE12D"/>
  <w15:chartTrackingRefBased/>
  <w15:docId w15:val="{CDDA8C4E-B163-4406-B126-6EFDD0431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F64ED3"/>
    <w:rPr>
      <w:sz w:val="16"/>
      <w:szCs w:val="16"/>
    </w:rPr>
  </w:style>
  <w:style w:type="paragraph" w:styleId="CommentText">
    <w:name w:val="annotation text"/>
    <w:basedOn w:val="Normal"/>
    <w:link w:val="CommentTextChar"/>
    <w:rsid w:val="00F64ED3"/>
    <w:rPr>
      <w:sz w:val="20"/>
    </w:rPr>
  </w:style>
  <w:style w:type="character" w:customStyle="1" w:styleId="CommentTextChar">
    <w:name w:val="Comment Text Char"/>
    <w:link w:val="CommentText"/>
    <w:rsid w:val="00F64ED3"/>
    <w:rPr>
      <w:rFonts w:ascii="Trebuchet MS" w:hAnsi="Trebuchet MS"/>
      <w:lang w:eastAsia="en-US"/>
    </w:rPr>
  </w:style>
  <w:style w:type="paragraph" w:styleId="CommentSubject">
    <w:name w:val="annotation subject"/>
    <w:basedOn w:val="CommentText"/>
    <w:next w:val="CommentText"/>
    <w:link w:val="CommentSubjectChar"/>
    <w:rsid w:val="00F64ED3"/>
    <w:rPr>
      <w:b/>
      <w:bCs/>
    </w:rPr>
  </w:style>
  <w:style w:type="character" w:customStyle="1" w:styleId="CommentSubjectChar">
    <w:name w:val="Comment Subject Char"/>
    <w:link w:val="CommentSubject"/>
    <w:rsid w:val="00F64ED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896</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3</cp:revision>
  <cp:lastPrinted>2012-06-25T10:52:00Z</cp:lastPrinted>
  <dcterms:created xsi:type="dcterms:W3CDTF">2024-03-06T13:11:00Z</dcterms:created>
  <dcterms:modified xsi:type="dcterms:W3CDTF">2024-03-06T13:11:00Z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