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4D1" w:rsidRDefault="00A42B41" w:rsidP="00FE54D1">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FE54D1" w:rsidRDefault="00FE54D1">
      <w:pPr>
        <w:pStyle w:val="BodyText"/>
        <w:tabs>
          <w:tab w:val="left" w:pos="2552"/>
        </w:tabs>
        <w:ind w:left="2552" w:hanging="2552"/>
        <w:jc w:val="both"/>
        <w:rPr>
          <w:rFonts w:ascii="Trebuchet MS" w:hAnsi="Trebuchet MS"/>
          <w:sz w:val="22"/>
          <w:szCs w:val="22"/>
        </w:rPr>
      </w:pPr>
    </w:p>
    <w:p w:rsidR="00FE54D1" w:rsidRPr="00FF3B1B" w:rsidRDefault="00047935" w:rsidP="00FE54D1">
      <w:pPr>
        <w:pStyle w:val="BodyText"/>
        <w:tabs>
          <w:tab w:val="left" w:pos="2552"/>
        </w:tabs>
        <w:ind w:left="3272" w:hanging="2552"/>
        <w:jc w:val="both"/>
        <w:rPr>
          <w:rFonts w:ascii="Trebuchet MS" w:hAnsi="Trebuchet MS"/>
          <w:sz w:val="22"/>
          <w:szCs w:val="22"/>
        </w:rPr>
      </w:pPr>
      <w:r>
        <w:rPr>
          <w:rFonts w:ascii="Trebuchet MS" w:hAnsi="Trebuchet MS"/>
          <w:sz w:val="22"/>
          <w:szCs w:val="22"/>
        </w:rPr>
        <w:t xml:space="preserve">DELEGATED </w:t>
      </w:r>
      <w:r w:rsidR="00FE54D1" w:rsidRPr="00FF3B1B">
        <w:rPr>
          <w:rFonts w:ascii="Trebuchet MS" w:hAnsi="Trebuchet MS"/>
          <w:sz w:val="22"/>
          <w:szCs w:val="22"/>
        </w:rPr>
        <w:t>APPLICATION REPORT</w:t>
      </w:r>
    </w:p>
    <w:p w:rsidR="00FE54D1" w:rsidRPr="00FF3B1B" w:rsidRDefault="00FE54D1" w:rsidP="00FE54D1">
      <w:pPr>
        <w:pStyle w:val="BodyText"/>
        <w:tabs>
          <w:tab w:val="left" w:pos="2552"/>
        </w:tabs>
        <w:ind w:left="3272" w:hanging="2552"/>
        <w:jc w:val="both"/>
        <w:rPr>
          <w:rFonts w:ascii="Trebuchet MS" w:hAnsi="Trebuchet MS"/>
          <w:sz w:val="22"/>
          <w:szCs w:val="22"/>
        </w:rPr>
      </w:pPr>
    </w:p>
    <w:p w:rsidR="00FE54D1" w:rsidRPr="00FF3B1B" w:rsidRDefault="00FE54D1" w:rsidP="00FE54D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FE54D1" w:rsidRPr="00FF3B1B" w:rsidRDefault="00FE54D1" w:rsidP="00FE54D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240151</w:t>
      </w:r>
      <w:r w:rsidRPr="00FF3B1B">
        <w:rPr>
          <w:rFonts w:ascii="Trebuchet MS" w:hAnsi="Trebuchet MS"/>
          <w:b w:val="0"/>
          <w:sz w:val="22"/>
          <w:szCs w:val="22"/>
        </w:rPr>
        <w:t>/</w:t>
      </w:r>
      <w:r w:rsidRPr="00FF3B1B">
        <w:rPr>
          <w:rFonts w:ascii="Trebuchet MS" w:hAnsi="Trebuchet MS"/>
          <w:sz w:val="22"/>
          <w:szCs w:val="22"/>
        </w:rPr>
        <w:t>ADV</w:t>
      </w:r>
    </w:p>
    <w:p w:rsidR="00FE54D1" w:rsidRPr="00FF3B1B" w:rsidRDefault="00FE54D1" w:rsidP="00FE54D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400 Longwater Avenue, Reading, RG2 6GF</w:t>
      </w:r>
    </w:p>
    <w:p w:rsidR="00FE54D1" w:rsidRPr="00FF3B1B" w:rsidRDefault="00FE54D1" w:rsidP="00FE54D1">
      <w:pPr>
        <w:ind w:left="720"/>
        <w:rPr>
          <w:sz w:val="22"/>
          <w:szCs w:val="22"/>
        </w:rPr>
      </w:pPr>
      <w:r w:rsidRPr="00FF3B1B">
        <w:rPr>
          <w:b/>
          <w:sz w:val="22"/>
          <w:szCs w:val="22"/>
        </w:rPr>
        <w:t>Proposals</w:t>
      </w:r>
      <w:r w:rsidRPr="00FF3B1B">
        <w:rPr>
          <w:sz w:val="22"/>
          <w:szCs w:val="22"/>
        </w:rPr>
        <w:t xml:space="preserve">: </w:t>
      </w:r>
      <w:r>
        <w:rPr>
          <w:rFonts w:cs="Trebuchet MS"/>
          <w:sz w:val="22"/>
          <w:szCs w:val="22"/>
        </w:rPr>
        <w:t>Internally illuminated fascia sign</w:t>
      </w:r>
    </w:p>
    <w:p w:rsidR="00FE54D1" w:rsidRPr="00FF3B1B" w:rsidRDefault="00FE54D1" w:rsidP="00FE54D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E54D1" w:rsidRPr="00FF3B1B" w:rsidRDefault="00FE54D1" w:rsidP="00FE54D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Wood Group</w:t>
      </w:r>
    </w:p>
    <w:p w:rsidR="007C7FEB" w:rsidRDefault="00FE54D1" w:rsidP="00FE54D1">
      <w:pPr>
        <w:pStyle w:val="BodyText"/>
        <w:ind w:left="720"/>
        <w:jc w:val="both"/>
        <w:rPr>
          <w:rFonts w:ascii="Trebuchet MS" w:hAnsi="Trebuchet MS"/>
          <w:sz w:val="22"/>
          <w:szCs w:val="22"/>
        </w:rPr>
      </w:pPr>
      <w:r w:rsidRPr="00FF3B1B">
        <w:rPr>
          <w:rFonts w:ascii="Trebuchet MS" w:hAnsi="Trebuchet MS"/>
          <w:sz w:val="22"/>
          <w:szCs w:val="22"/>
        </w:rPr>
        <w:t>Date received (valid from): 4 March 2024</w:t>
      </w:r>
      <w:r>
        <w:rPr>
          <w:rFonts w:ascii="Trebuchet MS" w:hAnsi="Trebuchet MS"/>
          <w:sz w:val="22"/>
          <w:szCs w:val="22"/>
        </w:rPr>
        <w:t xml:space="preserve">      </w:t>
      </w:r>
    </w:p>
    <w:p w:rsidR="00FE54D1" w:rsidRPr="00FF3B1B" w:rsidRDefault="00FE54D1" w:rsidP="00FE54D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6315B">
        <w:rPr>
          <w:rFonts w:ascii="Trebuchet MS" w:hAnsi="Trebuchet MS" w:cs="Trebuchet MS"/>
          <w:noProof/>
          <w:sz w:val="22"/>
          <w:szCs w:val="22"/>
        </w:rPr>
        <w:t>18 May</w:t>
      </w:r>
      <w:r w:rsidRPr="00FF3B1B">
        <w:rPr>
          <w:rFonts w:ascii="Trebuchet MS" w:hAnsi="Trebuchet MS" w:cs="Trebuchet MS"/>
          <w:sz w:val="22"/>
          <w:szCs w:val="22"/>
        </w:rPr>
        <w:t xml:space="preserve"> 2024</w:t>
      </w:r>
      <w:r w:rsidRPr="00FF3B1B">
        <w:rPr>
          <w:rFonts w:ascii="Trebuchet MS" w:hAnsi="Trebuchet MS"/>
          <w:sz w:val="22"/>
          <w:szCs w:val="22"/>
        </w:rPr>
        <w:tab/>
      </w:r>
    </w:p>
    <w:p w:rsidR="00FE54D1" w:rsidRPr="00FF3B1B" w:rsidRDefault="00FE54D1">
      <w:pPr>
        <w:pStyle w:val="BodyText"/>
        <w:tabs>
          <w:tab w:val="left" w:pos="2552"/>
        </w:tabs>
        <w:ind w:left="2552" w:hanging="2552"/>
        <w:jc w:val="both"/>
        <w:rPr>
          <w:rFonts w:ascii="Trebuchet MS" w:hAnsi="Trebuchet MS"/>
          <w:b w:val="0"/>
          <w:sz w:val="22"/>
          <w:szCs w:val="22"/>
        </w:rPr>
      </w:pPr>
    </w:p>
    <w:p w:rsidR="00FE54D1" w:rsidRPr="00FF3B1B" w:rsidRDefault="00FE54D1">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FE54D1" w:rsidRPr="00FF3B1B" w:rsidRDefault="00FE54D1">
      <w:pPr>
        <w:jc w:val="both"/>
        <w:rPr>
          <w:sz w:val="22"/>
          <w:szCs w:val="22"/>
        </w:rPr>
      </w:pPr>
    </w:p>
    <w:p w:rsidR="00FE54D1" w:rsidRPr="00FE54D1" w:rsidRDefault="00214F3A" w:rsidP="00214F3A">
      <w:pPr>
        <w:ind w:left="720"/>
        <w:jc w:val="both"/>
        <w:rPr>
          <w:bCs/>
          <w:sz w:val="22"/>
          <w:szCs w:val="22"/>
        </w:rPr>
      </w:pPr>
      <w:r w:rsidRPr="00FE54D1">
        <w:rPr>
          <w:bCs/>
          <w:sz w:val="22"/>
          <w:szCs w:val="22"/>
        </w:rPr>
        <w:t>The application site comprises of two five-story office blocks of the same design and height; one to the north and another to the south and car parks west and south of the site.</w:t>
      </w:r>
      <w:r>
        <w:rPr>
          <w:bCs/>
          <w:sz w:val="22"/>
          <w:szCs w:val="22"/>
        </w:rPr>
        <w:t xml:space="preserve">  W</w:t>
      </w:r>
      <w:r w:rsidR="00FE54D1" w:rsidRPr="00FE54D1">
        <w:rPr>
          <w:bCs/>
          <w:sz w:val="22"/>
          <w:szCs w:val="22"/>
        </w:rPr>
        <w:t>est of the site across the road is undevelo</w:t>
      </w:r>
      <w:r>
        <w:rPr>
          <w:bCs/>
          <w:sz w:val="22"/>
          <w:szCs w:val="22"/>
        </w:rPr>
        <w:t>ped land and to the east is Fou</w:t>
      </w:r>
      <w:r w:rsidR="00FE54D1" w:rsidRPr="00FE54D1">
        <w:rPr>
          <w:bCs/>
          <w:sz w:val="22"/>
          <w:szCs w:val="22"/>
        </w:rPr>
        <w:t>dry Brook beyond which are various office buildings and l</w:t>
      </w:r>
      <w:r>
        <w:rPr>
          <w:bCs/>
          <w:sz w:val="22"/>
          <w:szCs w:val="22"/>
        </w:rPr>
        <w:t>arge open car parks. The area is predominantly comprised of multi-</w:t>
      </w:r>
      <w:r w:rsidR="00FE54D1" w:rsidRPr="00FE54D1">
        <w:rPr>
          <w:bCs/>
          <w:sz w:val="22"/>
          <w:szCs w:val="22"/>
        </w:rPr>
        <w:t xml:space="preserve">story office buildings of different types and sizes. </w:t>
      </w:r>
    </w:p>
    <w:p w:rsidR="00FE54D1" w:rsidRDefault="00FE54D1" w:rsidP="00FE54D1">
      <w:pPr>
        <w:ind w:firstLine="720"/>
        <w:jc w:val="both"/>
        <w:rPr>
          <w:bCs/>
          <w:sz w:val="22"/>
          <w:szCs w:val="22"/>
        </w:rPr>
      </w:pPr>
    </w:p>
    <w:p w:rsidR="00B53D3D" w:rsidRDefault="00B53D3D" w:rsidP="00FE54D1">
      <w:pPr>
        <w:ind w:left="720"/>
        <w:jc w:val="both"/>
        <w:rPr>
          <w:bCs/>
          <w:sz w:val="22"/>
          <w:szCs w:val="22"/>
        </w:rPr>
      </w:pPr>
    </w:p>
    <w:p w:rsidR="00B53D3D" w:rsidRPr="00FE54D1" w:rsidRDefault="00A42B41" w:rsidP="00FE54D1">
      <w:pPr>
        <w:ind w:left="720"/>
        <w:jc w:val="both"/>
        <w:rPr>
          <w:bCs/>
          <w:sz w:val="22"/>
          <w:szCs w:val="22"/>
        </w:rPr>
      </w:pPr>
      <w:r w:rsidRPr="00191AC2">
        <w:rPr>
          <w:noProof/>
          <w:lang w:eastAsia="en-GB"/>
        </w:rPr>
        <w:drawing>
          <wp:inline distT="0" distB="0" distL="0" distR="0">
            <wp:extent cx="2312035" cy="14147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2035" cy="1414780"/>
                    </a:xfrm>
                    <a:prstGeom prst="rect">
                      <a:avLst/>
                    </a:prstGeom>
                    <a:noFill/>
                    <a:ln>
                      <a:noFill/>
                    </a:ln>
                  </pic:spPr>
                </pic:pic>
              </a:graphicData>
            </a:graphic>
          </wp:inline>
        </w:drawing>
      </w:r>
      <w:r w:rsidR="00B53D3D">
        <w:rPr>
          <w:noProof/>
          <w:lang w:eastAsia="en-GB"/>
        </w:rPr>
        <w:t xml:space="preserve">  </w:t>
      </w:r>
      <w:r w:rsidRPr="00191AC2">
        <w:rPr>
          <w:noProof/>
          <w:lang w:eastAsia="en-GB"/>
        </w:rPr>
        <w:drawing>
          <wp:inline distT="0" distB="0" distL="0" distR="0">
            <wp:extent cx="2863850" cy="14147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3850" cy="1414780"/>
                    </a:xfrm>
                    <a:prstGeom prst="rect">
                      <a:avLst/>
                    </a:prstGeom>
                    <a:noFill/>
                    <a:ln>
                      <a:noFill/>
                    </a:ln>
                  </pic:spPr>
                </pic:pic>
              </a:graphicData>
            </a:graphic>
          </wp:inline>
        </w:drawing>
      </w:r>
      <w:r w:rsidR="00B53D3D" w:rsidRPr="00191AC2">
        <w:rPr>
          <w:noProof/>
          <w:lang w:eastAsia="en-GB"/>
        </w:rPr>
        <w:t xml:space="preserve"> </w:t>
      </w:r>
      <w:r w:rsidRPr="00191AC2">
        <w:rPr>
          <w:noProof/>
          <w:lang w:eastAsia="en-GB"/>
        </w:rPr>
        <w:drawing>
          <wp:inline distT="0" distB="0" distL="0" distR="0">
            <wp:extent cx="5667375" cy="20701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2070100"/>
                    </a:xfrm>
                    <a:prstGeom prst="rect">
                      <a:avLst/>
                    </a:prstGeom>
                    <a:noFill/>
                    <a:ln>
                      <a:noFill/>
                    </a:ln>
                  </pic:spPr>
                </pic:pic>
              </a:graphicData>
            </a:graphic>
          </wp:inline>
        </w:drawing>
      </w:r>
      <w:r w:rsidR="00B53D3D">
        <w:rPr>
          <w:noProof/>
          <w:lang w:eastAsia="en-GB"/>
        </w:rPr>
        <w:t xml:space="preserve">    </w:t>
      </w:r>
    </w:p>
    <w:p w:rsidR="00FE54D1" w:rsidRPr="00FE54D1" w:rsidRDefault="00FE54D1" w:rsidP="00FE54D1">
      <w:pPr>
        <w:jc w:val="both"/>
        <w:rPr>
          <w:bCs/>
          <w:sz w:val="22"/>
          <w:szCs w:val="22"/>
        </w:rPr>
      </w:pPr>
    </w:p>
    <w:p w:rsidR="00FE54D1" w:rsidRPr="00FF3B1B" w:rsidRDefault="00FE54D1">
      <w:pPr>
        <w:jc w:val="both"/>
        <w:rPr>
          <w:b/>
          <w:bCs/>
          <w:sz w:val="22"/>
          <w:szCs w:val="22"/>
        </w:rPr>
      </w:pPr>
      <w:r w:rsidRPr="00FF3B1B">
        <w:rPr>
          <w:b/>
          <w:bCs/>
          <w:sz w:val="22"/>
          <w:szCs w:val="22"/>
        </w:rPr>
        <w:t>2.</w:t>
      </w:r>
      <w:r w:rsidRPr="00FF3B1B">
        <w:rPr>
          <w:b/>
          <w:bCs/>
          <w:sz w:val="22"/>
          <w:szCs w:val="22"/>
        </w:rPr>
        <w:tab/>
        <w:t>PROPOSAL AND SUPPORTING INFORMATION</w:t>
      </w:r>
    </w:p>
    <w:p w:rsidR="007C7FEB" w:rsidRPr="00FF3B1B" w:rsidRDefault="007C7FEB" w:rsidP="007C7FEB">
      <w:pPr>
        <w:ind w:left="720"/>
        <w:rPr>
          <w:sz w:val="22"/>
          <w:szCs w:val="22"/>
        </w:rPr>
      </w:pPr>
      <w:r>
        <w:rPr>
          <w:sz w:val="22"/>
          <w:szCs w:val="22"/>
        </w:rPr>
        <w:t>The proposal is for an internally illuminated fascia sign measuring 1.72m in height, 5.67m in width and 0.12m in depth. It is to be hung 14.30m from the ground, projecting 0.15m from the face of the building, with letterings of maximum height 0.17m and illuminance levels of 20cd/m</w:t>
      </w:r>
      <w:r w:rsidRPr="007C7FEB">
        <w:rPr>
          <w:sz w:val="22"/>
          <w:szCs w:val="22"/>
          <w:vertAlign w:val="superscript"/>
        </w:rPr>
        <w:t>2</w:t>
      </w:r>
      <w:r>
        <w:rPr>
          <w:sz w:val="22"/>
          <w:szCs w:val="22"/>
          <w:vertAlign w:val="superscript"/>
        </w:rPr>
        <w:t xml:space="preserve">. </w:t>
      </w:r>
      <w:r>
        <w:rPr>
          <w:sz w:val="22"/>
          <w:szCs w:val="22"/>
        </w:rPr>
        <w:t>The illumination is proposed to be static.</w:t>
      </w:r>
    </w:p>
    <w:p w:rsidR="00FE54D1" w:rsidRPr="00FF3B1B" w:rsidRDefault="00FE54D1" w:rsidP="00D6451B">
      <w:pPr>
        <w:pStyle w:val="BodyText"/>
        <w:jc w:val="both"/>
        <w:rPr>
          <w:rFonts w:ascii="Trebuchet MS" w:hAnsi="Trebuchet MS"/>
          <w:b w:val="0"/>
          <w:sz w:val="22"/>
          <w:szCs w:val="22"/>
        </w:rPr>
      </w:pPr>
    </w:p>
    <w:p w:rsidR="00FE54D1" w:rsidRDefault="00FE54D1" w:rsidP="007C7FE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7C7FEB">
        <w:rPr>
          <w:rFonts w:ascii="Trebuchet MS" w:hAnsi="Trebuchet MS"/>
          <w:b w:val="0"/>
          <w:bCs/>
          <w:sz w:val="22"/>
          <w:szCs w:val="22"/>
        </w:rPr>
        <w:t xml:space="preserve"> dated 12/01/2024 and received 07/02/2024</w:t>
      </w:r>
    </w:p>
    <w:p w:rsidR="00FE54D1" w:rsidRDefault="007C7FEB" w:rsidP="007C7FEB">
      <w:pPr>
        <w:pStyle w:val="BodyText"/>
        <w:ind w:left="720"/>
        <w:jc w:val="both"/>
        <w:rPr>
          <w:rFonts w:ascii="Trebuchet MS" w:hAnsi="Trebuchet MS"/>
          <w:b w:val="0"/>
          <w:bCs/>
          <w:sz w:val="22"/>
          <w:szCs w:val="22"/>
        </w:rPr>
      </w:pPr>
      <w:r w:rsidRPr="007C7FEB">
        <w:rPr>
          <w:rFonts w:ascii="Trebuchet MS" w:hAnsi="Trebuchet MS"/>
          <w:b w:val="0"/>
          <w:bCs/>
          <w:sz w:val="22"/>
          <w:szCs w:val="22"/>
        </w:rPr>
        <w:t>Drawing No P001: Site Location Plan</w:t>
      </w:r>
    </w:p>
    <w:p w:rsidR="00D6451B" w:rsidRPr="00FF3B1B" w:rsidRDefault="00D6451B" w:rsidP="00D6451B">
      <w:pPr>
        <w:pStyle w:val="BodyText"/>
        <w:ind w:left="720"/>
        <w:jc w:val="both"/>
        <w:rPr>
          <w:rFonts w:ascii="Trebuchet MS" w:hAnsi="Trebuchet MS"/>
          <w:b w:val="0"/>
          <w:sz w:val="22"/>
          <w:szCs w:val="22"/>
        </w:rPr>
      </w:pPr>
      <w:r>
        <w:rPr>
          <w:rFonts w:ascii="Trebuchet MS" w:hAnsi="Trebuchet MS"/>
          <w:b w:val="0"/>
          <w:bCs/>
          <w:sz w:val="22"/>
          <w:szCs w:val="22"/>
        </w:rPr>
        <w:t>Drawing No P002</w:t>
      </w:r>
      <w:r w:rsidRPr="007C7FEB">
        <w:rPr>
          <w:rFonts w:ascii="Trebuchet MS" w:hAnsi="Trebuchet MS"/>
          <w:b w:val="0"/>
          <w:bCs/>
          <w:sz w:val="22"/>
          <w:szCs w:val="22"/>
        </w:rPr>
        <w:t xml:space="preserve">: </w:t>
      </w:r>
      <w:r>
        <w:rPr>
          <w:rFonts w:ascii="Trebuchet MS" w:hAnsi="Trebuchet MS"/>
          <w:b w:val="0"/>
          <w:bCs/>
          <w:sz w:val="22"/>
          <w:szCs w:val="22"/>
        </w:rPr>
        <w:t>Existing Elevation</w:t>
      </w:r>
    </w:p>
    <w:p w:rsidR="00D6451B" w:rsidRDefault="00D6451B" w:rsidP="00D6451B">
      <w:pPr>
        <w:pStyle w:val="BodyText"/>
        <w:ind w:left="720"/>
        <w:jc w:val="both"/>
        <w:rPr>
          <w:rFonts w:ascii="Trebuchet MS" w:hAnsi="Trebuchet MS"/>
          <w:b w:val="0"/>
          <w:bCs/>
          <w:sz w:val="22"/>
          <w:szCs w:val="22"/>
        </w:rPr>
      </w:pPr>
      <w:r w:rsidRPr="007C7FEB">
        <w:rPr>
          <w:rFonts w:ascii="Trebuchet MS" w:hAnsi="Trebuchet MS"/>
          <w:b w:val="0"/>
          <w:bCs/>
          <w:sz w:val="22"/>
          <w:szCs w:val="22"/>
        </w:rPr>
        <w:t xml:space="preserve">Drawing No P001: </w:t>
      </w:r>
      <w:r>
        <w:rPr>
          <w:rFonts w:ascii="Trebuchet MS" w:hAnsi="Trebuchet MS"/>
          <w:b w:val="0"/>
          <w:bCs/>
          <w:sz w:val="22"/>
          <w:szCs w:val="22"/>
        </w:rPr>
        <w:t>Proposed Plan &amp; Elevation</w:t>
      </w:r>
    </w:p>
    <w:p w:rsidR="00D6451B" w:rsidRDefault="00D6451B" w:rsidP="00D6451B">
      <w:pPr>
        <w:pStyle w:val="BodyText"/>
        <w:ind w:left="720"/>
        <w:jc w:val="both"/>
        <w:rPr>
          <w:rFonts w:ascii="Trebuchet MS" w:hAnsi="Trebuchet MS"/>
          <w:b w:val="0"/>
          <w:bCs/>
          <w:sz w:val="22"/>
          <w:szCs w:val="22"/>
        </w:rPr>
      </w:pPr>
    </w:p>
    <w:p w:rsidR="00D6451B" w:rsidRDefault="00A42B41" w:rsidP="00D6451B">
      <w:pPr>
        <w:pStyle w:val="BodyText"/>
        <w:ind w:left="720"/>
        <w:jc w:val="both"/>
        <w:rPr>
          <w:noProof/>
          <w:lang w:eastAsia="en-GB"/>
        </w:rPr>
      </w:pPr>
      <w:r w:rsidRPr="00191AC2">
        <w:rPr>
          <w:noProof/>
          <w:lang w:eastAsia="en-GB"/>
        </w:rPr>
        <w:lastRenderedPageBreak/>
        <w:drawing>
          <wp:inline distT="0" distB="0" distL="0" distR="0">
            <wp:extent cx="2769235" cy="15443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9235" cy="1544320"/>
                    </a:xfrm>
                    <a:prstGeom prst="rect">
                      <a:avLst/>
                    </a:prstGeom>
                    <a:noFill/>
                    <a:ln>
                      <a:noFill/>
                    </a:ln>
                  </pic:spPr>
                </pic:pic>
              </a:graphicData>
            </a:graphic>
          </wp:inline>
        </w:drawing>
      </w:r>
      <w:r w:rsidR="00D6451B">
        <w:rPr>
          <w:noProof/>
          <w:lang w:eastAsia="en-GB"/>
        </w:rPr>
        <w:t xml:space="preserve">    </w:t>
      </w:r>
      <w:r w:rsidRPr="00191AC2">
        <w:rPr>
          <w:noProof/>
          <w:lang w:eastAsia="en-GB"/>
        </w:rPr>
        <w:drawing>
          <wp:inline distT="0" distB="0" distL="0" distR="0">
            <wp:extent cx="2415540" cy="136271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5540" cy="1362710"/>
                    </a:xfrm>
                    <a:prstGeom prst="rect">
                      <a:avLst/>
                    </a:prstGeom>
                    <a:noFill/>
                    <a:ln>
                      <a:noFill/>
                    </a:ln>
                  </pic:spPr>
                </pic:pic>
              </a:graphicData>
            </a:graphic>
          </wp:inline>
        </w:drawing>
      </w:r>
    </w:p>
    <w:p w:rsidR="00D6451B" w:rsidRDefault="00D6451B" w:rsidP="00D6451B">
      <w:pPr>
        <w:pStyle w:val="BodyText"/>
        <w:ind w:left="720"/>
        <w:jc w:val="both"/>
        <w:rPr>
          <w:rFonts w:ascii="Trebuchet MS" w:hAnsi="Trebuchet MS"/>
          <w:noProof/>
          <w:sz w:val="22"/>
          <w:szCs w:val="22"/>
          <w:u w:val="single"/>
          <w:lang w:eastAsia="en-GB"/>
        </w:rPr>
      </w:pPr>
      <w:r>
        <w:rPr>
          <w:noProof/>
          <w:lang w:eastAsia="en-GB"/>
        </w:rPr>
        <w:t xml:space="preserve">                     </w:t>
      </w:r>
      <w:r w:rsidRPr="00D6451B">
        <w:rPr>
          <w:rFonts w:ascii="Trebuchet MS" w:hAnsi="Trebuchet MS"/>
          <w:noProof/>
          <w:sz w:val="22"/>
          <w:szCs w:val="22"/>
          <w:u w:val="single"/>
          <w:lang w:eastAsia="en-GB"/>
        </w:rPr>
        <w:t>Existing Elevation                                    Proposed Elevation</w:t>
      </w:r>
    </w:p>
    <w:p w:rsidR="00D6451B" w:rsidRPr="00FF3B1B" w:rsidRDefault="00D6451B" w:rsidP="00E50D2E">
      <w:pPr>
        <w:pStyle w:val="BodyText"/>
        <w:jc w:val="both"/>
        <w:rPr>
          <w:rFonts w:ascii="Trebuchet MS" w:hAnsi="Trebuchet MS"/>
          <w:b w:val="0"/>
          <w:sz w:val="22"/>
          <w:szCs w:val="22"/>
        </w:rPr>
      </w:pPr>
    </w:p>
    <w:p w:rsidR="00FE54D1" w:rsidRPr="00FF3B1B" w:rsidRDefault="00FE54D1">
      <w:pPr>
        <w:pStyle w:val="BodyText"/>
        <w:ind w:left="720" w:hanging="720"/>
        <w:jc w:val="both"/>
        <w:rPr>
          <w:rFonts w:ascii="Trebuchet MS" w:hAnsi="Trebuchet MS"/>
          <w:b w:val="0"/>
          <w:sz w:val="22"/>
          <w:szCs w:val="22"/>
        </w:rPr>
      </w:pPr>
    </w:p>
    <w:p w:rsidR="00FE54D1" w:rsidRPr="00FF3B1B" w:rsidRDefault="00FE54D1">
      <w:pPr>
        <w:numPr>
          <w:ilvl w:val="0"/>
          <w:numId w:val="24"/>
        </w:numPr>
        <w:ind w:hanging="720"/>
        <w:jc w:val="both"/>
        <w:rPr>
          <w:b/>
          <w:bCs/>
          <w:sz w:val="22"/>
          <w:szCs w:val="22"/>
        </w:rPr>
      </w:pPr>
      <w:r w:rsidRPr="00FF3B1B">
        <w:rPr>
          <w:b/>
          <w:bCs/>
          <w:sz w:val="22"/>
          <w:szCs w:val="22"/>
        </w:rPr>
        <w:t xml:space="preserve">RELEVANT PLANNING HISTORY </w:t>
      </w:r>
    </w:p>
    <w:p w:rsidR="00FE54D1" w:rsidRPr="00FF3B1B" w:rsidRDefault="00FE54D1" w:rsidP="00FE54D1">
      <w:pPr>
        <w:jc w:val="both"/>
        <w:rPr>
          <w:b/>
          <w:bCs/>
          <w:sz w:val="22"/>
          <w:szCs w:val="22"/>
        </w:rPr>
      </w:pPr>
    </w:p>
    <w:p w:rsidR="00FE54D1" w:rsidRDefault="00D6451B" w:rsidP="00D6451B">
      <w:pPr>
        <w:ind w:left="720"/>
        <w:jc w:val="both"/>
        <w:rPr>
          <w:bCs/>
          <w:sz w:val="22"/>
          <w:szCs w:val="22"/>
        </w:rPr>
      </w:pPr>
      <w:r>
        <w:rPr>
          <w:bCs/>
          <w:sz w:val="22"/>
          <w:szCs w:val="22"/>
        </w:rPr>
        <w:t>Application Ref: 160569</w:t>
      </w:r>
    </w:p>
    <w:p w:rsidR="00D6451B" w:rsidRDefault="00D6451B" w:rsidP="00D6451B">
      <w:pPr>
        <w:ind w:left="720"/>
        <w:jc w:val="both"/>
        <w:rPr>
          <w:bCs/>
          <w:sz w:val="22"/>
          <w:szCs w:val="22"/>
        </w:rPr>
      </w:pPr>
      <w:r>
        <w:rPr>
          <w:bCs/>
          <w:sz w:val="22"/>
          <w:szCs w:val="22"/>
        </w:rPr>
        <w:t xml:space="preserve">Description: </w:t>
      </w:r>
      <w:r w:rsidRPr="00D6451B">
        <w:rPr>
          <w:bCs/>
          <w:sz w:val="22"/>
          <w:szCs w:val="22"/>
        </w:rPr>
        <w:t>Development of commercial office buildings (B1 Use Class), access,</w:t>
      </w:r>
      <w:r>
        <w:rPr>
          <w:bCs/>
          <w:sz w:val="22"/>
          <w:szCs w:val="22"/>
        </w:rPr>
        <w:t xml:space="preserve"> </w:t>
      </w:r>
      <w:r w:rsidRPr="00D6451B">
        <w:rPr>
          <w:bCs/>
          <w:sz w:val="22"/>
          <w:szCs w:val="22"/>
        </w:rPr>
        <w:t>decked and surface car parking, cycle parking, landscaping, servicing, associated engineering and ancillary works</w:t>
      </w:r>
    </w:p>
    <w:p w:rsidR="00D6451B" w:rsidRDefault="007B7045" w:rsidP="00D6451B">
      <w:pPr>
        <w:ind w:left="720"/>
        <w:jc w:val="both"/>
        <w:rPr>
          <w:bCs/>
          <w:sz w:val="22"/>
          <w:szCs w:val="22"/>
        </w:rPr>
      </w:pPr>
      <w:r>
        <w:rPr>
          <w:bCs/>
          <w:sz w:val="22"/>
          <w:szCs w:val="22"/>
        </w:rPr>
        <w:t>Decision: Permitted (</w:t>
      </w:r>
      <w:r w:rsidR="00D6451B">
        <w:rPr>
          <w:bCs/>
          <w:sz w:val="22"/>
          <w:szCs w:val="22"/>
        </w:rPr>
        <w:t>Committee Decision)</w:t>
      </w:r>
    </w:p>
    <w:p w:rsidR="00D6451B" w:rsidRDefault="00D6451B" w:rsidP="00D6451B">
      <w:pPr>
        <w:ind w:left="720"/>
        <w:jc w:val="both"/>
        <w:rPr>
          <w:bCs/>
          <w:sz w:val="22"/>
          <w:szCs w:val="22"/>
        </w:rPr>
      </w:pPr>
      <w:r>
        <w:rPr>
          <w:bCs/>
          <w:sz w:val="22"/>
          <w:szCs w:val="22"/>
        </w:rPr>
        <w:t>Decision Date: 23/1/2017</w:t>
      </w:r>
    </w:p>
    <w:p w:rsidR="00571A64" w:rsidRPr="00571A64" w:rsidRDefault="00571A64" w:rsidP="00571A64">
      <w:pPr>
        <w:ind w:left="720"/>
        <w:jc w:val="both"/>
        <w:rPr>
          <w:rFonts w:cs="Arial"/>
          <w:sz w:val="22"/>
          <w:szCs w:val="22"/>
        </w:rPr>
      </w:pPr>
      <w:r>
        <w:rPr>
          <w:bCs/>
          <w:sz w:val="22"/>
          <w:szCs w:val="22"/>
        </w:rPr>
        <w:t xml:space="preserve">Relevant Condition in Decision Notice: Condition No </w:t>
      </w:r>
      <w:r w:rsidRPr="00571A64">
        <w:rPr>
          <w:rFonts w:cs="Arial"/>
          <w:sz w:val="22"/>
          <w:szCs w:val="22"/>
        </w:rPr>
        <w:t xml:space="preserve">4. Details of any external lighting of the site (to include type and luminance) shall be submitted to and approved in writing by the Local Planning Authority prior to its installation.  The approved scheme shall be installed, maintained, and operated in accordance with the approved details. </w:t>
      </w:r>
    </w:p>
    <w:p w:rsidR="00571A64" w:rsidRDefault="00571A64" w:rsidP="00571A64">
      <w:pPr>
        <w:ind w:left="720"/>
        <w:jc w:val="both"/>
        <w:rPr>
          <w:rFonts w:cs="Arial"/>
          <w:sz w:val="22"/>
          <w:szCs w:val="22"/>
        </w:rPr>
      </w:pPr>
    </w:p>
    <w:p w:rsidR="00571A64" w:rsidRDefault="00571A64" w:rsidP="00571A64">
      <w:pPr>
        <w:ind w:left="720"/>
        <w:jc w:val="both"/>
        <w:rPr>
          <w:bCs/>
          <w:sz w:val="22"/>
          <w:szCs w:val="22"/>
        </w:rPr>
      </w:pPr>
      <w:r>
        <w:rPr>
          <w:bCs/>
          <w:sz w:val="22"/>
          <w:szCs w:val="22"/>
        </w:rPr>
        <w:t>Application Ref: 181718</w:t>
      </w:r>
    </w:p>
    <w:p w:rsidR="00571A64" w:rsidRDefault="00571A64" w:rsidP="00571A64">
      <w:pPr>
        <w:ind w:left="720"/>
        <w:jc w:val="both"/>
        <w:rPr>
          <w:bCs/>
          <w:sz w:val="22"/>
          <w:szCs w:val="22"/>
        </w:rPr>
      </w:pPr>
      <w:r>
        <w:rPr>
          <w:bCs/>
          <w:sz w:val="22"/>
          <w:szCs w:val="22"/>
        </w:rPr>
        <w:t xml:space="preserve">Description: </w:t>
      </w:r>
      <w:r w:rsidRPr="00571A64">
        <w:rPr>
          <w:bCs/>
          <w:sz w:val="22"/>
          <w:szCs w:val="22"/>
        </w:rPr>
        <w:t>Discharge of conditions 3, 4, 12 &amp; 13 of planning permission 160569</w:t>
      </w:r>
    </w:p>
    <w:p w:rsidR="00571A64" w:rsidRDefault="00571A64" w:rsidP="00571A64">
      <w:pPr>
        <w:ind w:left="720"/>
        <w:jc w:val="both"/>
        <w:rPr>
          <w:bCs/>
          <w:sz w:val="22"/>
          <w:szCs w:val="22"/>
        </w:rPr>
      </w:pPr>
      <w:r>
        <w:rPr>
          <w:bCs/>
          <w:sz w:val="22"/>
          <w:szCs w:val="22"/>
        </w:rPr>
        <w:t>Decision: Conditions Discharged</w:t>
      </w:r>
    </w:p>
    <w:p w:rsidR="00571A64" w:rsidRDefault="00571A64" w:rsidP="00571A64">
      <w:pPr>
        <w:ind w:left="720"/>
        <w:jc w:val="both"/>
        <w:rPr>
          <w:bCs/>
          <w:sz w:val="22"/>
          <w:szCs w:val="22"/>
        </w:rPr>
      </w:pPr>
      <w:r>
        <w:rPr>
          <w:bCs/>
          <w:sz w:val="22"/>
          <w:szCs w:val="22"/>
        </w:rPr>
        <w:t>Decision Date: 21/3/2019</w:t>
      </w:r>
    </w:p>
    <w:p w:rsidR="00571A64" w:rsidRPr="00571A64" w:rsidRDefault="00571A64" w:rsidP="00571A64">
      <w:pPr>
        <w:ind w:left="720"/>
        <w:jc w:val="both"/>
        <w:rPr>
          <w:bCs/>
          <w:sz w:val="22"/>
          <w:szCs w:val="22"/>
        </w:rPr>
      </w:pPr>
    </w:p>
    <w:p w:rsidR="00FE54D1" w:rsidRPr="00FF3B1B" w:rsidRDefault="00FE54D1" w:rsidP="00FE54D1">
      <w:pPr>
        <w:jc w:val="both"/>
        <w:rPr>
          <w:b/>
          <w:bCs/>
          <w:sz w:val="22"/>
          <w:szCs w:val="22"/>
        </w:rPr>
      </w:pPr>
    </w:p>
    <w:p w:rsidR="00FE54D1" w:rsidRPr="00FF3B1B" w:rsidRDefault="00FE54D1">
      <w:pPr>
        <w:jc w:val="both"/>
        <w:rPr>
          <w:b/>
          <w:bCs/>
          <w:sz w:val="22"/>
          <w:szCs w:val="22"/>
        </w:rPr>
      </w:pPr>
      <w:r w:rsidRPr="00FF3B1B">
        <w:rPr>
          <w:b/>
          <w:bCs/>
          <w:sz w:val="22"/>
          <w:szCs w:val="22"/>
        </w:rPr>
        <w:t>4.</w:t>
      </w:r>
      <w:r w:rsidRPr="00FF3B1B">
        <w:rPr>
          <w:b/>
          <w:bCs/>
          <w:sz w:val="22"/>
          <w:szCs w:val="22"/>
        </w:rPr>
        <w:tab/>
        <w:t>CONSULTATIONS</w:t>
      </w:r>
    </w:p>
    <w:p w:rsidR="00FE54D1" w:rsidRPr="00FF3B1B" w:rsidRDefault="00FE54D1">
      <w:pPr>
        <w:jc w:val="both"/>
        <w:rPr>
          <w:b/>
          <w:bCs/>
          <w:sz w:val="22"/>
          <w:szCs w:val="22"/>
        </w:rPr>
      </w:pPr>
    </w:p>
    <w:p w:rsidR="00FE54D1" w:rsidRDefault="00214F3A" w:rsidP="00652295">
      <w:pPr>
        <w:ind w:left="720"/>
        <w:jc w:val="both"/>
        <w:rPr>
          <w:sz w:val="22"/>
          <w:szCs w:val="22"/>
        </w:rPr>
      </w:pPr>
      <w:r>
        <w:rPr>
          <w:sz w:val="22"/>
          <w:szCs w:val="22"/>
        </w:rPr>
        <w:t xml:space="preserve">A </w:t>
      </w:r>
      <w:r w:rsidR="00FC191A">
        <w:rPr>
          <w:sz w:val="22"/>
          <w:szCs w:val="22"/>
        </w:rPr>
        <w:t>Notice was displayed on site.</w:t>
      </w:r>
    </w:p>
    <w:p w:rsidR="00FC191A" w:rsidRDefault="00FC191A" w:rsidP="00652295">
      <w:pPr>
        <w:ind w:left="720"/>
        <w:jc w:val="both"/>
        <w:rPr>
          <w:sz w:val="22"/>
          <w:szCs w:val="22"/>
        </w:rPr>
      </w:pPr>
    </w:p>
    <w:p w:rsidR="00FC191A" w:rsidRDefault="00214F3A" w:rsidP="00652295">
      <w:pPr>
        <w:ind w:left="720"/>
        <w:jc w:val="both"/>
        <w:rPr>
          <w:sz w:val="22"/>
          <w:szCs w:val="22"/>
        </w:rPr>
      </w:pPr>
      <w:r>
        <w:rPr>
          <w:sz w:val="22"/>
          <w:szCs w:val="22"/>
        </w:rPr>
        <w:t>Environmental Protection and Nuisance Team - no</w:t>
      </w:r>
      <w:r w:rsidR="00FC191A">
        <w:rPr>
          <w:sz w:val="22"/>
          <w:szCs w:val="22"/>
        </w:rPr>
        <w:t xml:space="preserve"> objections.</w:t>
      </w:r>
    </w:p>
    <w:p w:rsidR="00FE54D1" w:rsidRDefault="00FE54D1" w:rsidP="00FE54D1">
      <w:pPr>
        <w:jc w:val="both"/>
        <w:rPr>
          <w:sz w:val="22"/>
          <w:szCs w:val="22"/>
        </w:rPr>
      </w:pPr>
    </w:p>
    <w:p w:rsidR="00FE54D1" w:rsidRPr="00FC191A" w:rsidRDefault="00FE54D1" w:rsidP="00FC191A">
      <w:pPr>
        <w:overflowPunct/>
        <w:adjustRightInd/>
        <w:ind w:left="720"/>
        <w:jc w:val="both"/>
        <w:textAlignment w:val="auto"/>
        <w:rPr>
          <w:rFonts w:cs="Arial"/>
          <w:b/>
          <w:bCs/>
          <w:color w:val="000000"/>
          <w:sz w:val="22"/>
          <w:szCs w:val="22"/>
          <w:lang w:eastAsia="en-GB"/>
        </w:rPr>
      </w:pPr>
      <w:r w:rsidRPr="00FC191A">
        <w:rPr>
          <w:rFonts w:cs="Arial"/>
          <w:b/>
          <w:bCs/>
          <w:color w:val="000000"/>
          <w:sz w:val="22"/>
          <w:szCs w:val="22"/>
          <w:lang w:eastAsia="en-GB"/>
        </w:rPr>
        <w:t>Equality Act 2010:</w:t>
      </w:r>
    </w:p>
    <w:p w:rsidR="00FE54D1" w:rsidRPr="00FC191A" w:rsidRDefault="00FE54D1" w:rsidP="00FC191A">
      <w:pPr>
        <w:overflowPunct/>
        <w:adjustRightInd/>
        <w:ind w:left="720"/>
        <w:jc w:val="both"/>
        <w:textAlignment w:val="auto"/>
        <w:rPr>
          <w:rFonts w:cs="Arial"/>
          <w:bCs/>
          <w:color w:val="000000"/>
          <w:sz w:val="22"/>
          <w:szCs w:val="22"/>
          <w:lang w:eastAsia="en-GB"/>
        </w:rPr>
      </w:pPr>
      <w:r w:rsidRPr="00FC191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E54D1" w:rsidRPr="00FF3B1B" w:rsidRDefault="00FE54D1">
      <w:pPr>
        <w:ind w:left="720" w:hanging="720"/>
        <w:jc w:val="both"/>
        <w:rPr>
          <w:sz w:val="22"/>
          <w:szCs w:val="22"/>
        </w:rPr>
      </w:pPr>
    </w:p>
    <w:p w:rsidR="00FC191A" w:rsidRPr="00FF3B1B" w:rsidRDefault="00FC191A" w:rsidP="00FC191A">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FC191A" w:rsidRPr="00564DFD" w:rsidRDefault="00FC191A" w:rsidP="00FC191A">
      <w:pPr>
        <w:ind w:left="720"/>
        <w:jc w:val="both"/>
        <w:rPr>
          <w:color w:val="000000"/>
          <w:sz w:val="22"/>
          <w:szCs w:val="22"/>
        </w:rPr>
      </w:pPr>
      <w:r w:rsidRPr="00564DFD">
        <w:rPr>
          <w:color w:val="000000"/>
          <w:sz w:val="22"/>
          <w:szCs w:val="22"/>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FC191A" w:rsidRPr="00564DFD" w:rsidRDefault="00FC191A" w:rsidP="00FC191A">
      <w:pPr>
        <w:jc w:val="both"/>
        <w:rPr>
          <w:color w:val="000000"/>
          <w:sz w:val="22"/>
          <w:szCs w:val="22"/>
        </w:rPr>
      </w:pPr>
    </w:p>
    <w:p w:rsidR="00FC191A" w:rsidRPr="00564DFD" w:rsidRDefault="00FC191A" w:rsidP="00FC191A">
      <w:pPr>
        <w:ind w:left="720"/>
        <w:jc w:val="both"/>
        <w:rPr>
          <w:color w:val="000000"/>
          <w:sz w:val="22"/>
          <w:szCs w:val="22"/>
        </w:rPr>
      </w:pPr>
      <w:r w:rsidRPr="00564DFD">
        <w:rPr>
          <w:color w:val="000000"/>
          <w:sz w:val="22"/>
          <w:szCs w:val="22"/>
        </w:rPr>
        <w:t>Factors relevant to public safety include highway safety and whether the advert would hinder security or surveillance devices, including speed cameras.</w:t>
      </w:r>
    </w:p>
    <w:p w:rsidR="00FC191A" w:rsidRPr="00FF3B1B" w:rsidRDefault="00FC191A" w:rsidP="00FC191A">
      <w:pPr>
        <w:ind w:left="720"/>
        <w:jc w:val="both"/>
        <w:rPr>
          <w:bCs/>
          <w:sz w:val="22"/>
          <w:szCs w:val="22"/>
          <w:lang w:eastAsia="en-GB"/>
        </w:rPr>
      </w:pPr>
    </w:p>
    <w:p w:rsidR="00FC191A" w:rsidRDefault="00FC191A" w:rsidP="00FC191A">
      <w:pPr>
        <w:ind w:left="720"/>
        <w:jc w:val="both"/>
        <w:rPr>
          <w:sz w:val="22"/>
          <w:szCs w:val="22"/>
        </w:rPr>
      </w:pPr>
      <w:r w:rsidRPr="00FF3B1B">
        <w:rPr>
          <w:sz w:val="22"/>
          <w:szCs w:val="22"/>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p>
    <w:p w:rsidR="00FC191A" w:rsidRDefault="00FC191A" w:rsidP="00FC191A">
      <w:pPr>
        <w:ind w:left="720"/>
        <w:jc w:val="both"/>
        <w:rPr>
          <w:sz w:val="22"/>
          <w:szCs w:val="22"/>
        </w:rPr>
      </w:pPr>
    </w:p>
    <w:p w:rsidR="00FC191A" w:rsidRDefault="00FC191A" w:rsidP="00FC191A">
      <w:pPr>
        <w:ind w:left="720"/>
        <w:jc w:val="both"/>
        <w:rPr>
          <w:sz w:val="22"/>
          <w:szCs w:val="22"/>
        </w:rPr>
      </w:pPr>
      <w:r w:rsidRPr="00FF3B1B">
        <w:rPr>
          <w:sz w:val="22"/>
          <w:szCs w:val="22"/>
        </w:rPr>
        <w:t>The following local and national planning policy and guidance is relevant to this application:</w:t>
      </w:r>
    </w:p>
    <w:p w:rsidR="00FC191A" w:rsidRPr="00FF3B1B" w:rsidRDefault="00FC191A" w:rsidP="00FC191A">
      <w:pPr>
        <w:jc w:val="both"/>
        <w:rPr>
          <w:b/>
          <w:bCs/>
          <w:sz w:val="22"/>
          <w:szCs w:val="22"/>
          <w:lang w:eastAsia="en-GB"/>
        </w:rPr>
      </w:pPr>
    </w:p>
    <w:p w:rsidR="00FC191A" w:rsidRPr="00FF3B1B" w:rsidRDefault="00FC191A" w:rsidP="00FC191A">
      <w:pPr>
        <w:ind w:left="720"/>
        <w:jc w:val="both"/>
        <w:rPr>
          <w:b/>
          <w:bCs/>
          <w:sz w:val="22"/>
          <w:szCs w:val="22"/>
          <w:u w:val="single"/>
          <w:lang w:eastAsia="en-GB"/>
        </w:rPr>
      </w:pPr>
      <w:r w:rsidRPr="00FF3B1B">
        <w:rPr>
          <w:b/>
          <w:bCs/>
          <w:sz w:val="22"/>
          <w:szCs w:val="22"/>
          <w:u w:val="single"/>
          <w:lang w:eastAsia="en-GB"/>
        </w:rPr>
        <w:t>National Policy</w:t>
      </w:r>
    </w:p>
    <w:p w:rsidR="00FC191A" w:rsidRPr="00FF3B1B" w:rsidRDefault="00FC191A" w:rsidP="00FC191A">
      <w:pPr>
        <w:ind w:left="720"/>
        <w:jc w:val="both"/>
        <w:rPr>
          <w:bCs/>
          <w:sz w:val="22"/>
          <w:szCs w:val="22"/>
          <w:lang w:eastAsia="en-GB"/>
        </w:rPr>
      </w:pPr>
      <w:r w:rsidRPr="00FF3B1B">
        <w:rPr>
          <w:bCs/>
          <w:sz w:val="22"/>
          <w:szCs w:val="22"/>
          <w:lang w:eastAsia="en-GB"/>
        </w:rPr>
        <w:t xml:space="preserve">National Planning Policy Framework </w:t>
      </w:r>
    </w:p>
    <w:p w:rsidR="00FC191A" w:rsidRPr="00FF3B1B" w:rsidRDefault="00FC191A" w:rsidP="00FC191A">
      <w:pPr>
        <w:ind w:left="720"/>
        <w:jc w:val="both"/>
        <w:rPr>
          <w:bCs/>
          <w:sz w:val="22"/>
          <w:szCs w:val="22"/>
          <w:lang w:eastAsia="en-GB"/>
        </w:rPr>
      </w:pPr>
      <w:r w:rsidRPr="00FF3B1B">
        <w:rPr>
          <w:bCs/>
          <w:sz w:val="22"/>
          <w:szCs w:val="22"/>
          <w:lang w:eastAsia="en-GB"/>
        </w:rPr>
        <w:t>National Planning Practice Guidance</w:t>
      </w:r>
    </w:p>
    <w:p w:rsidR="00FC191A" w:rsidRDefault="00FC191A" w:rsidP="00FC191A">
      <w:pPr>
        <w:ind w:left="720"/>
        <w:jc w:val="both"/>
        <w:rPr>
          <w:bCs/>
          <w:sz w:val="22"/>
          <w:szCs w:val="22"/>
          <w:lang w:eastAsia="en-GB"/>
        </w:rPr>
      </w:pPr>
    </w:p>
    <w:p w:rsidR="00FC191A" w:rsidRPr="00FF3B1B" w:rsidRDefault="00FC191A" w:rsidP="00FC191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FC191A" w:rsidRDefault="00FC191A" w:rsidP="00FC191A">
      <w:pPr>
        <w:ind w:left="720"/>
        <w:jc w:val="both"/>
        <w:rPr>
          <w:bCs/>
          <w:sz w:val="22"/>
          <w:szCs w:val="22"/>
        </w:rPr>
      </w:pPr>
    </w:p>
    <w:p w:rsidR="00FC191A" w:rsidRPr="00564DFD" w:rsidRDefault="00FC191A" w:rsidP="00FC191A">
      <w:pPr>
        <w:ind w:left="720"/>
        <w:jc w:val="both"/>
        <w:rPr>
          <w:bCs/>
          <w:sz w:val="22"/>
          <w:szCs w:val="22"/>
        </w:rPr>
      </w:pPr>
      <w:r w:rsidRPr="00564DFD">
        <w:rPr>
          <w:bCs/>
          <w:sz w:val="22"/>
          <w:szCs w:val="22"/>
        </w:rPr>
        <w:t>C</w:t>
      </w:r>
      <w:r w:rsidR="006C1791">
        <w:rPr>
          <w:bCs/>
          <w:sz w:val="22"/>
          <w:szCs w:val="22"/>
        </w:rPr>
        <w:t>C7: Design and the Public Realm</w:t>
      </w:r>
    </w:p>
    <w:p w:rsidR="00FC191A" w:rsidRPr="00564DFD" w:rsidRDefault="00FC191A" w:rsidP="00FC191A">
      <w:pPr>
        <w:pStyle w:val="BodyText"/>
        <w:ind w:left="709"/>
        <w:jc w:val="both"/>
        <w:rPr>
          <w:rFonts w:ascii="Trebuchet MS" w:hAnsi="Trebuchet MS"/>
          <w:b w:val="0"/>
          <w:bCs/>
          <w:sz w:val="22"/>
          <w:szCs w:val="22"/>
        </w:rPr>
      </w:pPr>
      <w:r>
        <w:rPr>
          <w:rFonts w:ascii="Trebuchet MS" w:hAnsi="Trebuchet MS"/>
          <w:b w:val="0"/>
          <w:bCs/>
          <w:sz w:val="22"/>
          <w:szCs w:val="22"/>
        </w:rPr>
        <w:t>CC8: Safeguarding Amenity</w:t>
      </w:r>
    </w:p>
    <w:p w:rsidR="00FC191A" w:rsidRPr="00564DFD" w:rsidRDefault="00FC191A" w:rsidP="00FC191A">
      <w:pPr>
        <w:pStyle w:val="BodyText"/>
        <w:ind w:left="709"/>
        <w:jc w:val="both"/>
        <w:rPr>
          <w:rFonts w:ascii="Trebuchet MS" w:hAnsi="Trebuchet MS"/>
          <w:b w:val="0"/>
          <w:color w:val="000000"/>
          <w:sz w:val="22"/>
          <w:szCs w:val="22"/>
        </w:rPr>
      </w:pPr>
      <w:r>
        <w:rPr>
          <w:rFonts w:ascii="Trebuchet MS" w:hAnsi="Trebuchet MS"/>
          <w:b w:val="0"/>
          <w:color w:val="000000"/>
          <w:sz w:val="22"/>
          <w:szCs w:val="22"/>
        </w:rPr>
        <w:t xml:space="preserve">TR3: Access, Traffic and Highway-Related Matters </w:t>
      </w:r>
    </w:p>
    <w:p w:rsidR="00FC191A" w:rsidRPr="00564DFD" w:rsidRDefault="00FC191A" w:rsidP="00FC191A">
      <w:pPr>
        <w:pStyle w:val="BodyText"/>
        <w:ind w:left="709"/>
        <w:jc w:val="both"/>
        <w:rPr>
          <w:rFonts w:ascii="Trebuchet MS" w:hAnsi="Trebuchet MS"/>
          <w:b w:val="0"/>
          <w:bCs/>
          <w:sz w:val="22"/>
          <w:szCs w:val="22"/>
        </w:rPr>
      </w:pPr>
      <w:r w:rsidRPr="00564DFD">
        <w:rPr>
          <w:rFonts w:ascii="Trebuchet MS" w:hAnsi="Trebuchet MS"/>
          <w:b w:val="0"/>
          <w:bCs/>
          <w:sz w:val="22"/>
          <w:szCs w:val="22"/>
        </w:rPr>
        <w:t>OU4: Advertisements</w:t>
      </w:r>
    </w:p>
    <w:p w:rsidR="00FC191A" w:rsidRPr="00FF3B1B" w:rsidRDefault="00FC191A" w:rsidP="00FC191A">
      <w:pPr>
        <w:jc w:val="both"/>
        <w:rPr>
          <w:b/>
          <w:bCs/>
          <w:sz w:val="22"/>
          <w:szCs w:val="22"/>
        </w:rPr>
      </w:pPr>
    </w:p>
    <w:p w:rsidR="00FC191A" w:rsidRPr="00FF3B1B" w:rsidRDefault="00FC191A" w:rsidP="00FC191A">
      <w:pPr>
        <w:jc w:val="both"/>
        <w:rPr>
          <w:b/>
          <w:bCs/>
          <w:sz w:val="22"/>
          <w:szCs w:val="22"/>
        </w:rPr>
      </w:pPr>
      <w:r w:rsidRPr="00FF3B1B">
        <w:rPr>
          <w:b/>
          <w:bCs/>
          <w:sz w:val="22"/>
          <w:szCs w:val="22"/>
        </w:rPr>
        <w:t>6.</w:t>
      </w:r>
      <w:r w:rsidRPr="00FF3B1B">
        <w:rPr>
          <w:b/>
          <w:bCs/>
          <w:sz w:val="22"/>
          <w:szCs w:val="22"/>
        </w:rPr>
        <w:tab/>
        <w:t>APPRAISAL</w:t>
      </w:r>
    </w:p>
    <w:p w:rsidR="00FC191A" w:rsidRPr="00564DFD" w:rsidRDefault="00FC191A" w:rsidP="00FC191A">
      <w:pPr>
        <w:ind w:left="720"/>
        <w:rPr>
          <w:b/>
          <w:bCs/>
          <w:sz w:val="22"/>
          <w:szCs w:val="22"/>
          <w:u w:val="single"/>
          <w:lang w:eastAsia="en-GB"/>
        </w:rPr>
      </w:pPr>
    </w:p>
    <w:p w:rsidR="00FC191A" w:rsidRPr="00564DFD" w:rsidRDefault="00FC191A" w:rsidP="00FC191A">
      <w:pPr>
        <w:pStyle w:val="BodyText"/>
        <w:ind w:left="709"/>
        <w:jc w:val="both"/>
        <w:rPr>
          <w:rFonts w:ascii="Trebuchet MS" w:hAnsi="Trebuchet MS"/>
          <w:b w:val="0"/>
          <w:sz w:val="22"/>
          <w:szCs w:val="22"/>
        </w:rPr>
      </w:pPr>
      <w:r w:rsidRPr="00564DFD">
        <w:rPr>
          <w:rFonts w:ascii="Trebuchet MS" w:hAnsi="Trebuchet MS"/>
          <w:b w:val="0"/>
          <w:sz w:val="22"/>
          <w:szCs w:val="22"/>
        </w:rPr>
        <w:t xml:space="preserve">The main issues for consideration are: </w:t>
      </w:r>
    </w:p>
    <w:p w:rsidR="00FC191A" w:rsidRPr="00564DFD" w:rsidRDefault="00FC191A" w:rsidP="00FC191A">
      <w:pPr>
        <w:pStyle w:val="BodyText"/>
        <w:numPr>
          <w:ilvl w:val="0"/>
          <w:numId w:val="35"/>
        </w:numPr>
        <w:adjustRightInd/>
        <w:ind w:left="709" w:firstLine="0"/>
        <w:jc w:val="both"/>
        <w:textAlignment w:val="auto"/>
        <w:rPr>
          <w:rFonts w:ascii="Trebuchet MS" w:hAnsi="Trebuchet MS"/>
          <w:b w:val="0"/>
          <w:bCs/>
          <w:sz w:val="22"/>
          <w:szCs w:val="22"/>
        </w:rPr>
      </w:pPr>
      <w:r w:rsidRPr="00564DFD">
        <w:rPr>
          <w:rFonts w:ascii="Trebuchet MS" w:hAnsi="Trebuchet MS"/>
          <w:b w:val="0"/>
          <w:sz w:val="22"/>
          <w:szCs w:val="22"/>
        </w:rPr>
        <w:t xml:space="preserve">Amenity; and </w:t>
      </w:r>
    </w:p>
    <w:p w:rsidR="00FC191A" w:rsidRPr="00564DFD" w:rsidRDefault="00FC191A" w:rsidP="00FC191A">
      <w:pPr>
        <w:pStyle w:val="BodyText"/>
        <w:numPr>
          <w:ilvl w:val="0"/>
          <w:numId w:val="35"/>
        </w:numPr>
        <w:adjustRightInd/>
        <w:ind w:left="709" w:firstLine="0"/>
        <w:jc w:val="both"/>
        <w:textAlignment w:val="auto"/>
        <w:rPr>
          <w:rFonts w:ascii="Trebuchet MS" w:hAnsi="Trebuchet MS"/>
          <w:b w:val="0"/>
          <w:bCs/>
          <w:sz w:val="22"/>
          <w:szCs w:val="22"/>
        </w:rPr>
      </w:pPr>
      <w:r w:rsidRPr="00564DFD">
        <w:rPr>
          <w:rFonts w:ascii="Trebuchet MS" w:hAnsi="Trebuchet MS"/>
          <w:b w:val="0"/>
          <w:bCs/>
          <w:sz w:val="22"/>
          <w:szCs w:val="22"/>
        </w:rPr>
        <w:t xml:space="preserve">Safety </w:t>
      </w:r>
    </w:p>
    <w:p w:rsidR="00FC191A" w:rsidRDefault="00FC191A" w:rsidP="00FC191A">
      <w:pPr>
        <w:ind w:left="720"/>
        <w:rPr>
          <w:b/>
          <w:bCs/>
          <w:sz w:val="22"/>
          <w:szCs w:val="22"/>
          <w:u w:val="single"/>
          <w:lang w:eastAsia="en-GB"/>
        </w:rPr>
      </w:pPr>
    </w:p>
    <w:p w:rsidR="00FC191A" w:rsidRPr="00214F3A" w:rsidRDefault="00FC191A" w:rsidP="00214F3A">
      <w:pPr>
        <w:pStyle w:val="BodyText"/>
        <w:numPr>
          <w:ilvl w:val="0"/>
          <w:numId w:val="38"/>
        </w:numPr>
        <w:ind w:left="1134" w:hanging="425"/>
        <w:jc w:val="both"/>
        <w:rPr>
          <w:rFonts w:ascii="Trebuchet MS" w:hAnsi="Trebuchet MS"/>
          <w:b w:val="0"/>
          <w:bCs/>
          <w:sz w:val="22"/>
          <w:szCs w:val="22"/>
        </w:rPr>
      </w:pPr>
      <w:r w:rsidRPr="00214F3A">
        <w:rPr>
          <w:rFonts w:ascii="Trebuchet MS" w:hAnsi="Trebuchet MS"/>
          <w:b w:val="0"/>
          <w:sz w:val="22"/>
          <w:szCs w:val="22"/>
        </w:rPr>
        <w:t>Amenity</w:t>
      </w:r>
    </w:p>
    <w:p w:rsidR="00FC191A" w:rsidRDefault="00FC191A" w:rsidP="00214F3A">
      <w:pPr>
        <w:pStyle w:val="BodyText"/>
        <w:ind w:left="709"/>
        <w:jc w:val="both"/>
        <w:rPr>
          <w:rFonts w:ascii="Trebuchet MS" w:hAnsi="Trebuchet MS"/>
          <w:b w:val="0"/>
          <w:sz w:val="22"/>
          <w:szCs w:val="22"/>
          <w:lang w:eastAsia="en-GB"/>
        </w:rPr>
      </w:pPr>
      <w:r w:rsidRPr="00964596">
        <w:rPr>
          <w:rFonts w:ascii="Trebuchet MS" w:hAnsi="Trebuchet MS"/>
          <w:b w:val="0"/>
          <w:sz w:val="22"/>
          <w:szCs w:val="22"/>
        </w:rPr>
        <w:t>The proposed signage is considered to be appropriate for the location</w:t>
      </w:r>
      <w:r>
        <w:rPr>
          <w:rFonts w:ascii="Trebuchet MS" w:hAnsi="Trebuchet MS"/>
          <w:b w:val="0"/>
          <w:sz w:val="22"/>
          <w:szCs w:val="22"/>
        </w:rPr>
        <w:t xml:space="preserve"> and the building as it is on a largely</w:t>
      </w:r>
      <w:r w:rsidR="007B7045">
        <w:rPr>
          <w:rFonts w:ascii="Trebuchet MS" w:hAnsi="Trebuchet MS"/>
          <w:b w:val="0"/>
          <w:sz w:val="22"/>
          <w:szCs w:val="22"/>
        </w:rPr>
        <w:t xml:space="preserve"> industrial area, so would pose no adverse impacts on the amenity of any residential dwellings</w:t>
      </w:r>
      <w:r>
        <w:rPr>
          <w:rFonts w:ascii="Trebuchet MS" w:hAnsi="Trebuchet MS"/>
          <w:b w:val="0"/>
          <w:sz w:val="22"/>
          <w:szCs w:val="22"/>
          <w:lang w:eastAsia="en-GB"/>
        </w:rPr>
        <w:t>. Also,</w:t>
      </w:r>
      <w:r w:rsidRPr="00964596">
        <w:rPr>
          <w:rFonts w:ascii="Trebuchet MS" w:hAnsi="Trebuchet MS"/>
          <w:b w:val="0"/>
          <w:sz w:val="22"/>
          <w:szCs w:val="22"/>
          <w:lang w:eastAsia="en-GB"/>
        </w:rPr>
        <w:t xml:space="preserve"> </w:t>
      </w:r>
      <w:r w:rsidRPr="00964596">
        <w:rPr>
          <w:rFonts w:ascii="Trebuchet MS" w:hAnsi="Trebuchet MS"/>
          <w:b w:val="0"/>
          <w:sz w:val="22"/>
          <w:szCs w:val="22"/>
        </w:rPr>
        <w:t xml:space="preserve">it is considered that the scale, material and colour would not be harmful to the wider area and would not have significant detrimental effects on visual amenity. </w:t>
      </w:r>
      <w:r w:rsidRPr="00964596">
        <w:rPr>
          <w:rFonts w:ascii="Trebuchet MS" w:hAnsi="Trebuchet MS"/>
          <w:b w:val="0"/>
          <w:sz w:val="22"/>
          <w:szCs w:val="22"/>
          <w:lang w:eastAsia="en-GB"/>
        </w:rPr>
        <w:t>No windows, or existing signs would be obstructed.</w:t>
      </w:r>
    </w:p>
    <w:p w:rsidR="00214F3A" w:rsidRPr="00964596" w:rsidRDefault="00214F3A" w:rsidP="00214F3A">
      <w:pPr>
        <w:pStyle w:val="BodyText"/>
        <w:ind w:left="709"/>
        <w:jc w:val="both"/>
        <w:rPr>
          <w:rFonts w:ascii="Trebuchet MS" w:hAnsi="Trebuchet MS"/>
          <w:b w:val="0"/>
          <w:sz w:val="22"/>
          <w:szCs w:val="22"/>
        </w:rPr>
      </w:pPr>
    </w:p>
    <w:p w:rsidR="00FC191A" w:rsidRPr="00964596" w:rsidRDefault="00FC191A" w:rsidP="00214F3A">
      <w:pPr>
        <w:ind w:left="709"/>
        <w:jc w:val="both"/>
        <w:rPr>
          <w:b/>
          <w:sz w:val="22"/>
          <w:szCs w:val="22"/>
        </w:rPr>
      </w:pPr>
      <w:r>
        <w:rPr>
          <w:sz w:val="22"/>
          <w:szCs w:val="22"/>
        </w:rPr>
        <w:t>Therefore o</w:t>
      </w:r>
      <w:r w:rsidRPr="00964596">
        <w:rPr>
          <w:sz w:val="22"/>
          <w:szCs w:val="22"/>
        </w:rPr>
        <w:t>n the above basis, the proposed sign is considered to comply with Adopted Reading Borough Local Plan Policies CC7, CC8, TR3 and OU4.</w:t>
      </w:r>
      <w:r w:rsidRPr="00964596">
        <w:rPr>
          <w:b/>
          <w:sz w:val="22"/>
          <w:szCs w:val="22"/>
        </w:rPr>
        <w:t xml:space="preserve"> </w:t>
      </w:r>
    </w:p>
    <w:p w:rsidR="00FC191A" w:rsidRPr="0009568F" w:rsidRDefault="00FC191A" w:rsidP="00214F3A">
      <w:pPr>
        <w:ind w:left="709"/>
        <w:jc w:val="both"/>
        <w:rPr>
          <w:b/>
          <w:szCs w:val="24"/>
        </w:rPr>
      </w:pPr>
    </w:p>
    <w:p w:rsidR="00FC191A" w:rsidRPr="007B7045" w:rsidRDefault="00FC191A" w:rsidP="00214F3A">
      <w:pPr>
        <w:pStyle w:val="BodyText"/>
        <w:ind w:left="1134" w:hanging="425"/>
        <w:jc w:val="both"/>
        <w:rPr>
          <w:rFonts w:ascii="Trebuchet MS" w:hAnsi="Trebuchet MS"/>
          <w:b w:val="0"/>
          <w:i/>
          <w:sz w:val="22"/>
          <w:szCs w:val="22"/>
        </w:rPr>
      </w:pPr>
      <w:r w:rsidRPr="007B7045">
        <w:rPr>
          <w:rFonts w:ascii="Trebuchet MS" w:hAnsi="Trebuchet MS"/>
          <w:b w:val="0"/>
          <w:sz w:val="22"/>
          <w:szCs w:val="22"/>
        </w:rPr>
        <w:t xml:space="preserve">b) </w:t>
      </w:r>
      <w:r w:rsidRPr="007B7045">
        <w:rPr>
          <w:rFonts w:ascii="Trebuchet MS" w:hAnsi="Trebuchet MS"/>
          <w:b w:val="0"/>
          <w:sz w:val="22"/>
          <w:szCs w:val="22"/>
          <w:u w:val="single"/>
        </w:rPr>
        <w:t>Safety</w:t>
      </w:r>
    </w:p>
    <w:p w:rsidR="00FC191A" w:rsidRPr="007B7045" w:rsidRDefault="00FC191A" w:rsidP="00214F3A">
      <w:pPr>
        <w:pStyle w:val="BodyText"/>
        <w:ind w:left="709"/>
        <w:jc w:val="both"/>
        <w:rPr>
          <w:rFonts w:ascii="Trebuchet MS" w:hAnsi="Trebuchet MS"/>
          <w:b w:val="0"/>
          <w:bCs/>
          <w:sz w:val="22"/>
          <w:szCs w:val="22"/>
        </w:rPr>
      </w:pPr>
      <w:r w:rsidRPr="007B7045">
        <w:rPr>
          <w:rFonts w:ascii="Trebuchet MS" w:hAnsi="Trebuchet MS" w:cs="Arial"/>
          <w:b w:val="0"/>
          <w:sz w:val="22"/>
          <w:szCs w:val="22"/>
          <w:lang w:eastAsia="en-GB"/>
        </w:rPr>
        <w:t xml:space="preserve">The NPPG (in particular in this instance Paragraph: 068 Reference ID: 18b-068-20140306 &amp; Paragraph: 078 Reference ID: 18b-078-20140306) provides guidance as to the considerations affecting public safety. </w:t>
      </w:r>
      <w:r w:rsidRPr="007B7045">
        <w:rPr>
          <w:rFonts w:ascii="Trebuchet MS" w:hAnsi="Trebuchet MS"/>
          <w:b w:val="0"/>
          <w:sz w:val="22"/>
          <w:szCs w:val="22"/>
        </w:rPr>
        <w:t xml:space="preserve">The signage would not obscure any existing road signs, or sight lines of CCTV cameras.  Therefore, it is concluded that there would be no detrimental effect with </w:t>
      </w:r>
      <w:r w:rsidRPr="007B7045">
        <w:rPr>
          <w:rFonts w:ascii="Trebuchet MS" w:hAnsi="Trebuchet MS" w:cs="Arial"/>
          <w:b w:val="0"/>
          <w:bCs/>
          <w:sz w:val="22"/>
          <w:szCs w:val="22"/>
        </w:rPr>
        <w:t>regard to highway safety and t</w:t>
      </w:r>
      <w:r w:rsidRPr="007B7045">
        <w:rPr>
          <w:rFonts w:ascii="Trebuchet MS" w:hAnsi="Trebuchet MS"/>
          <w:b w:val="0"/>
          <w:bCs/>
          <w:sz w:val="22"/>
          <w:szCs w:val="22"/>
        </w:rPr>
        <w:t>he signage is therefore, considered to accord with Adopted Reading Borough Local Plan Policies TR3 and OU4.</w:t>
      </w:r>
    </w:p>
    <w:p w:rsidR="00FC191A" w:rsidRPr="00356D64" w:rsidRDefault="00FC191A" w:rsidP="00FC191A">
      <w:pPr>
        <w:jc w:val="both"/>
        <w:rPr>
          <w:color w:val="000000"/>
          <w:sz w:val="22"/>
          <w:szCs w:val="22"/>
          <w:lang w:eastAsia="en-GB"/>
        </w:rPr>
      </w:pPr>
    </w:p>
    <w:p w:rsidR="00FC191A" w:rsidRDefault="00FC191A" w:rsidP="00FC191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FC191A" w:rsidRPr="00FA05A6" w:rsidRDefault="00FC191A" w:rsidP="00FC191A">
      <w:pPr>
        <w:ind w:left="720"/>
        <w:jc w:val="both"/>
        <w:rPr>
          <w:bCs/>
          <w:sz w:val="22"/>
          <w:szCs w:val="22"/>
          <w:lang w:eastAsia="en-GB"/>
        </w:rPr>
      </w:pPr>
      <w:r w:rsidRPr="001F24A7">
        <w:rPr>
          <w:bCs/>
          <w:sz w:val="22"/>
          <w:szCs w:val="22"/>
          <w:lang w:eastAsia="en-GB"/>
        </w:rPr>
        <w:t>The proposed development has been assessed as set out above and is considered to be acceptable on that basis, subject to the following conditions.</w:t>
      </w:r>
    </w:p>
    <w:p w:rsidR="00FC191A" w:rsidRPr="00FA05A6" w:rsidRDefault="00FC191A" w:rsidP="00FC191A">
      <w:pPr>
        <w:jc w:val="both"/>
        <w:rPr>
          <w:rFonts w:cs="Trebuchet MS"/>
          <w:sz w:val="22"/>
          <w:szCs w:val="22"/>
          <w:u w:val="single"/>
          <w:lang w:eastAsia="en-GB"/>
        </w:rPr>
      </w:pPr>
    </w:p>
    <w:p w:rsidR="00FC191A" w:rsidRPr="00FF3B1B" w:rsidRDefault="00FC191A" w:rsidP="00FC191A">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1F24A7">
        <w:rPr>
          <w:rFonts w:ascii="Trebuchet MS" w:hAnsi="Trebuchet MS"/>
          <w:bCs/>
          <w:sz w:val="22"/>
          <w:szCs w:val="22"/>
        </w:rPr>
        <w:t>Grant</w:t>
      </w:r>
    </w:p>
    <w:p w:rsidR="00FC191A" w:rsidRDefault="00FC191A" w:rsidP="00FC191A">
      <w:pPr>
        <w:ind w:hanging="11"/>
        <w:jc w:val="both"/>
        <w:rPr>
          <w:rFonts w:cs="Trebuchet MS"/>
          <w:sz w:val="22"/>
          <w:szCs w:val="22"/>
          <w:u w:val="single"/>
          <w:lang w:eastAsia="en-GB"/>
        </w:rPr>
      </w:pPr>
    </w:p>
    <w:p w:rsidR="00FC191A" w:rsidRDefault="00FC191A" w:rsidP="00FC191A">
      <w:pPr>
        <w:ind w:left="731" w:hanging="11"/>
        <w:jc w:val="both"/>
        <w:rPr>
          <w:rFonts w:cs="Trebuchet MS"/>
          <w:sz w:val="22"/>
          <w:szCs w:val="22"/>
          <w:lang w:eastAsia="en-GB"/>
        </w:rPr>
      </w:pPr>
      <w:r w:rsidRPr="006511AF">
        <w:rPr>
          <w:rFonts w:cs="Trebuchet MS"/>
          <w:sz w:val="22"/>
          <w:szCs w:val="22"/>
          <w:lang w:eastAsia="en-GB"/>
        </w:rPr>
        <w:t>Recommended Conditions:</w:t>
      </w:r>
    </w:p>
    <w:p w:rsidR="00E50D2E" w:rsidRDefault="00E50D2E" w:rsidP="00FC191A">
      <w:pPr>
        <w:ind w:left="731" w:hanging="11"/>
        <w:jc w:val="both"/>
        <w:rPr>
          <w:rFonts w:cs="Trebuchet MS"/>
          <w:sz w:val="22"/>
          <w:szCs w:val="22"/>
          <w:lang w:eastAsia="en-GB"/>
        </w:rPr>
      </w:pPr>
      <w:r>
        <w:rPr>
          <w:rFonts w:cs="Trebuchet MS"/>
          <w:sz w:val="22"/>
          <w:szCs w:val="22"/>
          <w:lang w:eastAsia="en-GB"/>
        </w:rPr>
        <w:t>Approved Plans</w:t>
      </w:r>
    </w:p>
    <w:p w:rsidR="00FC191A" w:rsidRPr="0073648D" w:rsidRDefault="00FC191A" w:rsidP="00FC191A">
      <w:pPr>
        <w:ind w:left="731" w:hanging="11"/>
        <w:jc w:val="both"/>
        <w:rPr>
          <w:bCs/>
          <w:color w:val="000000"/>
          <w:sz w:val="22"/>
          <w:szCs w:val="22"/>
        </w:rPr>
      </w:pPr>
      <w:r w:rsidRPr="0073648D">
        <w:rPr>
          <w:bCs/>
          <w:color w:val="000000"/>
          <w:sz w:val="22"/>
          <w:szCs w:val="22"/>
        </w:rPr>
        <w:t>Advert Luminance</w:t>
      </w:r>
    </w:p>
    <w:p w:rsidR="00FC191A" w:rsidRPr="006511AF" w:rsidRDefault="00FC191A" w:rsidP="00FC191A">
      <w:pPr>
        <w:ind w:left="731" w:hanging="11"/>
        <w:jc w:val="both"/>
        <w:rPr>
          <w:rFonts w:cs="Trebuchet MS"/>
          <w:sz w:val="22"/>
          <w:szCs w:val="22"/>
          <w:lang w:eastAsia="en-GB"/>
        </w:rPr>
      </w:pPr>
    </w:p>
    <w:sectPr w:rsidR="00FC191A" w:rsidRPr="006511AF" w:rsidSect="00FE54D1">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84B" w:rsidRDefault="0049084B">
      <w:r>
        <w:separator/>
      </w:r>
    </w:p>
  </w:endnote>
  <w:endnote w:type="continuationSeparator" w:id="0">
    <w:p w:rsidR="0049084B" w:rsidRDefault="00490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045" w:rsidRDefault="007B70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84B" w:rsidRDefault="0049084B">
      <w:r>
        <w:separator/>
      </w:r>
    </w:p>
  </w:footnote>
  <w:footnote w:type="continuationSeparator" w:id="0">
    <w:p w:rsidR="0049084B" w:rsidRDefault="00490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B023C6"/>
    <w:multiLevelType w:val="hybridMultilevel"/>
    <w:tmpl w:val="5860E9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6C05A89"/>
    <w:multiLevelType w:val="hybridMultilevel"/>
    <w:tmpl w:val="B222547A"/>
    <w:lvl w:ilvl="0" w:tplc="6B7E5DE6">
      <w:start w:val="1"/>
      <w:numFmt w:val="lowerLetter"/>
      <w:lvlText w:val="%1)"/>
      <w:lvlJc w:val="left"/>
      <w:pPr>
        <w:ind w:left="927" w:hanging="360"/>
      </w:pPr>
      <w:rPr>
        <w:rFonts w:hint="default"/>
        <w:u w:val="singl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B46EDB"/>
    <w:multiLevelType w:val="hybridMultilevel"/>
    <w:tmpl w:val="519AE3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F5E5D36"/>
    <w:multiLevelType w:val="hybridMultilevel"/>
    <w:tmpl w:val="D61C6758"/>
    <w:lvl w:ilvl="0" w:tplc="1DB06494">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0"/>
  </w:num>
  <w:num w:numId="2">
    <w:abstractNumId w:val="25"/>
  </w:num>
  <w:num w:numId="3">
    <w:abstractNumId w:val="5"/>
  </w:num>
  <w:num w:numId="4">
    <w:abstractNumId w:val="35"/>
  </w:num>
  <w:num w:numId="5">
    <w:abstractNumId w:val="20"/>
  </w:num>
  <w:num w:numId="6">
    <w:abstractNumId w:val="14"/>
  </w:num>
  <w:num w:numId="7">
    <w:abstractNumId w:val="3"/>
  </w:num>
  <w:num w:numId="8">
    <w:abstractNumId w:val="31"/>
  </w:num>
  <w:num w:numId="9">
    <w:abstractNumId w:val="26"/>
  </w:num>
  <w:num w:numId="10">
    <w:abstractNumId w:val="2"/>
  </w:num>
  <w:num w:numId="11">
    <w:abstractNumId w:val="6"/>
  </w:num>
  <w:num w:numId="12">
    <w:abstractNumId w:val="33"/>
  </w:num>
  <w:num w:numId="13">
    <w:abstractNumId w:val="4"/>
  </w:num>
  <w:num w:numId="14">
    <w:abstractNumId w:val="30"/>
  </w:num>
  <w:num w:numId="15">
    <w:abstractNumId w:val="19"/>
  </w:num>
  <w:num w:numId="16">
    <w:abstractNumId w:val="27"/>
  </w:num>
  <w:num w:numId="17">
    <w:abstractNumId w:val="21"/>
  </w:num>
  <w:num w:numId="18">
    <w:abstractNumId w:val="34"/>
  </w:num>
  <w:num w:numId="19">
    <w:abstractNumId w:val="1"/>
  </w:num>
  <w:num w:numId="20">
    <w:abstractNumId w:val="11"/>
  </w:num>
  <w:num w:numId="21">
    <w:abstractNumId w:val="28"/>
  </w:num>
  <w:num w:numId="22">
    <w:abstractNumId w:val="16"/>
  </w:num>
  <w:num w:numId="23">
    <w:abstractNumId w:val="9"/>
  </w:num>
  <w:num w:numId="24">
    <w:abstractNumId w:val="17"/>
  </w:num>
  <w:num w:numId="25">
    <w:abstractNumId w:val="13"/>
  </w:num>
  <w:num w:numId="26">
    <w:abstractNumId w:val="22"/>
  </w:num>
  <w:num w:numId="27">
    <w:abstractNumId w:val="0"/>
  </w:num>
  <w:num w:numId="28">
    <w:abstractNumId w:val="24"/>
    <w:lvlOverride w:ilvl="0"/>
  </w:num>
  <w:num w:numId="29">
    <w:abstractNumId w:val="8"/>
  </w:num>
  <w:num w:numId="30">
    <w:abstractNumId w:val="12"/>
  </w:num>
  <w:num w:numId="31">
    <w:abstractNumId w:val="32"/>
  </w:num>
  <w:num w:numId="32">
    <w:abstractNumId w:val="36"/>
  </w:num>
  <w:num w:numId="33">
    <w:abstractNumId w:val="23"/>
  </w:num>
  <w:num w:numId="34">
    <w:abstractNumId w:val="18"/>
  </w:num>
  <w:num w:numId="35">
    <w:abstractNumId w:val="29"/>
  </w:num>
  <w:num w:numId="36">
    <w:abstractNumId w:val="10"/>
  </w:num>
  <w:num w:numId="37">
    <w:abstractNumId w:val="15"/>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7935"/>
    <w:rsid w:val="00183F67"/>
    <w:rsid w:val="00214F3A"/>
    <w:rsid w:val="00485ED4"/>
    <w:rsid w:val="0049084B"/>
    <w:rsid w:val="00571A64"/>
    <w:rsid w:val="00652295"/>
    <w:rsid w:val="006C1791"/>
    <w:rsid w:val="007B7045"/>
    <w:rsid w:val="007C7FEB"/>
    <w:rsid w:val="0093386B"/>
    <w:rsid w:val="0096315B"/>
    <w:rsid w:val="00A42B41"/>
    <w:rsid w:val="00B53D3D"/>
    <w:rsid w:val="00D6451B"/>
    <w:rsid w:val="00D9395A"/>
    <w:rsid w:val="00E50D2E"/>
    <w:rsid w:val="00EC5D78"/>
    <w:rsid w:val="00F0772D"/>
    <w:rsid w:val="00F46711"/>
    <w:rsid w:val="00FC191A"/>
    <w:rsid w:val="00FE5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02E17566-64BB-4DF0-A4AD-4D04F5B8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2024-05-16T08:15:00Z</dcterms:created>
  <dcterms:modified xsi:type="dcterms:W3CDTF">2024-05-16T08:15:00Z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