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20232F" w:rsidRDefault="00625504" w:rsidP="0020232F">
      <w:pPr>
        <w:spacing w:line="240" w:lineRule="auto"/>
        <w:rPr>
          <w:rFonts w:ascii="Trebuchet MS" w:hAnsi="Trebuchet MS"/>
          <w:sz w:val="24"/>
          <w:szCs w:val="24"/>
        </w:rPr>
      </w:pPr>
      <w:r w:rsidRPr="0020232F">
        <w:rPr>
          <w:rFonts w:ascii="Trebuchet MS" w:hAnsi="Trebuchet MS"/>
          <w:b/>
          <w:sz w:val="24"/>
          <w:szCs w:val="24"/>
          <w:u w:val="single"/>
        </w:rPr>
        <w:t>Delegated Application Report</w:t>
      </w:r>
      <w:r w:rsidR="00034294" w:rsidRPr="0020232F">
        <w:rPr>
          <w:rFonts w:ascii="Trebuchet MS" w:hAnsi="Trebuchet MS"/>
          <w:sz w:val="24"/>
          <w:szCs w:val="24"/>
        </w:rPr>
        <w:t xml:space="preserve"> </w:t>
      </w:r>
      <w:r w:rsidR="00034294" w:rsidRPr="0020232F">
        <w:rPr>
          <w:rFonts w:ascii="Trebuchet MS" w:hAnsi="Trebuchet MS"/>
          <w:sz w:val="24"/>
          <w:szCs w:val="24"/>
        </w:rPr>
        <w:tab/>
      </w:r>
      <w:r w:rsidR="00034294" w:rsidRPr="0020232F">
        <w:rPr>
          <w:rFonts w:ascii="Trebuchet MS" w:hAnsi="Trebuchet MS"/>
          <w:sz w:val="24"/>
          <w:szCs w:val="24"/>
        </w:rPr>
        <w:tab/>
      </w:r>
      <w:r w:rsidR="00034294" w:rsidRPr="0020232F">
        <w:rPr>
          <w:rFonts w:ascii="Trebuchet MS" w:hAnsi="Trebuchet MS"/>
          <w:sz w:val="24"/>
          <w:szCs w:val="24"/>
        </w:rPr>
        <w:tab/>
      </w:r>
      <w:r w:rsidR="00034294" w:rsidRPr="0020232F">
        <w:rPr>
          <w:rFonts w:ascii="Trebuchet MS" w:hAnsi="Trebuchet MS"/>
          <w:sz w:val="24"/>
          <w:szCs w:val="24"/>
        </w:rPr>
        <w:tab/>
      </w:r>
      <w:r w:rsidR="00034294" w:rsidRPr="0020232F">
        <w:rPr>
          <w:rFonts w:ascii="Trebuchet MS" w:hAnsi="Trebuchet MS"/>
          <w:sz w:val="24"/>
          <w:szCs w:val="24"/>
        </w:rPr>
        <w:tab/>
      </w:r>
      <w:r w:rsidRPr="0020232F">
        <w:rPr>
          <w:rFonts w:ascii="Trebuchet MS" w:hAnsi="Trebuchet MS"/>
          <w:b/>
          <w:sz w:val="24"/>
          <w:szCs w:val="24"/>
        </w:rPr>
        <w:t>Target Date:</w:t>
      </w:r>
      <w:r w:rsidRPr="0020232F">
        <w:rPr>
          <w:rFonts w:ascii="Trebuchet MS" w:hAnsi="Trebuchet MS"/>
          <w:sz w:val="24"/>
          <w:szCs w:val="24"/>
        </w:rPr>
        <w:t xml:space="preserve"> </w:t>
      </w:r>
      <w:r w:rsidR="00AC7133" w:rsidRPr="0020232F">
        <w:rPr>
          <w:rFonts w:ascii="Trebuchet MS" w:hAnsi="Trebuchet MS"/>
          <w:sz w:val="24"/>
          <w:szCs w:val="24"/>
        </w:rPr>
        <w:t>27/09/16</w:t>
      </w:r>
    </w:p>
    <w:p w:rsidR="00625504" w:rsidRPr="0020232F" w:rsidRDefault="00625504" w:rsidP="0020232F">
      <w:pPr>
        <w:spacing w:line="240" w:lineRule="auto"/>
        <w:rPr>
          <w:rFonts w:ascii="Trebuchet MS" w:hAnsi="Trebuchet MS"/>
          <w:sz w:val="24"/>
          <w:szCs w:val="24"/>
        </w:rPr>
      </w:pPr>
      <w:r w:rsidRPr="0020232F">
        <w:rPr>
          <w:rFonts w:ascii="Trebuchet MS" w:hAnsi="Trebuchet MS"/>
          <w:b/>
          <w:sz w:val="24"/>
          <w:szCs w:val="24"/>
        </w:rPr>
        <w:t>Address:</w:t>
      </w:r>
      <w:r w:rsidRPr="0020232F">
        <w:rPr>
          <w:rFonts w:ascii="Trebuchet MS" w:hAnsi="Trebuchet MS"/>
          <w:sz w:val="24"/>
          <w:szCs w:val="24"/>
        </w:rPr>
        <w:t xml:space="preserve"> </w:t>
      </w:r>
      <w:r w:rsidR="00AC7133" w:rsidRPr="0020232F">
        <w:rPr>
          <w:rFonts w:ascii="Trebuchet MS" w:hAnsi="Trebuchet MS"/>
          <w:sz w:val="24"/>
          <w:szCs w:val="24"/>
        </w:rPr>
        <w:t>13 Beverley Road</w:t>
      </w:r>
    </w:p>
    <w:p w:rsidR="00625504" w:rsidRPr="0020232F" w:rsidRDefault="00625504" w:rsidP="0020232F">
      <w:pPr>
        <w:spacing w:line="240" w:lineRule="auto"/>
        <w:rPr>
          <w:rFonts w:ascii="Trebuchet MS" w:hAnsi="Trebuchet MS"/>
          <w:sz w:val="24"/>
          <w:szCs w:val="24"/>
        </w:rPr>
      </w:pPr>
      <w:r w:rsidRPr="0020232F">
        <w:rPr>
          <w:rFonts w:ascii="Trebuchet MS" w:hAnsi="Trebuchet MS"/>
          <w:b/>
          <w:sz w:val="24"/>
          <w:szCs w:val="24"/>
        </w:rPr>
        <w:t>Application No:</w:t>
      </w:r>
      <w:r w:rsidRPr="0020232F">
        <w:rPr>
          <w:rFonts w:ascii="Trebuchet MS" w:hAnsi="Trebuchet MS"/>
          <w:sz w:val="24"/>
          <w:szCs w:val="24"/>
        </w:rPr>
        <w:t xml:space="preserve"> </w:t>
      </w:r>
      <w:r w:rsidR="00AC7133" w:rsidRPr="0020232F">
        <w:rPr>
          <w:rFonts w:ascii="Trebuchet MS" w:hAnsi="Trebuchet MS"/>
          <w:sz w:val="24"/>
          <w:szCs w:val="24"/>
        </w:rPr>
        <w:t>161431/CLP</w:t>
      </w:r>
    </w:p>
    <w:p w:rsidR="00625504" w:rsidRPr="0020232F" w:rsidRDefault="00625504" w:rsidP="0020232F">
      <w:pPr>
        <w:spacing w:line="240" w:lineRule="auto"/>
        <w:rPr>
          <w:rFonts w:ascii="Trebuchet MS" w:hAnsi="Trebuchet MS"/>
          <w:sz w:val="24"/>
          <w:szCs w:val="24"/>
        </w:rPr>
      </w:pPr>
      <w:r w:rsidRPr="0020232F">
        <w:rPr>
          <w:rFonts w:ascii="Trebuchet MS" w:hAnsi="Trebuchet MS"/>
          <w:b/>
          <w:sz w:val="24"/>
          <w:szCs w:val="24"/>
        </w:rPr>
        <w:t>Proposal:</w:t>
      </w:r>
      <w:r w:rsidRPr="0020232F">
        <w:rPr>
          <w:rFonts w:ascii="Trebuchet MS" w:hAnsi="Trebuchet MS"/>
          <w:sz w:val="24"/>
          <w:szCs w:val="24"/>
        </w:rPr>
        <w:t xml:space="preserve"> </w:t>
      </w:r>
      <w:r w:rsidR="00AC7133" w:rsidRPr="0020232F">
        <w:rPr>
          <w:rFonts w:ascii="Trebuchet MS" w:hAnsi="Trebuchet MS"/>
          <w:sz w:val="24"/>
          <w:szCs w:val="24"/>
        </w:rPr>
        <w:t>Demolition of existing rear extension, construction of single storey rear extension</w:t>
      </w:r>
    </w:p>
    <w:p w:rsidR="00625504" w:rsidRPr="0020232F" w:rsidRDefault="00625504" w:rsidP="0020232F">
      <w:pPr>
        <w:spacing w:line="240" w:lineRule="auto"/>
        <w:rPr>
          <w:rFonts w:ascii="Trebuchet MS" w:hAnsi="Trebuchet MS"/>
          <w:sz w:val="24"/>
          <w:szCs w:val="24"/>
        </w:rPr>
      </w:pPr>
      <w:r w:rsidRPr="0020232F">
        <w:rPr>
          <w:rFonts w:ascii="Trebuchet MS" w:hAnsi="Trebuchet MS"/>
          <w:b/>
          <w:sz w:val="24"/>
          <w:szCs w:val="24"/>
        </w:rPr>
        <w:t>Case Officer:</w:t>
      </w:r>
      <w:r w:rsidRPr="0020232F">
        <w:rPr>
          <w:rFonts w:ascii="Trebuchet MS" w:hAnsi="Trebuchet MS"/>
          <w:sz w:val="24"/>
          <w:szCs w:val="24"/>
        </w:rPr>
        <w:t xml:space="preserve"> Tom Hughes</w:t>
      </w:r>
    </w:p>
    <w:p w:rsidR="00AC7133" w:rsidRPr="0020232F" w:rsidRDefault="00625504" w:rsidP="0020232F">
      <w:pPr>
        <w:spacing w:line="240" w:lineRule="auto"/>
        <w:rPr>
          <w:rFonts w:ascii="Trebuchet MS" w:hAnsi="Trebuchet MS"/>
          <w:b/>
          <w:sz w:val="24"/>
          <w:szCs w:val="24"/>
        </w:rPr>
      </w:pPr>
      <w:r w:rsidRPr="0020232F">
        <w:rPr>
          <w:rFonts w:ascii="Trebuchet MS" w:hAnsi="Trebuchet MS"/>
          <w:b/>
          <w:sz w:val="24"/>
          <w:szCs w:val="24"/>
        </w:rPr>
        <w:t>Introduction and Proposal</w:t>
      </w:r>
    </w:p>
    <w:p w:rsidR="007C7A22" w:rsidRPr="0020232F" w:rsidRDefault="007C7A22" w:rsidP="0020232F">
      <w:pPr>
        <w:spacing w:line="240" w:lineRule="auto"/>
        <w:rPr>
          <w:rFonts w:ascii="Trebuchet MS" w:hAnsi="Trebuchet MS"/>
          <w:sz w:val="24"/>
          <w:szCs w:val="24"/>
        </w:rPr>
      </w:pPr>
      <w:r w:rsidRPr="0020232F">
        <w:rPr>
          <w:rFonts w:ascii="Trebuchet MS" w:hAnsi="Trebuchet MS"/>
          <w:sz w:val="24"/>
          <w:szCs w:val="24"/>
        </w:rPr>
        <w:t xml:space="preserve">The application site is an end of terrace property with a hipped roof and two storey front </w:t>
      </w:r>
      <w:proofErr w:type="gramStart"/>
      <w:r w:rsidRPr="0020232F">
        <w:rPr>
          <w:rFonts w:ascii="Trebuchet MS" w:hAnsi="Trebuchet MS"/>
          <w:sz w:val="24"/>
          <w:szCs w:val="24"/>
        </w:rPr>
        <w:t>gable</w:t>
      </w:r>
      <w:proofErr w:type="gramEnd"/>
      <w:r w:rsidRPr="0020232F">
        <w:rPr>
          <w:rFonts w:ascii="Trebuchet MS" w:hAnsi="Trebuchet MS"/>
          <w:sz w:val="24"/>
          <w:szCs w:val="24"/>
        </w:rPr>
        <w:t xml:space="preserve">. The property has a single storey rear extension, a porch with a mono-pitch roof and an adjoining garage.  The surrounding area is predominantly residential. </w:t>
      </w:r>
    </w:p>
    <w:p w:rsidR="007C7A22" w:rsidRPr="0020232F" w:rsidRDefault="007C7A22" w:rsidP="0020232F">
      <w:pPr>
        <w:spacing w:line="240" w:lineRule="auto"/>
        <w:rPr>
          <w:rFonts w:ascii="Trebuchet MS" w:hAnsi="Trebuchet MS"/>
          <w:sz w:val="24"/>
          <w:szCs w:val="24"/>
        </w:rPr>
      </w:pPr>
      <w:r w:rsidRPr="0020232F">
        <w:rPr>
          <w:rFonts w:ascii="Trebuchet MS" w:hAnsi="Trebuchet MS"/>
          <w:sz w:val="24"/>
          <w:szCs w:val="24"/>
        </w:rPr>
        <w:t xml:space="preserve">The applicant proposes the demolition of the existing rear extension, and the erection of a new single storey rear extension </w:t>
      </w:r>
      <w:r w:rsidR="00FF2868" w:rsidRPr="0020232F">
        <w:rPr>
          <w:rFonts w:ascii="Trebuchet MS" w:hAnsi="Trebuchet MS"/>
          <w:sz w:val="24"/>
          <w:szCs w:val="24"/>
        </w:rPr>
        <w:t xml:space="preserve">with a mono-pitch roof. The proposed extension would extend to a depth of 3m, across the full width of the property by 7.39m. The mono-pitch roof would contain two skylights and have a height of 3m, with a height to eaves of 2.1m. Bi-fold doors would be located on the rear elevation. </w:t>
      </w:r>
    </w:p>
    <w:p w:rsidR="00625504" w:rsidRPr="0020232F" w:rsidRDefault="00625504" w:rsidP="0020232F">
      <w:pPr>
        <w:spacing w:line="240" w:lineRule="auto"/>
        <w:rPr>
          <w:rFonts w:ascii="Trebuchet MS" w:hAnsi="Trebuchet MS"/>
          <w:b/>
          <w:sz w:val="24"/>
          <w:szCs w:val="24"/>
        </w:rPr>
      </w:pPr>
      <w:r w:rsidRPr="0020232F">
        <w:rPr>
          <w:rFonts w:ascii="Trebuchet MS" w:hAnsi="Trebuchet MS"/>
          <w:b/>
          <w:sz w:val="24"/>
          <w:szCs w:val="24"/>
        </w:rPr>
        <w:t>Plans Submitted</w:t>
      </w:r>
    </w:p>
    <w:p w:rsidR="00625504" w:rsidRPr="0020232F" w:rsidRDefault="00625504" w:rsidP="0020232F">
      <w:pPr>
        <w:spacing w:line="240" w:lineRule="auto"/>
        <w:rPr>
          <w:rFonts w:ascii="Trebuchet MS" w:hAnsi="Trebuchet MS"/>
          <w:sz w:val="24"/>
          <w:szCs w:val="24"/>
        </w:rPr>
      </w:pPr>
      <w:r w:rsidRPr="0020232F">
        <w:rPr>
          <w:rFonts w:ascii="Trebuchet MS" w:hAnsi="Trebuchet MS"/>
          <w:sz w:val="24"/>
          <w:szCs w:val="24"/>
        </w:rPr>
        <w:t>The agent supplied the following drawings, received</w:t>
      </w:r>
      <w:r w:rsidR="003729E3" w:rsidRPr="0020232F">
        <w:rPr>
          <w:rFonts w:ascii="Trebuchet MS" w:hAnsi="Trebuchet MS"/>
          <w:sz w:val="24"/>
          <w:szCs w:val="24"/>
        </w:rPr>
        <w:t xml:space="preserve"> on 1</w:t>
      </w:r>
      <w:r w:rsidR="003729E3" w:rsidRPr="0020232F">
        <w:rPr>
          <w:rFonts w:ascii="Trebuchet MS" w:hAnsi="Trebuchet MS"/>
          <w:sz w:val="24"/>
          <w:szCs w:val="24"/>
          <w:vertAlign w:val="superscript"/>
        </w:rPr>
        <w:t>st</w:t>
      </w:r>
      <w:r w:rsidR="003729E3" w:rsidRPr="0020232F">
        <w:rPr>
          <w:rFonts w:ascii="Trebuchet MS" w:hAnsi="Trebuchet MS"/>
          <w:sz w:val="24"/>
          <w:szCs w:val="24"/>
        </w:rPr>
        <w:t xml:space="preserve"> August 2016:</w:t>
      </w:r>
    </w:p>
    <w:p w:rsidR="003729E3" w:rsidRPr="0020232F" w:rsidRDefault="003729E3" w:rsidP="0020232F">
      <w:pPr>
        <w:spacing w:line="240" w:lineRule="auto"/>
        <w:rPr>
          <w:rFonts w:ascii="Trebuchet MS" w:hAnsi="Trebuchet MS"/>
          <w:sz w:val="24"/>
          <w:szCs w:val="24"/>
        </w:rPr>
      </w:pPr>
      <w:r w:rsidRPr="0020232F">
        <w:rPr>
          <w:rFonts w:ascii="Trebuchet MS" w:hAnsi="Trebuchet MS"/>
          <w:sz w:val="24"/>
          <w:szCs w:val="24"/>
        </w:rPr>
        <w:t>Drawing No: 1607/01 – Existing Plans and Elevations</w:t>
      </w:r>
    </w:p>
    <w:p w:rsidR="003729E3" w:rsidRPr="0020232F" w:rsidRDefault="003729E3" w:rsidP="0020232F">
      <w:pPr>
        <w:spacing w:line="240" w:lineRule="auto"/>
        <w:rPr>
          <w:rFonts w:ascii="Trebuchet MS" w:hAnsi="Trebuchet MS"/>
          <w:sz w:val="24"/>
          <w:szCs w:val="24"/>
        </w:rPr>
      </w:pPr>
      <w:r w:rsidRPr="0020232F">
        <w:rPr>
          <w:rFonts w:ascii="Trebuchet MS" w:hAnsi="Trebuchet MS"/>
          <w:sz w:val="24"/>
          <w:szCs w:val="24"/>
        </w:rPr>
        <w:t>Drawing No: 1607/02 – Proposed Plans and Elevations</w:t>
      </w:r>
    </w:p>
    <w:p w:rsidR="003729E3" w:rsidRPr="0020232F" w:rsidRDefault="003729E3" w:rsidP="0020232F">
      <w:pPr>
        <w:spacing w:line="240" w:lineRule="auto"/>
        <w:rPr>
          <w:rFonts w:ascii="Trebuchet MS" w:hAnsi="Trebuchet MS"/>
          <w:sz w:val="24"/>
          <w:szCs w:val="24"/>
        </w:rPr>
      </w:pPr>
      <w:r w:rsidRPr="0020232F">
        <w:rPr>
          <w:rFonts w:ascii="Trebuchet MS" w:hAnsi="Trebuchet MS"/>
          <w:sz w:val="24"/>
          <w:szCs w:val="24"/>
        </w:rPr>
        <w:t>Drawing No: 1607/03 – Proposed Section A-A</w:t>
      </w:r>
    </w:p>
    <w:p w:rsidR="003729E3" w:rsidRPr="0020232F" w:rsidRDefault="003729E3" w:rsidP="0020232F">
      <w:pPr>
        <w:spacing w:line="240" w:lineRule="auto"/>
        <w:rPr>
          <w:rFonts w:ascii="Trebuchet MS" w:hAnsi="Trebuchet MS"/>
          <w:sz w:val="24"/>
          <w:szCs w:val="24"/>
        </w:rPr>
      </w:pPr>
      <w:r w:rsidRPr="0020232F">
        <w:rPr>
          <w:rFonts w:ascii="Trebuchet MS" w:hAnsi="Trebuchet MS"/>
          <w:sz w:val="24"/>
          <w:szCs w:val="24"/>
        </w:rPr>
        <w:t>Drawing No: 1607/05 – Site Location and Block Plan</w:t>
      </w:r>
    </w:p>
    <w:p w:rsidR="00625504" w:rsidRPr="0020232F" w:rsidRDefault="00625504" w:rsidP="0020232F">
      <w:pPr>
        <w:spacing w:line="240" w:lineRule="auto"/>
        <w:rPr>
          <w:rFonts w:ascii="Trebuchet MS" w:hAnsi="Trebuchet MS"/>
          <w:b/>
          <w:sz w:val="24"/>
          <w:szCs w:val="24"/>
        </w:rPr>
      </w:pPr>
      <w:r w:rsidRPr="0020232F">
        <w:rPr>
          <w:rFonts w:ascii="Trebuchet MS" w:hAnsi="Trebuchet MS"/>
          <w:b/>
          <w:sz w:val="24"/>
          <w:szCs w:val="24"/>
        </w:rPr>
        <w:t>Relevant Planning History</w:t>
      </w:r>
    </w:p>
    <w:p w:rsidR="003729E3" w:rsidRPr="0020232F" w:rsidRDefault="003729E3" w:rsidP="0020232F">
      <w:pPr>
        <w:spacing w:line="240" w:lineRule="auto"/>
        <w:rPr>
          <w:rFonts w:ascii="Trebuchet MS" w:hAnsi="Trebuchet MS"/>
          <w:sz w:val="24"/>
          <w:szCs w:val="24"/>
        </w:rPr>
      </w:pPr>
      <w:r w:rsidRPr="0020232F">
        <w:rPr>
          <w:rFonts w:ascii="Trebuchet MS" w:hAnsi="Trebuchet MS"/>
          <w:sz w:val="24"/>
          <w:szCs w:val="24"/>
        </w:rPr>
        <w:t>950005 – 14/06/95 – brick garage adjoining side of house – Permitted 18/08/95</w:t>
      </w:r>
    </w:p>
    <w:p w:rsidR="003729E3" w:rsidRPr="0020232F" w:rsidRDefault="003729E3" w:rsidP="0020232F">
      <w:pPr>
        <w:spacing w:line="240" w:lineRule="auto"/>
        <w:rPr>
          <w:rFonts w:ascii="Trebuchet MS" w:hAnsi="Trebuchet MS"/>
          <w:sz w:val="24"/>
          <w:szCs w:val="24"/>
        </w:rPr>
      </w:pPr>
      <w:r w:rsidRPr="0020232F">
        <w:rPr>
          <w:rFonts w:ascii="Trebuchet MS" w:hAnsi="Trebuchet MS"/>
          <w:sz w:val="24"/>
          <w:szCs w:val="24"/>
        </w:rPr>
        <w:t>021030 – 29/01/02 – erection of porch – Permitted 03/04/02</w:t>
      </w:r>
    </w:p>
    <w:p w:rsidR="003729E3" w:rsidRPr="0020232F" w:rsidRDefault="003729E3" w:rsidP="0020232F">
      <w:pPr>
        <w:spacing w:line="240" w:lineRule="auto"/>
        <w:rPr>
          <w:rFonts w:ascii="Trebuchet MS" w:hAnsi="Trebuchet MS"/>
          <w:sz w:val="24"/>
          <w:szCs w:val="24"/>
        </w:rPr>
      </w:pPr>
      <w:r w:rsidRPr="0020232F">
        <w:rPr>
          <w:rFonts w:ascii="Trebuchet MS" w:hAnsi="Trebuchet MS"/>
          <w:sz w:val="24"/>
          <w:szCs w:val="24"/>
        </w:rPr>
        <w:t>030761 – 18/06/03 – rear conservatory – Permitted 02/09/03</w:t>
      </w:r>
    </w:p>
    <w:p w:rsidR="00625504" w:rsidRPr="0020232F" w:rsidRDefault="00625504" w:rsidP="0020232F">
      <w:pPr>
        <w:spacing w:line="240" w:lineRule="auto"/>
        <w:rPr>
          <w:rFonts w:ascii="Trebuchet MS" w:hAnsi="Trebuchet MS"/>
          <w:b/>
          <w:sz w:val="24"/>
          <w:szCs w:val="24"/>
        </w:rPr>
      </w:pPr>
      <w:r w:rsidRPr="0020232F">
        <w:rPr>
          <w:rFonts w:ascii="Trebuchet MS" w:hAnsi="Trebuchet MS"/>
          <w:b/>
          <w:sz w:val="24"/>
          <w:szCs w:val="24"/>
        </w:rPr>
        <w:t>Summary of Consultations</w:t>
      </w:r>
    </w:p>
    <w:p w:rsidR="009F1E0D" w:rsidRPr="0020232F" w:rsidRDefault="00625504" w:rsidP="0020232F">
      <w:pPr>
        <w:spacing w:line="240" w:lineRule="auto"/>
        <w:rPr>
          <w:rFonts w:ascii="Trebuchet MS" w:hAnsi="Trebuchet MS"/>
          <w:sz w:val="24"/>
          <w:szCs w:val="24"/>
        </w:rPr>
      </w:pPr>
      <w:r w:rsidRPr="0020232F">
        <w:rPr>
          <w:rFonts w:ascii="Trebuchet MS" w:hAnsi="Trebuchet MS"/>
          <w:sz w:val="24"/>
          <w:szCs w:val="24"/>
        </w:rPr>
        <w:t>No consultations were undertaken as it is not required for an application of this type.</w:t>
      </w:r>
    </w:p>
    <w:p w:rsidR="00625504" w:rsidRPr="0020232F" w:rsidRDefault="00625504" w:rsidP="0020232F">
      <w:pPr>
        <w:spacing w:line="240" w:lineRule="auto"/>
        <w:rPr>
          <w:rFonts w:ascii="Trebuchet MS" w:hAnsi="Trebuchet MS"/>
          <w:b/>
          <w:sz w:val="24"/>
          <w:szCs w:val="24"/>
        </w:rPr>
      </w:pPr>
      <w:r w:rsidRPr="0020232F">
        <w:rPr>
          <w:rFonts w:ascii="Trebuchet MS" w:hAnsi="Trebuchet MS"/>
          <w:b/>
          <w:sz w:val="24"/>
          <w:szCs w:val="24"/>
        </w:rPr>
        <w:t>Relevant Planning Policy and Guidance</w:t>
      </w:r>
    </w:p>
    <w:p w:rsid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lastRenderedPageBreak/>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The Town and Country Planning (General Permitted Development) (England) Order 2015 (GPDO)</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Permitted development rights for householders – Technical Guidance April 2016</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A Design Guide to House Extensions (Supplementary Planning Guidance)</w:t>
      </w:r>
    </w:p>
    <w:p w:rsidR="00625504" w:rsidRPr="0020232F" w:rsidRDefault="00625504" w:rsidP="0020232F">
      <w:pPr>
        <w:spacing w:line="240" w:lineRule="auto"/>
        <w:rPr>
          <w:rFonts w:ascii="Trebuchet MS" w:eastAsia="Times New Roman" w:hAnsi="Trebuchet MS" w:cs="Times New Roman"/>
          <w:b/>
          <w:color w:val="000000"/>
          <w:sz w:val="24"/>
          <w:szCs w:val="24"/>
        </w:rPr>
      </w:pPr>
      <w:r w:rsidRPr="0020232F">
        <w:rPr>
          <w:rFonts w:ascii="Trebuchet MS" w:eastAsia="Times New Roman" w:hAnsi="Trebuchet MS" w:cs="Times New Roman"/>
          <w:b/>
          <w:color w:val="000000"/>
          <w:sz w:val="24"/>
          <w:szCs w:val="24"/>
        </w:rPr>
        <w:t>Assessment</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 xml:space="preserve">A Certificate of Lawfulness for a proposed development has been submitted as the applicant considers the proposal falls within the permitted development rights of the property. </w:t>
      </w:r>
    </w:p>
    <w:p w:rsidR="003729E3"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The proposed</w:t>
      </w:r>
      <w:r w:rsidR="00AC7133" w:rsidRPr="0020232F">
        <w:rPr>
          <w:rFonts w:ascii="Trebuchet MS" w:eastAsia="Times New Roman" w:hAnsi="Trebuchet MS" w:cs="Times New Roman"/>
          <w:color w:val="000000"/>
          <w:sz w:val="24"/>
          <w:szCs w:val="24"/>
        </w:rPr>
        <w:t xml:space="preserve"> single storey rear extension</w:t>
      </w:r>
      <w:r w:rsidRPr="0020232F">
        <w:rPr>
          <w:rFonts w:ascii="Trebuchet MS" w:eastAsia="Times New Roman" w:hAnsi="Trebuchet MS" w:cs="Times New Roman"/>
          <w:color w:val="000000"/>
          <w:sz w:val="24"/>
          <w:szCs w:val="24"/>
        </w:rPr>
        <w:t xml:space="preserve"> must be assessed to ensure that it complies with the conditions of Class A, Part 1, Schedule 2 of the Town and Country Planning (General Permitted Development) (England) Order 2015, which relates to the ‘enlargement, improvement or other alteration of a dwellinghouse’</w:t>
      </w:r>
      <w:r w:rsidR="003729E3" w:rsidRPr="0020232F">
        <w:rPr>
          <w:rFonts w:ascii="Trebuchet MS" w:eastAsia="Times New Roman" w:hAnsi="Trebuchet MS" w:cs="Times New Roman"/>
          <w:color w:val="000000"/>
          <w:sz w:val="24"/>
          <w:szCs w:val="24"/>
        </w:rPr>
        <w:t>.</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The relevant conditions of the GPDO for a</w:t>
      </w:r>
      <w:r w:rsidR="003729E3" w:rsidRPr="0020232F">
        <w:rPr>
          <w:rFonts w:ascii="Trebuchet MS" w:eastAsia="Times New Roman" w:hAnsi="Trebuchet MS" w:cs="Times New Roman"/>
          <w:color w:val="000000"/>
          <w:sz w:val="24"/>
          <w:szCs w:val="24"/>
        </w:rPr>
        <w:t xml:space="preserve"> single storey rear extension</w:t>
      </w:r>
      <w:r w:rsidRPr="0020232F">
        <w:rPr>
          <w:rFonts w:ascii="Trebuchet MS" w:eastAsia="Times New Roman" w:hAnsi="Trebuchet MS" w:cs="Times New Roman"/>
          <w:color w:val="000000"/>
          <w:sz w:val="24"/>
          <w:szCs w:val="24"/>
        </w:rPr>
        <w:t xml:space="preserve">, which is not listed or in a conservation area, are as follows: </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 xml:space="preserve">A.1 Development is not permitted by Class </w:t>
      </w:r>
      <w:proofErr w:type="gramStart"/>
      <w:r w:rsidRPr="0020232F">
        <w:rPr>
          <w:rFonts w:ascii="Trebuchet MS" w:eastAsia="Times New Roman" w:hAnsi="Trebuchet MS" w:cs="Times New Roman"/>
          <w:color w:val="000000"/>
          <w:sz w:val="24"/>
          <w:szCs w:val="24"/>
        </w:rPr>
        <w:t>A</w:t>
      </w:r>
      <w:proofErr w:type="gramEnd"/>
      <w:r w:rsidRPr="0020232F">
        <w:rPr>
          <w:rFonts w:ascii="Trebuchet MS" w:eastAsia="Times New Roman" w:hAnsi="Trebuchet MS" w:cs="Times New Roman"/>
          <w:color w:val="000000"/>
          <w:sz w:val="24"/>
          <w:szCs w:val="24"/>
        </w:rPr>
        <w:t xml:space="preserve"> if:  </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 xml:space="preserve">A.1 (a) permission to use the dwellinghouse as a dwellinghouse has been granted only by virtue of Class M, N, P or Q of Part 3 of this Schedule (changes of use); </w:t>
      </w:r>
      <w:r w:rsidR="00FF2868" w:rsidRPr="0020232F">
        <w:rPr>
          <w:rFonts w:ascii="Trebuchet MS" w:eastAsia="Times New Roman" w:hAnsi="Trebuchet MS" w:cs="Times New Roman"/>
          <w:b/>
          <w:color w:val="000000"/>
          <w:sz w:val="24"/>
          <w:szCs w:val="24"/>
        </w:rPr>
        <w:t>complies</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FF2868" w:rsidRPr="0020232F">
        <w:rPr>
          <w:rFonts w:ascii="Trebuchet MS" w:eastAsia="Times New Roman" w:hAnsi="Trebuchet MS" w:cs="Times New Roman"/>
          <w:b/>
          <w:color w:val="000000"/>
          <w:sz w:val="24"/>
          <w:szCs w:val="24"/>
        </w:rPr>
        <w:t>complies</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 xml:space="preserve">A.1 (c) the height of the part of the dwellinghouse enlarged, improved or altered would exceed the height of the highest part of the roof of the existing dwellinghouse; </w:t>
      </w:r>
      <w:r w:rsidR="00FF2868" w:rsidRPr="0020232F">
        <w:rPr>
          <w:rFonts w:ascii="Trebuchet MS" w:eastAsia="Times New Roman" w:hAnsi="Trebuchet MS" w:cs="Times New Roman"/>
          <w:b/>
          <w:color w:val="000000"/>
          <w:sz w:val="24"/>
          <w:szCs w:val="24"/>
        </w:rPr>
        <w:t>complies</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 xml:space="preserve">A.1 (d) the height of the eaves of the part of the dwellinghouse enlarged, improved or altered would exceed the height of the eaves of the existing dwellinghouse; </w:t>
      </w:r>
      <w:r w:rsidR="00FF2868" w:rsidRPr="0020232F">
        <w:rPr>
          <w:rFonts w:ascii="Trebuchet MS" w:eastAsia="Times New Roman" w:hAnsi="Trebuchet MS" w:cs="Times New Roman"/>
          <w:b/>
          <w:color w:val="000000"/>
          <w:sz w:val="24"/>
          <w:szCs w:val="24"/>
        </w:rPr>
        <w:t>complies</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A.1 (e) the enlarged part of the dwellinghouse would extend beyond a wall which (</w:t>
      </w:r>
      <w:proofErr w:type="spellStart"/>
      <w:r w:rsidRPr="0020232F">
        <w:rPr>
          <w:rFonts w:ascii="Trebuchet MS" w:eastAsia="Times New Roman" w:hAnsi="Trebuchet MS" w:cs="Times New Roman"/>
          <w:color w:val="000000"/>
          <w:sz w:val="24"/>
          <w:szCs w:val="24"/>
        </w:rPr>
        <w:t>i</w:t>
      </w:r>
      <w:proofErr w:type="spellEnd"/>
      <w:r w:rsidRPr="0020232F">
        <w:rPr>
          <w:rFonts w:ascii="Trebuchet MS" w:eastAsia="Times New Roman" w:hAnsi="Trebuchet MS" w:cs="Times New Roman"/>
          <w:color w:val="000000"/>
          <w:sz w:val="24"/>
          <w:szCs w:val="24"/>
        </w:rPr>
        <w:t>) forms the principle elevation of the original dwellinghouse;</w:t>
      </w:r>
      <w:r w:rsidR="00FF2868" w:rsidRPr="0020232F">
        <w:rPr>
          <w:rFonts w:ascii="Trebuchet MS" w:eastAsia="Times New Roman" w:hAnsi="Trebuchet MS" w:cs="Times New Roman"/>
          <w:color w:val="000000"/>
          <w:sz w:val="24"/>
          <w:szCs w:val="24"/>
        </w:rPr>
        <w:t xml:space="preserve"> complies </w:t>
      </w:r>
      <w:r w:rsidRPr="0020232F">
        <w:rPr>
          <w:rFonts w:ascii="Trebuchet MS" w:eastAsia="Times New Roman" w:hAnsi="Trebuchet MS" w:cs="Times New Roman"/>
          <w:color w:val="000000"/>
          <w:sz w:val="24"/>
          <w:szCs w:val="24"/>
        </w:rPr>
        <w:t xml:space="preserve">or (ii) fronts a highway and forms a side elevation of the original dwellinghouse; </w:t>
      </w:r>
      <w:r w:rsidR="00FF2868" w:rsidRPr="0020232F">
        <w:rPr>
          <w:rFonts w:ascii="Trebuchet MS" w:eastAsia="Times New Roman" w:hAnsi="Trebuchet MS" w:cs="Times New Roman"/>
          <w:b/>
          <w:color w:val="000000"/>
          <w:sz w:val="24"/>
          <w:szCs w:val="24"/>
        </w:rPr>
        <w:t>complies</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A.1 (f) subject to paragraph (g), the enlarged part of the dwellinghouse would have a single storey and – (</w:t>
      </w:r>
      <w:proofErr w:type="spellStart"/>
      <w:r w:rsidRPr="0020232F">
        <w:rPr>
          <w:rFonts w:ascii="Trebuchet MS" w:eastAsia="Times New Roman" w:hAnsi="Trebuchet MS" w:cs="Times New Roman"/>
          <w:color w:val="000000"/>
          <w:sz w:val="24"/>
          <w:szCs w:val="24"/>
        </w:rPr>
        <w:t>i</w:t>
      </w:r>
      <w:proofErr w:type="spellEnd"/>
      <w:r w:rsidRPr="0020232F">
        <w:rPr>
          <w:rFonts w:ascii="Trebuchet MS" w:eastAsia="Times New Roman" w:hAnsi="Trebuchet MS" w:cs="Times New Roman"/>
          <w:color w:val="000000"/>
          <w:sz w:val="24"/>
          <w:szCs w:val="24"/>
        </w:rPr>
        <w:t xml:space="preserve">) extend beyond the rear wall of the original dwellinghouse by more than 4 metres in the case of a detached dwellinghouse, or </w:t>
      </w:r>
      <w:r w:rsidRPr="0020232F">
        <w:rPr>
          <w:rFonts w:ascii="Trebuchet MS" w:eastAsia="Times New Roman" w:hAnsi="Trebuchet MS" w:cs="Times New Roman"/>
          <w:color w:val="000000"/>
          <w:sz w:val="24"/>
          <w:szCs w:val="24"/>
        </w:rPr>
        <w:lastRenderedPageBreak/>
        <w:t>3 metres in the case of any other dwellinghouse,</w:t>
      </w:r>
      <w:r w:rsidR="00FF2868" w:rsidRPr="0020232F">
        <w:rPr>
          <w:rFonts w:ascii="Trebuchet MS" w:eastAsia="Times New Roman" w:hAnsi="Trebuchet MS" w:cs="Times New Roman"/>
          <w:color w:val="000000"/>
          <w:sz w:val="24"/>
          <w:szCs w:val="24"/>
        </w:rPr>
        <w:t xml:space="preserve"> </w:t>
      </w:r>
      <w:r w:rsidR="00FF2868" w:rsidRPr="0020232F">
        <w:rPr>
          <w:rFonts w:ascii="Trebuchet MS" w:eastAsia="Times New Roman" w:hAnsi="Trebuchet MS" w:cs="Times New Roman"/>
          <w:b/>
          <w:color w:val="000000"/>
          <w:sz w:val="24"/>
          <w:szCs w:val="24"/>
        </w:rPr>
        <w:t>complies</w:t>
      </w:r>
      <w:r w:rsidRPr="0020232F">
        <w:rPr>
          <w:rFonts w:ascii="Trebuchet MS" w:eastAsia="Times New Roman" w:hAnsi="Trebuchet MS" w:cs="Times New Roman"/>
          <w:color w:val="000000"/>
          <w:sz w:val="24"/>
          <w:szCs w:val="24"/>
        </w:rPr>
        <w:t xml:space="preserve"> or (ii) exceed 4 metres in height; </w:t>
      </w:r>
      <w:r w:rsidR="00FF2868" w:rsidRPr="0020232F">
        <w:rPr>
          <w:rFonts w:ascii="Trebuchet MS" w:eastAsia="Times New Roman" w:hAnsi="Trebuchet MS" w:cs="Times New Roman"/>
          <w:b/>
          <w:color w:val="000000"/>
          <w:sz w:val="24"/>
          <w:szCs w:val="24"/>
        </w:rPr>
        <w:t>complies</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A.1 (g) until 30</w:t>
      </w:r>
      <w:r w:rsidRPr="0020232F">
        <w:rPr>
          <w:rFonts w:ascii="Trebuchet MS" w:eastAsia="Times New Roman" w:hAnsi="Trebuchet MS" w:cs="Times New Roman"/>
          <w:color w:val="000000"/>
          <w:sz w:val="24"/>
          <w:szCs w:val="24"/>
          <w:vertAlign w:val="superscript"/>
        </w:rPr>
        <w:t>th</w:t>
      </w:r>
      <w:r w:rsidRPr="0020232F">
        <w:rPr>
          <w:rFonts w:ascii="Trebuchet MS" w:eastAsia="Times New Roman" w:hAnsi="Trebuchet MS" w:cs="Times New Roman"/>
          <w:color w:val="000000"/>
          <w:sz w:val="24"/>
          <w:szCs w:val="24"/>
        </w:rPr>
        <w:t xml:space="preserve"> May 2019, for a dwellinghouse not on article 2(3) land nor on a site of special scientific interest, the enlarged part of the dwellinghouse would have a single storey and – (</w:t>
      </w:r>
      <w:proofErr w:type="spellStart"/>
      <w:r w:rsidRPr="0020232F">
        <w:rPr>
          <w:rFonts w:ascii="Trebuchet MS" w:eastAsia="Times New Roman" w:hAnsi="Trebuchet MS" w:cs="Times New Roman"/>
          <w:color w:val="000000"/>
          <w:sz w:val="24"/>
          <w:szCs w:val="24"/>
        </w:rPr>
        <w:t>i</w:t>
      </w:r>
      <w:proofErr w:type="spellEnd"/>
      <w:r w:rsidRPr="0020232F">
        <w:rPr>
          <w:rFonts w:ascii="Trebuchet MS" w:eastAsia="Times New Roman" w:hAnsi="Trebuchet MS" w:cs="Times New Roman"/>
          <w:color w:val="000000"/>
          <w:sz w:val="24"/>
          <w:szCs w:val="24"/>
        </w:rPr>
        <w:t xml:space="preserve">) extend beyond the rear wall of the original dwellinghouse by more than 8 metres in the case of a detached dwellinghouse, </w:t>
      </w:r>
      <w:r w:rsidR="00FF2868" w:rsidRPr="0020232F">
        <w:rPr>
          <w:rFonts w:ascii="Trebuchet MS" w:eastAsia="Times New Roman" w:hAnsi="Trebuchet MS" w:cs="Times New Roman"/>
          <w:color w:val="000000"/>
          <w:sz w:val="24"/>
          <w:szCs w:val="24"/>
        </w:rPr>
        <w:t xml:space="preserve">n/a </w:t>
      </w:r>
      <w:r w:rsidRPr="0020232F">
        <w:rPr>
          <w:rFonts w:ascii="Trebuchet MS" w:eastAsia="Times New Roman" w:hAnsi="Trebuchet MS" w:cs="Times New Roman"/>
          <w:color w:val="000000"/>
          <w:sz w:val="24"/>
          <w:szCs w:val="24"/>
        </w:rPr>
        <w:t xml:space="preserve">or 6 metres in the case of any other dwellinghouse, </w:t>
      </w:r>
      <w:r w:rsidR="00FF2868" w:rsidRPr="0020232F">
        <w:rPr>
          <w:rFonts w:ascii="Trebuchet MS" w:eastAsia="Times New Roman" w:hAnsi="Trebuchet MS" w:cs="Times New Roman"/>
          <w:b/>
          <w:color w:val="000000"/>
          <w:sz w:val="24"/>
          <w:szCs w:val="24"/>
        </w:rPr>
        <w:t>complies</w:t>
      </w:r>
      <w:r w:rsidRPr="0020232F">
        <w:rPr>
          <w:rFonts w:ascii="Trebuchet MS" w:eastAsia="Times New Roman" w:hAnsi="Trebuchet MS" w:cs="Times New Roman"/>
          <w:color w:val="000000"/>
          <w:sz w:val="24"/>
          <w:szCs w:val="24"/>
        </w:rPr>
        <w:t xml:space="preserve"> or (ii) exceed 4 metres in height; </w:t>
      </w:r>
      <w:r w:rsidR="00FF2868" w:rsidRPr="0020232F">
        <w:rPr>
          <w:rFonts w:ascii="Trebuchet MS" w:eastAsia="Times New Roman" w:hAnsi="Trebuchet MS" w:cs="Times New Roman"/>
          <w:b/>
          <w:color w:val="000000"/>
          <w:sz w:val="24"/>
          <w:szCs w:val="24"/>
        </w:rPr>
        <w:t>complies</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A.1 (h) the enlarged part of the dwellinghouse would have more than a single storey and – (</w:t>
      </w:r>
      <w:proofErr w:type="spellStart"/>
      <w:r w:rsidRPr="0020232F">
        <w:rPr>
          <w:rFonts w:ascii="Trebuchet MS" w:eastAsia="Times New Roman" w:hAnsi="Trebuchet MS" w:cs="Times New Roman"/>
          <w:color w:val="000000"/>
          <w:sz w:val="24"/>
          <w:szCs w:val="24"/>
        </w:rPr>
        <w:t>i</w:t>
      </w:r>
      <w:proofErr w:type="spellEnd"/>
      <w:r w:rsidRPr="0020232F">
        <w:rPr>
          <w:rFonts w:ascii="Trebuchet MS" w:eastAsia="Times New Roman" w:hAnsi="Trebuchet MS" w:cs="Times New Roman"/>
          <w:color w:val="000000"/>
          <w:sz w:val="24"/>
          <w:szCs w:val="24"/>
        </w:rPr>
        <w:t>) extend beyond the rear wall of the original dwellinghouse by more than 3 metres,</w:t>
      </w:r>
      <w:r w:rsidR="00FF2868" w:rsidRPr="0020232F">
        <w:rPr>
          <w:rFonts w:ascii="Trebuchet MS" w:eastAsia="Times New Roman" w:hAnsi="Trebuchet MS" w:cs="Times New Roman"/>
          <w:color w:val="000000"/>
          <w:sz w:val="24"/>
          <w:szCs w:val="24"/>
        </w:rPr>
        <w:t xml:space="preserve"> </w:t>
      </w:r>
      <w:r w:rsidR="00FF2868" w:rsidRPr="0020232F">
        <w:rPr>
          <w:rFonts w:ascii="Trebuchet MS" w:eastAsia="Times New Roman" w:hAnsi="Trebuchet MS" w:cs="Times New Roman"/>
          <w:b/>
          <w:color w:val="000000"/>
          <w:sz w:val="24"/>
          <w:szCs w:val="24"/>
        </w:rPr>
        <w:t>n/a</w:t>
      </w:r>
      <w:r w:rsidRPr="0020232F">
        <w:rPr>
          <w:rFonts w:ascii="Trebuchet MS" w:eastAsia="Times New Roman" w:hAnsi="Trebuchet MS" w:cs="Times New Roman"/>
          <w:color w:val="000000"/>
          <w:sz w:val="24"/>
          <w:szCs w:val="24"/>
        </w:rPr>
        <w:t xml:space="preserve"> or (ii) be within 7 metres of any boundary of the curtilage of the dwellinghouse opposite the rear wall of the dwellinghouse; </w:t>
      </w:r>
      <w:r w:rsidR="00FF2868" w:rsidRPr="0020232F">
        <w:rPr>
          <w:rFonts w:ascii="Trebuchet MS" w:eastAsia="Times New Roman" w:hAnsi="Trebuchet MS" w:cs="Times New Roman"/>
          <w:b/>
          <w:color w:val="000000"/>
          <w:sz w:val="24"/>
          <w:szCs w:val="24"/>
        </w:rPr>
        <w:t>n/a</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A.1 (</w:t>
      </w:r>
      <w:proofErr w:type="spellStart"/>
      <w:r w:rsidRPr="0020232F">
        <w:rPr>
          <w:rFonts w:ascii="Trebuchet MS" w:eastAsia="Times New Roman" w:hAnsi="Trebuchet MS" w:cs="Times New Roman"/>
          <w:color w:val="000000"/>
          <w:sz w:val="24"/>
          <w:szCs w:val="24"/>
        </w:rPr>
        <w:t>i</w:t>
      </w:r>
      <w:proofErr w:type="spellEnd"/>
      <w:r w:rsidRPr="0020232F">
        <w:rPr>
          <w:rFonts w:ascii="Trebuchet MS" w:eastAsia="Times New Roman" w:hAnsi="Trebuchet MS" w:cs="Times New Roman"/>
          <w:color w:val="000000"/>
          <w:sz w:val="24"/>
          <w:szCs w:val="24"/>
        </w:rPr>
        <w:t xml:space="preserve">) the enlarged part of the dwellinghouse would be within 2 metres of the boundary of the curtilage of the dwellinghouse, and the height of the eaves of the enlarged part would exceed 3 metres; </w:t>
      </w:r>
      <w:r w:rsidR="00FF2868" w:rsidRPr="0020232F">
        <w:rPr>
          <w:rFonts w:ascii="Trebuchet MS" w:eastAsia="Times New Roman" w:hAnsi="Trebuchet MS" w:cs="Times New Roman"/>
          <w:b/>
          <w:color w:val="000000"/>
          <w:sz w:val="24"/>
          <w:szCs w:val="24"/>
        </w:rPr>
        <w:t>complies</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A.1 (j) the enlarged part of the dwellinghouse would extend beyond a wall forming a side elevation of the original dwellinghouse, and would – (</w:t>
      </w:r>
      <w:proofErr w:type="spellStart"/>
      <w:r w:rsidRPr="0020232F">
        <w:rPr>
          <w:rFonts w:ascii="Trebuchet MS" w:eastAsia="Times New Roman" w:hAnsi="Trebuchet MS" w:cs="Times New Roman"/>
          <w:color w:val="000000"/>
          <w:sz w:val="24"/>
          <w:szCs w:val="24"/>
        </w:rPr>
        <w:t>i</w:t>
      </w:r>
      <w:proofErr w:type="spellEnd"/>
      <w:r w:rsidRPr="0020232F">
        <w:rPr>
          <w:rFonts w:ascii="Trebuchet MS" w:eastAsia="Times New Roman" w:hAnsi="Trebuchet MS" w:cs="Times New Roman"/>
          <w:color w:val="000000"/>
          <w:sz w:val="24"/>
          <w:szCs w:val="24"/>
        </w:rPr>
        <w:t>) exceed 4 metres in height,</w:t>
      </w:r>
      <w:r w:rsidR="00FF2868" w:rsidRPr="0020232F">
        <w:rPr>
          <w:rFonts w:ascii="Trebuchet MS" w:eastAsia="Times New Roman" w:hAnsi="Trebuchet MS" w:cs="Times New Roman"/>
          <w:color w:val="000000"/>
          <w:sz w:val="24"/>
          <w:szCs w:val="24"/>
        </w:rPr>
        <w:t xml:space="preserve"> </w:t>
      </w:r>
      <w:r w:rsidR="00FF2868" w:rsidRPr="0020232F">
        <w:rPr>
          <w:rFonts w:ascii="Trebuchet MS" w:eastAsia="Times New Roman" w:hAnsi="Trebuchet MS" w:cs="Times New Roman"/>
          <w:b/>
          <w:color w:val="000000"/>
          <w:sz w:val="24"/>
          <w:szCs w:val="24"/>
        </w:rPr>
        <w:t>n/a</w:t>
      </w:r>
      <w:r w:rsidRPr="0020232F">
        <w:rPr>
          <w:rFonts w:ascii="Trebuchet MS" w:eastAsia="Times New Roman" w:hAnsi="Trebuchet MS" w:cs="Times New Roman"/>
          <w:color w:val="000000"/>
          <w:sz w:val="24"/>
          <w:szCs w:val="24"/>
        </w:rPr>
        <w:t xml:space="preserve"> (ii) have more than a single storey,</w:t>
      </w:r>
      <w:r w:rsidR="00FF2868" w:rsidRPr="0020232F">
        <w:rPr>
          <w:rFonts w:ascii="Trebuchet MS" w:eastAsia="Times New Roman" w:hAnsi="Trebuchet MS" w:cs="Times New Roman"/>
          <w:color w:val="000000"/>
          <w:sz w:val="24"/>
          <w:szCs w:val="24"/>
        </w:rPr>
        <w:t xml:space="preserve"> </w:t>
      </w:r>
      <w:r w:rsidR="00FF2868" w:rsidRPr="0020232F">
        <w:rPr>
          <w:rFonts w:ascii="Trebuchet MS" w:eastAsia="Times New Roman" w:hAnsi="Trebuchet MS" w:cs="Times New Roman"/>
          <w:b/>
          <w:color w:val="000000"/>
          <w:sz w:val="24"/>
          <w:szCs w:val="24"/>
        </w:rPr>
        <w:t>n/a</w:t>
      </w:r>
      <w:r w:rsidRPr="0020232F">
        <w:rPr>
          <w:rFonts w:ascii="Trebuchet MS" w:eastAsia="Times New Roman" w:hAnsi="Trebuchet MS" w:cs="Times New Roman"/>
          <w:color w:val="000000"/>
          <w:sz w:val="24"/>
          <w:szCs w:val="24"/>
        </w:rPr>
        <w:t xml:space="preserve"> or (iii) have a width greater than half the width of the original dwellinghouse; </w:t>
      </w:r>
      <w:r w:rsidR="00FF2868" w:rsidRPr="0020232F">
        <w:rPr>
          <w:rFonts w:ascii="Trebuchet MS" w:eastAsia="Times New Roman" w:hAnsi="Trebuchet MS" w:cs="Times New Roman"/>
          <w:b/>
          <w:color w:val="000000"/>
          <w:sz w:val="24"/>
          <w:szCs w:val="24"/>
        </w:rPr>
        <w:t>n/a</w:t>
      </w:r>
      <w:r w:rsidRPr="0020232F">
        <w:rPr>
          <w:rFonts w:ascii="Trebuchet MS" w:eastAsia="Times New Roman" w:hAnsi="Trebuchet MS" w:cs="Times New Roman"/>
          <w:color w:val="000000"/>
          <w:sz w:val="24"/>
          <w:szCs w:val="24"/>
        </w:rPr>
        <w:t xml:space="preserve"> or </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A.1 (k) it would consist of or include – (</w:t>
      </w:r>
      <w:proofErr w:type="spellStart"/>
      <w:r w:rsidRPr="0020232F">
        <w:rPr>
          <w:rFonts w:ascii="Trebuchet MS" w:eastAsia="Times New Roman" w:hAnsi="Trebuchet MS" w:cs="Times New Roman"/>
          <w:color w:val="000000"/>
          <w:sz w:val="24"/>
          <w:szCs w:val="24"/>
        </w:rPr>
        <w:t>i</w:t>
      </w:r>
      <w:proofErr w:type="spellEnd"/>
      <w:r w:rsidRPr="0020232F">
        <w:rPr>
          <w:rFonts w:ascii="Trebuchet MS" w:eastAsia="Times New Roman" w:hAnsi="Trebuchet MS" w:cs="Times New Roman"/>
          <w:color w:val="000000"/>
          <w:sz w:val="24"/>
          <w:szCs w:val="24"/>
        </w:rPr>
        <w:t>) the construction or provision of a verandah, balcony or raised platform,</w:t>
      </w:r>
      <w:r w:rsidR="00FF2868" w:rsidRPr="0020232F">
        <w:rPr>
          <w:rFonts w:ascii="Trebuchet MS" w:eastAsia="Times New Roman" w:hAnsi="Trebuchet MS" w:cs="Times New Roman"/>
          <w:color w:val="000000"/>
          <w:sz w:val="24"/>
          <w:szCs w:val="24"/>
        </w:rPr>
        <w:t xml:space="preserve"> </w:t>
      </w:r>
      <w:r w:rsidR="00000ED8" w:rsidRPr="0020232F">
        <w:rPr>
          <w:rFonts w:ascii="Trebuchet MS" w:eastAsia="Times New Roman" w:hAnsi="Trebuchet MS" w:cs="Times New Roman"/>
          <w:b/>
          <w:color w:val="000000"/>
          <w:sz w:val="24"/>
          <w:szCs w:val="24"/>
        </w:rPr>
        <w:t>complies</w:t>
      </w:r>
      <w:r w:rsidRPr="0020232F">
        <w:rPr>
          <w:rFonts w:ascii="Trebuchet MS" w:eastAsia="Times New Roman" w:hAnsi="Trebuchet MS" w:cs="Times New Roman"/>
          <w:color w:val="000000"/>
          <w:sz w:val="24"/>
          <w:szCs w:val="24"/>
        </w:rPr>
        <w:t xml:space="preserve"> (ii) the installation, alteration or replacement of a microwave antenna, </w:t>
      </w:r>
      <w:r w:rsidR="00000ED8" w:rsidRPr="0020232F">
        <w:rPr>
          <w:rFonts w:ascii="Trebuchet MS" w:eastAsia="Times New Roman" w:hAnsi="Trebuchet MS" w:cs="Times New Roman"/>
          <w:b/>
          <w:color w:val="000000"/>
          <w:sz w:val="24"/>
          <w:szCs w:val="24"/>
        </w:rPr>
        <w:t>complies</w:t>
      </w:r>
      <w:r w:rsidR="00000ED8" w:rsidRPr="0020232F">
        <w:rPr>
          <w:rFonts w:ascii="Trebuchet MS" w:eastAsia="Times New Roman" w:hAnsi="Trebuchet MS" w:cs="Times New Roman"/>
          <w:color w:val="000000"/>
          <w:sz w:val="24"/>
          <w:szCs w:val="24"/>
        </w:rPr>
        <w:t xml:space="preserve"> </w:t>
      </w:r>
      <w:r w:rsidRPr="0020232F">
        <w:rPr>
          <w:rFonts w:ascii="Trebuchet MS" w:eastAsia="Times New Roman" w:hAnsi="Trebuchet MS" w:cs="Times New Roman"/>
          <w:color w:val="000000"/>
          <w:sz w:val="24"/>
          <w:szCs w:val="24"/>
        </w:rPr>
        <w:t>(iii) the installation, alteration or replacement of a chimney, flue or soil and vent pipe,</w:t>
      </w:r>
      <w:r w:rsidR="00000ED8" w:rsidRPr="0020232F">
        <w:rPr>
          <w:rFonts w:ascii="Trebuchet MS" w:eastAsia="Times New Roman" w:hAnsi="Trebuchet MS" w:cs="Times New Roman"/>
          <w:color w:val="000000"/>
          <w:sz w:val="24"/>
          <w:szCs w:val="24"/>
        </w:rPr>
        <w:t xml:space="preserve"> </w:t>
      </w:r>
      <w:r w:rsidR="00000ED8" w:rsidRPr="0020232F">
        <w:rPr>
          <w:rFonts w:ascii="Trebuchet MS" w:eastAsia="Times New Roman" w:hAnsi="Trebuchet MS" w:cs="Times New Roman"/>
          <w:b/>
          <w:color w:val="000000"/>
          <w:sz w:val="24"/>
          <w:szCs w:val="24"/>
        </w:rPr>
        <w:t>complies</w:t>
      </w:r>
      <w:r w:rsidRPr="0020232F">
        <w:rPr>
          <w:rFonts w:ascii="Trebuchet MS" w:eastAsia="Times New Roman" w:hAnsi="Trebuchet MS" w:cs="Times New Roman"/>
          <w:color w:val="000000"/>
          <w:sz w:val="24"/>
          <w:szCs w:val="24"/>
        </w:rPr>
        <w:t xml:space="preserve"> or (iv) an alteration to any part of the roof of the dwellinghouse. </w:t>
      </w:r>
      <w:proofErr w:type="gramStart"/>
      <w:r w:rsidR="00000ED8" w:rsidRPr="0020232F">
        <w:rPr>
          <w:rFonts w:ascii="Trebuchet MS" w:eastAsia="Times New Roman" w:hAnsi="Trebuchet MS" w:cs="Times New Roman"/>
          <w:b/>
          <w:color w:val="000000"/>
          <w:sz w:val="24"/>
          <w:szCs w:val="24"/>
        </w:rPr>
        <w:t>complies</w:t>
      </w:r>
      <w:proofErr w:type="gramEnd"/>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 xml:space="preserve">A.2 In the case of a dwellinghouse on article 2(3) land, development is not permitted by Class </w:t>
      </w:r>
      <w:proofErr w:type="gramStart"/>
      <w:r w:rsidRPr="0020232F">
        <w:rPr>
          <w:rFonts w:ascii="Trebuchet MS" w:eastAsia="Times New Roman" w:hAnsi="Trebuchet MS" w:cs="Times New Roman"/>
          <w:color w:val="000000"/>
          <w:sz w:val="24"/>
          <w:szCs w:val="24"/>
        </w:rPr>
        <w:t>A</w:t>
      </w:r>
      <w:proofErr w:type="gramEnd"/>
      <w:r w:rsidRPr="0020232F">
        <w:rPr>
          <w:rFonts w:ascii="Trebuchet MS" w:eastAsia="Times New Roman" w:hAnsi="Trebuchet MS" w:cs="Times New Roman"/>
          <w:color w:val="000000"/>
          <w:sz w:val="24"/>
          <w:szCs w:val="24"/>
        </w:rPr>
        <w:t xml:space="preserve"> if:</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 xml:space="preserve">A.2 (a) it would consist of or include the cladding of any part of the exterior of the dwellinghouse with stone, artificial stone, pebble dash, render, timber, plastic or tiles; </w:t>
      </w:r>
      <w:proofErr w:type="gramStart"/>
      <w:r w:rsidR="00000ED8" w:rsidRPr="0020232F">
        <w:rPr>
          <w:rFonts w:ascii="Trebuchet MS" w:eastAsia="Times New Roman" w:hAnsi="Trebuchet MS" w:cs="Times New Roman"/>
          <w:b/>
          <w:color w:val="000000"/>
          <w:sz w:val="24"/>
          <w:szCs w:val="24"/>
        </w:rPr>
        <w:t>n/a</w:t>
      </w:r>
      <w:proofErr w:type="gramEnd"/>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 xml:space="preserve">A.2 (b) the enlarged part of the dwellinghouse would extend beyond a wall forming a side elevation of the original dwellinghouse; </w:t>
      </w:r>
      <w:proofErr w:type="gramStart"/>
      <w:r w:rsidR="00000ED8" w:rsidRPr="0020232F">
        <w:rPr>
          <w:rFonts w:ascii="Trebuchet MS" w:eastAsia="Times New Roman" w:hAnsi="Trebuchet MS" w:cs="Times New Roman"/>
          <w:b/>
          <w:color w:val="000000"/>
          <w:sz w:val="24"/>
          <w:szCs w:val="24"/>
        </w:rPr>
        <w:t>n/a</w:t>
      </w:r>
      <w:proofErr w:type="gramEnd"/>
      <w:r w:rsidR="00000ED8" w:rsidRPr="0020232F">
        <w:rPr>
          <w:rFonts w:ascii="Trebuchet MS" w:eastAsia="Times New Roman" w:hAnsi="Trebuchet MS" w:cs="Times New Roman"/>
          <w:color w:val="000000"/>
          <w:sz w:val="24"/>
          <w:szCs w:val="24"/>
        </w:rPr>
        <w:t xml:space="preserve"> </w:t>
      </w:r>
      <w:r w:rsidRPr="0020232F">
        <w:rPr>
          <w:rFonts w:ascii="Trebuchet MS" w:eastAsia="Times New Roman" w:hAnsi="Trebuchet MS" w:cs="Times New Roman"/>
          <w:color w:val="000000"/>
          <w:sz w:val="24"/>
          <w:szCs w:val="24"/>
        </w:rPr>
        <w:t>or</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 xml:space="preserve">A.2 (c) the enlarged part of the dwellinghouse would have more than a single storey and extend beyond the rear wall of the original dwellinghouse. </w:t>
      </w:r>
      <w:r w:rsidR="00000ED8" w:rsidRPr="0020232F">
        <w:rPr>
          <w:rFonts w:ascii="Trebuchet MS" w:eastAsia="Times New Roman" w:hAnsi="Trebuchet MS" w:cs="Times New Roman"/>
          <w:b/>
          <w:color w:val="000000"/>
          <w:sz w:val="24"/>
          <w:szCs w:val="24"/>
        </w:rPr>
        <w:t>n/a</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Conditions</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The proposed single storey rear extension is permitted by Class A subject to the following conditions:</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 xml:space="preserve">A.3 (a) the materials used in any exterior work (other than materials used in the construction of a conservatory) must be of a similar appearance to those used in the construction of the exterior of the dwellinghouse; </w:t>
      </w:r>
      <w:r w:rsidR="00000ED8" w:rsidRPr="0020232F">
        <w:rPr>
          <w:rFonts w:ascii="Trebuchet MS" w:eastAsia="Times New Roman" w:hAnsi="Trebuchet MS" w:cs="Times New Roman"/>
          <w:color w:val="000000"/>
          <w:sz w:val="24"/>
          <w:szCs w:val="24"/>
        </w:rPr>
        <w:t>complies, subject to condition</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lastRenderedPageBreak/>
        <w:t>A.3 (b) any upper-floor window located in a wall or roof slope forming a side elevation of the dwellinghouse mus</w:t>
      </w:r>
      <w:bookmarkStart w:id="0" w:name="_GoBack"/>
      <w:bookmarkEnd w:id="0"/>
      <w:r w:rsidRPr="0020232F">
        <w:rPr>
          <w:rFonts w:ascii="Trebuchet MS" w:eastAsia="Times New Roman" w:hAnsi="Trebuchet MS" w:cs="Times New Roman"/>
          <w:color w:val="000000"/>
          <w:sz w:val="24"/>
          <w:szCs w:val="24"/>
        </w:rPr>
        <w:t>t be (</w:t>
      </w:r>
      <w:proofErr w:type="spellStart"/>
      <w:r w:rsidRPr="0020232F">
        <w:rPr>
          <w:rFonts w:ascii="Trebuchet MS" w:eastAsia="Times New Roman" w:hAnsi="Trebuchet MS" w:cs="Times New Roman"/>
          <w:color w:val="000000"/>
          <w:sz w:val="24"/>
          <w:szCs w:val="24"/>
        </w:rPr>
        <w:t>i</w:t>
      </w:r>
      <w:proofErr w:type="spellEnd"/>
      <w:r w:rsidRPr="0020232F">
        <w:rPr>
          <w:rFonts w:ascii="Trebuchet MS" w:eastAsia="Times New Roman" w:hAnsi="Trebuchet MS" w:cs="Times New Roman"/>
          <w:color w:val="000000"/>
          <w:sz w:val="24"/>
          <w:szCs w:val="24"/>
        </w:rPr>
        <w:t xml:space="preserve">) obscure-glazed, </w:t>
      </w:r>
      <w:r w:rsidR="00000ED8" w:rsidRPr="00633C85">
        <w:rPr>
          <w:rFonts w:ascii="Trebuchet MS" w:eastAsia="Times New Roman" w:hAnsi="Trebuchet MS" w:cs="Times New Roman"/>
          <w:b/>
          <w:color w:val="000000"/>
          <w:sz w:val="24"/>
          <w:szCs w:val="24"/>
        </w:rPr>
        <w:t>n/a</w:t>
      </w:r>
      <w:r w:rsidR="00000ED8" w:rsidRPr="0020232F">
        <w:rPr>
          <w:rFonts w:ascii="Trebuchet MS" w:eastAsia="Times New Roman" w:hAnsi="Trebuchet MS" w:cs="Times New Roman"/>
          <w:color w:val="000000"/>
          <w:sz w:val="24"/>
          <w:szCs w:val="24"/>
        </w:rPr>
        <w:t xml:space="preserve"> </w:t>
      </w:r>
      <w:r w:rsidRPr="0020232F">
        <w:rPr>
          <w:rFonts w:ascii="Trebuchet MS" w:eastAsia="Times New Roman" w:hAnsi="Trebuchet MS" w:cs="Times New Roman"/>
          <w:color w:val="000000"/>
          <w:sz w:val="24"/>
          <w:szCs w:val="24"/>
        </w:rPr>
        <w:t xml:space="preserve">and (ii) non-opening unless the parts of the window which can be opened are more than 1.7 metres above the floor of the room in which the window is installed; </w:t>
      </w:r>
      <w:r w:rsidR="00000ED8" w:rsidRPr="0020232F">
        <w:rPr>
          <w:rFonts w:ascii="Trebuchet MS" w:eastAsia="Times New Roman" w:hAnsi="Trebuchet MS" w:cs="Times New Roman"/>
          <w:b/>
          <w:color w:val="000000"/>
          <w:sz w:val="24"/>
          <w:szCs w:val="24"/>
        </w:rPr>
        <w:t>n/a</w:t>
      </w:r>
      <w:r w:rsidRPr="0020232F">
        <w:rPr>
          <w:rFonts w:ascii="Trebuchet MS" w:eastAsia="Times New Roman" w:hAnsi="Trebuchet MS" w:cs="Times New Roman"/>
          <w:color w:val="000000"/>
          <w:sz w:val="24"/>
          <w:szCs w:val="24"/>
        </w:rPr>
        <w:t xml:space="preserve"> and</w:t>
      </w:r>
    </w:p>
    <w:p w:rsidR="00625504"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A.3 (c) where the enlarged part of the dwellinghouse has more than a single storey, the roof pitch of the enlarged part must, so far as practicable, be the same as the roof pitch of the original dwellinghouse.</w:t>
      </w:r>
      <w:r w:rsidR="00000ED8" w:rsidRPr="0020232F">
        <w:rPr>
          <w:rFonts w:ascii="Trebuchet MS" w:eastAsia="Times New Roman" w:hAnsi="Trebuchet MS" w:cs="Times New Roman"/>
          <w:color w:val="000000"/>
          <w:sz w:val="24"/>
          <w:szCs w:val="24"/>
        </w:rPr>
        <w:t xml:space="preserve"> </w:t>
      </w:r>
      <w:r w:rsidR="00000ED8" w:rsidRPr="0020232F">
        <w:rPr>
          <w:rFonts w:ascii="Trebuchet MS" w:eastAsia="Times New Roman" w:hAnsi="Trebuchet MS" w:cs="Times New Roman"/>
          <w:b/>
          <w:color w:val="000000"/>
          <w:sz w:val="24"/>
          <w:szCs w:val="24"/>
        </w:rPr>
        <w:t>n/a</w:t>
      </w:r>
    </w:p>
    <w:p w:rsidR="00625504" w:rsidRPr="0020232F" w:rsidRDefault="00625504" w:rsidP="0020232F">
      <w:pPr>
        <w:spacing w:line="240" w:lineRule="auto"/>
        <w:rPr>
          <w:rFonts w:ascii="Trebuchet MS" w:eastAsia="Times New Roman" w:hAnsi="Trebuchet MS" w:cs="Times New Roman"/>
          <w:b/>
          <w:color w:val="000000"/>
          <w:sz w:val="24"/>
          <w:szCs w:val="24"/>
        </w:rPr>
      </w:pPr>
      <w:r w:rsidRPr="0020232F">
        <w:rPr>
          <w:rFonts w:ascii="Trebuchet MS" w:eastAsia="Times New Roman" w:hAnsi="Trebuchet MS" w:cs="Times New Roman"/>
          <w:b/>
          <w:color w:val="000000"/>
          <w:sz w:val="24"/>
          <w:szCs w:val="24"/>
        </w:rPr>
        <w:t>Recommendation</w:t>
      </w:r>
    </w:p>
    <w:p w:rsidR="009F1E0D" w:rsidRPr="0020232F" w:rsidRDefault="00625504" w:rsidP="0020232F">
      <w:pPr>
        <w:spacing w:line="240" w:lineRule="auto"/>
        <w:rPr>
          <w:rFonts w:ascii="Trebuchet MS" w:eastAsia="Times New Roman" w:hAnsi="Trebuchet MS" w:cs="Times New Roman"/>
          <w:color w:val="000000"/>
          <w:sz w:val="24"/>
          <w:szCs w:val="24"/>
        </w:rPr>
      </w:pPr>
      <w:r w:rsidRPr="0020232F">
        <w:rPr>
          <w:rFonts w:ascii="Trebuchet MS" w:eastAsia="Times New Roman" w:hAnsi="Trebuchet MS" w:cs="Times New Roman"/>
          <w:color w:val="000000"/>
          <w:sz w:val="24"/>
          <w:szCs w:val="24"/>
        </w:rPr>
        <w:t>Sufficient evidence has been provided to demonstrate that a Certificate of Lawfulness sho</w:t>
      </w:r>
      <w:r w:rsidR="00034294" w:rsidRPr="0020232F">
        <w:rPr>
          <w:rFonts w:ascii="Trebuchet MS" w:eastAsia="Times New Roman" w:hAnsi="Trebuchet MS" w:cs="Times New Roman"/>
          <w:color w:val="000000"/>
          <w:sz w:val="24"/>
          <w:szCs w:val="24"/>
        </w:rPr>
        <w:t>uld be granted for the proposed demolition of the existing rear extension and construction of single</w:t>
      </w:r>
      <w:r w:rsidR="009F1E0D" w:rsidRPr="0020232F">
        <w:rPr>
          <w:rFonts w:ascii="Trebuchet MS" w:eastAsia="Times New Roman" w:hAnsi="Trebuchet MS" w:cs="Times New Roman"/>
          <w:color w:val="000000"/>
          <w:sz w:val="24"/>
          <w:szCs w:val="24"/>
        </w:rPr>
        <w:t xml:space="preserve"> storey rear extension with a maximum depth of 3m and width of 7.39m, and with a maximum height of 3m with a height to eaves of 2.1m.</w:t>
      </w:r>
    </w:p>
    <w:p w:rsidR="00625504" w:rsidRPr="0020232F" w:rsidRDefault="00625504" w:rsidP="0020232F">
      <w:pPr>
        <w:spacing w:line="240" w:lineRule="auto"/>
        <w:rPr>
          <w:rFonts w:ascii="Trebuchet MS" w:eastAsia="Times New Roman" w:hAnsi="Trebuchet MS" w:cs="Arial"/>
          <w:sz w:val="24"/>
          <w:szCs w:val="24"/>
        </w:rPr>
      </w:pPr>
      <w:r w:rsidRPr="0020232F">
        <w:rPr>
          <w:rFonts w:ascii="Trebuchet MS" w:eastAsia="Times New Roman" w:hAnsi="Trebuchet MS" w:cs="Arial"/>
          <w:sz w:val="24"/>
          <w:szCs w:val="24"/>
        </w:rPr>
        <w:t>The proposal has been assessed against the Town and Country Planning Act 1990 (as amended) and Class A, Part 1, Schedule 2 of the Town and Country Planning (General Permitted Development) (England) Order 2015. It can be confirmed that the proposed operation would be lawful for planning purposes on the basis of the drawings received on</w:t>
      </w:r>
      <w:r w:rsidR="009F1E0D" w:rsidRPr="0020232F">
        <w:rPr>
          <w:rFonts w:ascii="Trebuchet MS" w:eastAsia="Times New Roman" w:hAnsi="Trebuchet MS" w:cs="Arial"/>
          <w:sz w:val="24"/>
          <w:szCs w:val="24"/>
        </w:rPr>
        <w:t xml:space="preserve"> 1</w:t>
      </w:r>
      <w:r w:rsidR="009F1E0D" w:rsidRPr="0020232F">
        <w:rPr>
          <w:rFonts w:ascii="Trebuchet MS" w:eastAsia="Times New Roman" w:hAnsi="Trebuchet MS" w:cs="Arial"/>
          <w:sz w:val="24"/>
          <w:szCs w:val="24"/>
          <w:vertAlign w:val="superscript"/>
        </w:rPr>
        <w:t>st</w:t>
      </w:r>
      <w:r w:rsidR="009F1E0D" w:rsidRPr="0020232F">
        <w:rPr>
          <w:rFonts w:ascii="Trebuchet MS" w:eastAsia="Times New Roman" w:hAnsi="Trebuchet MS" w:cs="Arial"/>
          <w:sz w:val="24"/>
          <w:szCs w:val="24"/>
        </w:rPr>
        <w:t xml:space="preserve"> August 2016:</w:t>
      </w:r>
    </w:p>
    <w:p w:rsidR="009F1E0D" w:rsidRPr="0020232F" w:rsidRDefault="009F1E0D" w:rsidP="0020232F">
      <w:pPr>
        <w:spacing w:line="240" w:lineRule="auto"/>
        <w:rPr>
          <w:rFonts w:ascii="Trebuchet MS" w:hAnsi="Trebuchet MS"/>
          <w:sz w:val="24"/>
          <w:szCs w:val="24"/>
        </w:rPr>
      </w:pPr>
      <w:r w:rsidRPr="0020232F">
        <w:rPr>
          <w:rFonts w:ascii="Trebuchet MS" w:hAnsi="Trebuchet MS"/>
          <w:sz w:val="24"/>
          <w:szCs w:val="24"/>
        </w:rPr>
        <w:t>Drawing No: 1607/01 – Existing Plans and Elevations</w:t>
      </w:r>
    </w:p>
    <w:p w:rsidR="009F1E0D" w:rsidRPr="0020232F" w:rsidRDefault="009F1E0D" w:rsidP="0020232F">
      <w:pPr>
        <w:spacing w:line="240" w:lineRule="auto"/>
        <w:rPr>
          <w:rFonts w:ascii="Trebuchet MS" w:hAnsi="Trebuchet MS"/>
          <w:sz w:val="24"/>
          <w:szCs w:val="24"/>
        </w:rPr>
      </w:pPr>
      <w:r w:rsidRPr="0020232F">
        <w:rPr>
          <w:rFonts w:ascii="Trebuchet MS" w:hAnsi="Trebuchet MS"/>
          <w:sz w:val="24"/>
          <w:szCs w:val="24"/>
        </w:rPr>
        <w:t>Drawing No: 1607/02 – Proposed Plans and Elevations</w:t>
      </w:r>
    </w:p>
    <w:p w:rsidR="009F1E0D" w:rsidRPr="0020232F" w:rsidRDefault="009F1E0D" w:rsidP="0020232F">
      <w:pPr>
        <w:spacing w:line="240" w:lineRule="auto"/>
        <w:rPr>
          <w:rFonts w:ascii="Trebuchet MS" w:hAnsi="Trebuchet MS"/>
          <w:sz w:val="24"/>
          <w:szCs w:val="24"/>
        </w:rPr>
      </w:pPr>
      <w:r w:rsidRPr="0020232F">
        <w:rPr>
          <w:rFonts w:ascii="Trebuchet MS" w:hAnsi="Trebuchet MS"/>
          <w:sz w:val="24"/>
          <w:szCs w:val="24"/>
        </w:rPr>
        <w:t>Drawing No: 1607/03 – Proposed Section A-A</w:t>
      </w:r>
    </w:p>
    <w:p w:rsidR="00625504" w:rsidRPr="0020232F" w:rsidRDefault="009F1E0D" w:rsidP="0020232F">
      <w:pPr>
        <w:spacing w:line="240" w:lineRule="auto"/>
        <w:rPr>
          <w:rFonts w:ascii="Trebuchet MS" w:hAnsi="Trebuchet MS"/>
          <w:sz w:val="24"/>
          <w:szCs w:val="24"/>
        </w:rPr>
      </w:pPr>
      <w:r w:rsidRPr="0020232F">
        <w:rPr>
          <w:rFonts w:ascii="Trebuchet MS" w:hAnsi="Trebuchet MS"/>
          <w:sz w:val="24"/>
          <w:szCs w:val="24"/>
        </w:rPr>
        <w:t>Drawing No: 1607/05 – Site Location and Block Plan</w:t>
      </w:r>
    </w:p>
    <w:p w:rsidR="00625504" w:rsidRPr="0020232F" w:rsidRDefault="00625504" w:rsidP="0020232F">
      <w:pPr>
        <w:spacing w:line="240" w:lineRule="auto"/>
        <w:rPr>
          <w:rFonts w:ascii="Trebuchet MS" w:eastAsia="Times New Roman" w:hAnsi="Trebuchet MS" w:cs="Arial"/>
          <w:sz w:val="24"/>
          <w:szCs w:val="24"/>
        </w:rPr>
      </w:pPr>
      <w:r w:rsidRPr="0020232F">
        <w:rPr>
          <w:rFonts w:ascii="Trebuchet MS" w:eastAsia="Times New Roman" w:hAnsi="Trebuchet MS" w:cs="Arial"/>
          <w:sz w:val="24"/>
          <w:szCs w:val="24"/>
        </w:rPr>
        <w:t>Therefore the Local Planning Authority can issue the applicant with a Certificate of Lawfulness for the proposed development.</w:t>
      </w:r>
    </w:p>
    <w:p w:rsidR="009F1E0D" w:rsidRPr="0020232F" w:rsidRDefault="00625504" w:rsidP="0020232F">
      <w:pPr>
        <w:spacing w:line="240" w:lineRule="auto"/>
        <w:rPr>
          <w:rFonts w:ascii="Trebuchet MS" w:eastAsia="Times New Roman" w:hAnsi="Trebuchet MS" w:cs="Arial"/>
          <w:sz w:val="24"/>
          <w:szCs w:val="24"/>
        </w:rPr>
      </w:pPr>
      <w:r w:rsidRPr="0020232F">
        <w:rPr>
          <w:rFonts w:ascii="Trebuchet MS" w:eastAsia="Times New Roman" w:hAnsi="Trebuchet MS" w:cs="Arial"/>
          <w:b/>
          <w:sz w:val="24"/>
          <w:szCs w:val="24"/>
        </w:rPr>
        <w:t>Informatives</w:t>
      </w:r>
    </w:p>
    <w:p w:rsidR="009F1E0D" w:rsidRPr="0020232F" w:rsidRDefault="009F1E0D" w:rsidP="0020232F">
      <w:pPr>
        <w:spacing w:line="240" w:lineRule="auto"/>
        <w:rPr>
          <w:rFonts w:ascii="Trebuchet MS" w:eastAsia="Times New Roman" w:hAnsi="Trebuchet MS" w:cs="Arial"/>
          <w:sz w:val="24"/>
          <w:szCs w:val="24"/>
        </w:rPr>
      </w:pPr>
      <w:r w:rsidRPr="0020232F">
        <w:rPr>
          <w:rFonts w:ascii="Trebuchet MS" w:eastAsia="Times New Roman" w:hAnsi="Trebuchet MS" w:cs="Arial"/>
          <w:sz w:val="24"/>
          <w:szCs w:val="24"/>
        </w:rPr>
        <w:t>Building Regulations</w:t>
      </w:r>
    </w:p>
    <w:p w:rsidR="009F1E0D" w:rsidRPr="0020232F" w:rsidRDefault="009F1E0D" w:rsidP="0020232F">
      <w:pPr>
        <w:spacing w:line="240" w:lineRule="auto"/>
        <w:rPr>
          <w:rFonts w:ascii="Trebuchet MS" w:eastAsia="Times New Roman" w:hAnsi="Trebuchet MS" w:cs="Arial"/>
          <w:sz w:val="24"/>
          <w:szCs w:val="24"/>
        </w:rPr>
      </w:pPr>
      <w:r w:rsidRPr="0020232F">
        <w:rPr>
          <w:rFonts w:ascii="Trebuchet MS" w:eastAsia="Times New Roman" w:hAnsi="Trebuchet MS" w:cs="Arial"/>
          <w:sz w:val="24"/>
          <w:szCs w:val="24"/>
        </w:rPr>
        <w:t>Encroachment and Party Wall</w:t>
      </w:r>
    </w:p>
    <w:p w:rsidR="009F1E0D" w:rsidRPr="0020232F" w:rsidRDefault="009F1E0D" w:rsidP="0020232F">
      <w:pPr>
        <w:spacing w:line="240" w:lineRule="auto"/>
        <w:rPr>
          <w:rFonts w:ascii="Trebuchet MS" w:eastAsia="Times New Roman" w:hAnsi="Trebuchet MS" w:cs="Arial"/>
          <w:sz w:val="24"/>
          <w:szCs w:val="24"/>
        </w:rPr>
      </w:pPr>
      <w:r w:rsidRPr="0020232F">
        <w:rPr>
          <w:rFonts w:ascii="Trebuchet MS" w:eastAsia="Times New Roman" w:hAnsi="Trebuchet MS" w:cs="Arial"/>
          <w:sz w:val="24"/>
          <w:szCs w:val="24"/>
        </w:rPr>
        <w:t>Construction and Demolition</w:t>
      </w:r>
    </w:p>
    <w:p w:rsidR="009F1E0D" w:rsidRPr="0020232F" w:rsidRDefault="009F1E0D" w:rsidP="0020232F">
      <w:pPr>
        <w:spacing w:line="240" w:lineRule="auto"/>
        <w:rPr>
          <w:rFonts w:ascii="Trebuchet MS" w:eastAsia="Times New Roman" w:hAnsi="Trebuchet MS" w:cs="Arial"/>
          <w:sz w:val="24"/>
          <w:szCs w:val="24"/>
        </w:rPr>
      </w:pPr>
      <w:r w:rsidRPr="0020232F">
        <w:rPr>
          <w:rFonts w:ascii="Trebuchet MS" w:eastAsia="Times New Roman" w:hAnsi="Trebuchet MS" w:cs="Arial"/>
          <w:sz w:val="24"/>
          <w:szCs w:val="24"/>
        </w:rPr>
        <w:t>Materials</w:t>
      </w:r>
    </w:p>
    <w:p w:rsidR="00625504" w:rsidRPr="0020232F" w:rsidRDefault="00034294" w:rsidP="0020232F">
      <w:pPr>
        <w:spacing w:line="240" w:lineRule="auto"/>
        <w:rPr>
          <w:rFonts w:ascii="Trebuchet MS" w:hAnsi="Trebuchet MS"/>
          <w:sz w:val="24"/>
          <w:szCs w:val="24"/>
        </w:rPr>
      </w:pPr>
      <w:r w:rsidRPr="0020232F">
        <w:rPr>
          <w:rFonts w:ascii="Trebuchet MS" w:hAnsi="Trebuchet MS"/>
          <w:noProof/>
          <w:sz w:val="24"/>
          <w:szCs w:val="24"/>
          <w:lang w:eastAsia="en-GB"/>
        </w:rPr>
        <w:lastRenderedPageBreak/>
        <w:drawing>
          <wp:inline distT="0" distB="0" distL="0" distR="0" wp14:anchorId="58D9FB97" wp14:editId="3D95BBAE">
            <wp:extent cx="5151664" cy="727437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151664" cy="7274379"/>
                    </a:xfrm>
                    <a:prstGeom prst="rect">
                      <a:avLst/>
                    </a:prstGeom>
                  </pic:spPr>
                </pic:pic>
              </a:graphicData>
            </a:graphic>
          </wp:inline>
        </w:drawing>
      </w:r>
    </w:p>
    <w:sectPr w:rsidR="00625504" w:rsidRPr="002023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625504"/>
    <w:rsid w:val="00000ED8"/>
    <w:rsid w:val="00034294"/>
    <w:rsid w:val="00037BAF"/>
    <w:rsid w:val="0007503E"/>
    <w:rsid w:val="000E5A3F"/>
    <w:rsid w:val="0020232F"/>
    <w:rsid w:val="00215C25"/>
    <w:rsid w:val="003729E3"/>
    <w:rsid w:val="005B391B"/>
    <w:rsid w:val="00625504"/>
    <w:rsid w:val="00633C85"/>
    <w:rsid w:val="007C7A22"/>
    <w:rsid w:val="007F7924"/>
    <w:rsid w:val="00912B7D"/>
    <w:rsid w:val="009A3326"/>
    <w:rsid w:val="009F1E0D"/>
    <w:rsid w:val="00AC7133"/>
    <w:rsid w:val="00C40D2F"/>
    <w:rsid w:val="00FF28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342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42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714BD-A72B-4FF9-A34C-3A9C0145C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1302</Words>
  <Characters>7423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2016-08-08T15:42:00Z</dcterms:created>
  <dcterms:modified xsi:type="dcterms:W3CDTF">2016-08-17T10:55:00Z</dcterms:modified>
</cp:coreProperties>
</file>