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826C49">
        <w:rPr>
          <w:rFonts w:ascii="Trebuchet MS" w:hAnsi="Trebuchet MS"/>
          <w:sz w:val="24"/>
          <w:szCs w:val="24"/>
        </w:rPr>
        <w:t>23/11/17</w:t>
      </w:r>
    </w:p>
    <w:p w:rsidR="00625504" w:rsidRPr="00826C49"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826C49">
        <w:rPr>
          <w:rFonts w:ascii="Trebuchet MS" w:hAnsi="Trebuchet MS"/>
          <w:sz w:val="24"/>
          <w:szCs w:val="24"/>
        </w:rPr>
        <w:t>48 Kenilworth Avenue</w:t>
      </w:r>
    </w:p>
    <w:p w:rsidR="00625504" w:rsidRPr="00826C49"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826C49">
        <w:rPr>
          <w:rFonts w:ascii="Trebuchet MS" w:hAnsi="Trebuchet MS"/>
          <w:sz w:val="24"/>
          <w:szCs w:val="24"/>
        </w:rPr>
        <w:t>171696/CLP</w:t>
      </w:r>
    </w:p>
    <w:p w:rsidR="00625504" w:rsidRPr="00826C49"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826C49">
        <w:rPr>
          <w:rFonts w:ascii="Trebuchet MS" w:hAnsi="Trebuchet MS"/>
          <w:sz w:val="24"/>
          <w:szCs w:val="24"/>
        </w:rPr>
        <w:t>Installation of door to side elevation</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826C49" w:rsidRDefault="00826C49" w:rsidP="00826C49">
      <w:pPr>
        <w:spacing w:line="240" w:lineRule="auto"/>
        <w:rPr>
          <w:rFonts w:ascii="Trebuchet MS" w:hAnsi="Trebuchet MS"/>
          <w:sz w:val="24"/>
          <w:szCs w:val="24"/>
        </w:rPr>
      </w:pPr>
      <w:r>
        <w:rPr>
          <w:rFonts w:ascii="Trebuchet MS" w:hAnsi="Trebuchet MS"/>
          <w:sz w:val="24"/>
          <w:szCs w:val="24"/>
        </w:rPr>
        <w:t xml:space="preserve">The application site is a semi-detached property with a hipped roof and converted loft. A flat roof garage adjoins the side elevation. A single storey extension with a mono-pitch roof extends from the rear of the property. A further flat roof extension extends to the side and rear of the property. The surrounding area is predominantly residential. </w:t>
      </w:r>
    </w:p>
    <w:p w:rsidR="00826C49" w:rsidRPr="00826C49" w:rsidRDefault="00826C49" w:rsidP="00AF3FE4">
      <w:pPr>
        <w:spacing w:line="240" w:lineRule="auto"/>
        <w:rPr>
          <w:rFonts w:ascii="Trebuchet MS" w:hAnsi="Trebuchet MS"/>
          <w:sz w:val="24"/>
          <w:szCs w:val="24"/>
        </w:rPr>
      </w:pPr>
      <w:r>
        <w:rPr>
          <w:rFonts w:ascii="Trebuchet MS" w:hAnsi="Trebuchet MS"/>
          <w:sz w:val="24"/>
          <w:szCs w:val="24"/>
        </w:rPr>
        <w:t xml:space="preserve">The proposal is for the installation of a single door to the north-eastward side elevation of the existing single storey side and rear extension.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826C49">
        <w:rPr>
          <w:rFonts w:ascii="Trebuchet MS" w:hAnsi="Trebuchet MS"/>
          <w:sz w:val="24"/>
          <w:szCs w:val="24"/>
        </w:rPr>
        <w:t>28</w:t>
      </w:r>
      <w:r w:rsidR="00826C49" w:rsidRPr="00826C49">
        <w:rPr>
          <w:rFonts w:ascii="Trebuchet MS" w:hAnsi="Trebuchet MS"/>
          <w:sz w:val="24"/>
          <w:szCs w:val="24"/>
          <w:vertAlign w:val="superscript"/>
        </w:rPr>
        <w:t>th</w:t>
      </w:r>
      <w:r w:rsidR="00826C49">
        <w:rPr>
          <w:rFonts w:ascii="Trebuchet MS" w:hAnsi="Trebuchet MS"/>
          <w:sz w:val="24"/>
          <w:szCs w:val="24"/>
        </w:rPr>
        <w:t xml:space="preserve"> September 2017:</w:t>
      </w:r>
    </w:p>
    <w:p w:rsidR="00826C49" w:rsidRDefault="00826C49" w:rsidP="003C6957">
      <w:pPr>
        <w:spacing w:line="240" w:lineRule="auto"/>
        <w:rPr>
          <w:rFonts w:ascii="Trebuchet MS" w:hAnsi="Trebuchet MS"/>
          <w:sz w:val="24"/>
          <w:szCs w:val="24"/>
        </w:rPr>
      </w:pPr>
      <w:r>
        <w:rPr>
          <w:rFonts w:ascii="Trebuchet MS" w:hAnsi="Trebuchet MS"/>
          <w:sz w:val="24"/>
          <w:szCs w:val="24"/>
        </w:rPr>
        <w:t>Planning Statement</w:t>
      </w:r>
    </w:p>
    <w:p w:rsidR="00826C49" w:rsidRDefault="00826C49" w:rsidP="003C6957">
      <w:pPr>
        <w:spacing w:line="240" w:lineRule="auto"/>
        <w:rPr>
          <w:rFonts w:ascii="Trebuchet MS" w:hAnsi="Trebuchet MS"/>
          <w:sz w:val="24"/>
          <w:szCs w:val="24"/>
        </w:rPr>
      </w:pPr>
      <w:r>
        <w:rPr>
          <w:rFonts w:ascii="Trebuchet MS" w:hAnsi="Trebuchet MS"/>
          <w:sz w:val="24"/>
          <w:szCs w:val="24"/>
        </w:rPr>
        <w:t>Site Location and Block Plan</w:t>
      </w:r>
    </w:p>
    <w:p w:rsidR="00826C49" w:rsidRDefault="00826C49" w:rsidP="003C6957">
      <w:pPr>
        <w:spacing w:line="240" w:lineRule="auto"/>
        <w:rPr>
          <w:rFonts w:ascii="Trebuchet MS" w:hAnsi="Trebuchet MS"/>
          <w:sz w:val="24"/>
          <w:szCs w:val="24"/>
        </w:rPr>
      </w:pPr>
      <w:r>
        <w:rPr>
          <w:rFonts w:ascii="Trebuchet MS" w:hAnsi="Trebuchet MS"/>
          <w:sz w:val="24"/>
          <w:szCs w:val="24"/>
        </w:rPr>
        <w:t>Drawing No: 01 – Existing Floor Plans</w:t>
      </w:r>
    </w:p>
    <w:p w:rsidR="00826C49" w:rsidRDefault="00826C49" w:rsidP="003C6957">
      <w:pPr>
        <w:spacing w:line="240" w:lineRule="auto"/>
        <w:rPr>
          <w:rFonts w:ascii="Trebuchet MS" w:hAnsi="Trebuchet MS"/>
          <w:sz w:val="24"/>
          <w:szCs w:val="24"/>
        </w:rPr>
      </w:pPr>
      <w:r>
        <w:rPr>
          <w:rFonts w:ascii="Trebuchet MS" w:hAnsi="Trebuchet MS"/>
          <w:sz w:val="24"/>
          <w:szCs w:val="24"/>
        </w:rPr>
        <w:t>Drawing No: 03 – Proposed Floor Plans</w:t>
      </w:r>
    </w:p>
    <w:p w:rsidR="00826C49" w:rsidRDefault="00826C49" w:rsidP="003C6957">
      <w:pPr>
        <w:spacing w:line="240" w:lineRule="auto"/>
        <w:rPr>
          <w:rFonts w:ascii="Trebuchet MS" w:hAnsi="Trebuchet MS"/>
          <w:sz w:val="24"/>
          <w:szCs w:val="24"/>
        </w:rPr>
      </w:pPr>
      <w:r>
        <w:rPr>
          <w:rFonts w:ascii="Trebuchet MS" w:hAnsi="Trebuchet MS"/>
          <w:sz w:val="24"/>
          <w:szCs w:val="24"/>
        </w:rPr>
        <w:t>Drawing No: 02 – Existing Elevations</w:t>
      </w:r>
    </w:p>
    <w:p w:rsidR="00826C49" w:rsidRPr="00AF3FE4" w:rsidRDefault="00826C49" w:rsidP="003C6957">
      <w:pPr>
        <w:spacing w:line="240" w:lineRule="auto"/>
        <w:rPr>
          <w:rFonts w:ascii="Trebuchet MS" w:hAnsi="Trebuchet MS"/>
          <w:sz w:val="24"/>
          <w:szCs w:val="24"/>
        </w:rPr>
      </w:pPr>
      <w:r>
        <w:rPr>
          <w:rFonts w:ascii="Trebuchet MS" w:hAnsi="Trebuchet MS"/>
          <w:sz w:val="24"/>
          <w:szCs w:val="24"/>
        </w:rPr>
        <w:t>Drawing No: 04 – Proposed Elevations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826C49" w:rsidRPr="00826C49" w:rsidRDefault="00854E71" w:rsidP="00AF3FE4">
      <w:pPr>
        <w:spacing w:line="240" w:lineRule="auto"/>
        <w:rPr>
          <w:rFonts w:ascii="Trebuchet MS" w:hAnsi="Trebuchet MS"/>
          <w:sz w:val="24"/>
          <w:szCs w:val="24"/>
        </w:rPr>
      </w:pPr>
      <w:r>
        <w:rPr>
          <w:rFonts w:ascii="Trebuchet MS" w:hAnsi="Trebuchet MS"/>
          <w:sz w:val="24"/>
          <w:szCs w:val="24"/>
        </w:rPr>
        <w:t>161962/CLP – Single storey side extension, alterations to existing rear extension and loft conversion with hip-to-gable roof alteration, rear box dormer and roof lights – Permitted 08/11/16</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lastRenderedPageBreak/>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854E71">
        <w:rPr>
          <w:rFonts w:ascii="Trebuchet MS" w:eastAsia="Times New Roman" w:hAnsi="Trebuchet MS"/>
          <w:color w:val="000000"/>
          <w:sz w:val="24"/>
          <w:szCs w:val="24"/>
        </w:rPr>
        <w:t xml:space="preserve">installation of a single door </w:t>
      </w:r>
      <w:r w:rsidRPr="00AF3FE4">
        <w:rPr>
          <w:rFonts w:ascii="Trebuchet MS" w:eastAsia="Times New Roman" w:hAnsi="Trebuchet MS"/>
          <w:color w:val="000000"/>
          <w:sz w:val="24"/>
          <w:szCs w:val="24"/>
        </w:rPr>
        <w:t>must be assessed to ensure that it complies with the conditions of Class A, Part 1, Schedule 2 of the Town and Country Planning (General Permitted Development) (England) Order 2015, which relates to the ‘enlargement, improvement or other alteration 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854E71">
        <w:rPr>
          <w:rFonts w:ascii="Trebuchet MS" w:eastAsia="Times New Roman" w:hAnsi="Trebuchet MS"/>
          <w:color w:val="000000"/>
          <w:sz w:val="24"/>
          <w:szCs w:val="24"/>
        </w:rPr>
        <w:t>nt conditions of the GPDO for the installation of a single door</w:t>
      </w:r>
      <w:r w:rsidRPr="00AF3FE4">
        <w:rPr>
          <w:rFonts w:ascii="Trebuchet MS" w:eastAsia="Times New Roman" w:hAnsi="Trebuchet MS"/>
          <w:color w:val="000000"/>
          <w:sz w:val="24"/>
          <w:szCs w:val="24"/>
        </w:rPr>
        <w:t xml:space="preserve">, which is not listed or in a conservation area, are as follows: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Development is not permitted by Class </w:t>
      </w:r>
      <w:proofErr w:type="gramStart"/>
      <w:r w:rsidRPr="00AF3FE4">
        <w:rPr>
          <w:rFonts w:ascii="Trebuchet MS" w:eastAsia="Times New Roman" w:hAnsi="Trebuchet MS"/>
          <w:color w:val="000000"/>
          <w:sz w:val="24"/>
          <w:szCs w:val="24"/>
        </w:rPr>
        <w:t>A</w:t>
      </w:r>
      <w:proofErr w:type="gramEnd"/>
      <w:r w:rsidRPr="00AF3FE4">
        <w:rPr>
          <w:rFonts w:ascii="Trebuchet MS" w:eastAsia="Times New Roman" w:hAnsi="Trebuchet MS"/>
          <w:color w:val="000000"/>
          <w:sz w:val="24"/>
          <w:szCs w:val="24"/>
        </w:rPr>
        <w:t xml:space="preserve"> if:  </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(a) permission to use the dwellinghouse as a dwellinghouse has been granted only by virtue of Class M, N, P or Q of Part 3 of this Schedule (changes of 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(c) the height of the part of the dwellinghouse enlarged, improved or altered would exceed the height of the highest part of the roof of the existing dwellinghouse; </w:t>
      </w:r>
      <w:r w:rsidR="00075F51">
        <w:rPr>
          <w:rFonts w:ascii="Trebuchet MS" w:eastAsia="Times New Roman" w:hAnsi="Trebuchet MS"/>
          <w:b/>
          <w:color w:val="000000"/>
          <w:sz w:val="24"/>
          <w:szCs w:val="24"/>
        </w:rPr>
        <w:t>complies</w:t>
      </w:r>
    </w:p>
    <w:p w:rsid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(d) the height of the eaves of the part of the dwellinghouse enlarged, improved or altered would exceed the height of the eaves of the existing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(e) the enlarged part of the dwellinghouse would extend beyond a wall which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forms the principle elevation of the original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fronts a highway and forms a side elevation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(f) subject to paragraph (g),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extend beyond the rear wall of the original dwellinghouse by more than 4 metres in the case of a detached dwellinghouse, or 3 metres in the case of any other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(g) until 30</w:t>
      </w:r>
      <w:r w:rsidRPr="00AF3FE4">
        <w:rPr>
          <w:rFonts w:ascii="Trebuchet MS" w:eastAsia="Times New Roman" w:hAnsi="Trebuchet MS"/>
          <w:color w:val="000000"/>
          <w:sz w:val="24"/>
          <w:szCs w:val="24"/>
          <w:vertAlign w:val="superscript"/>
        </w:rPr>
        <w:t>th</w:t>
      </w:r>
      <w:r w:rsidRPr="00AF3FE4">
        <w:rPr>
          <w:rFonts w:ascii="Trebuchet MS" w:eastAsia="Times New Roman" w:hAnsi="Trebuchet MS"/>
          <w:color w:val="000000"/>
          <w:sz w:val="24"/>
          <w:szCs w:val="24"/>
        </w:rPr>
        <w:t xml:space="preserve"> May 2019, for a dwellinghouse not on article 2(3) land nor on a site of special scientific interest,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8 metres in the case of a detached dwellinghouse, or 6 metres in the case of any other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(h) the enlarged part of the dwellinghouse would have more than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w:t>
      </w:r>
      <w:r w:rsidRPr="00AF3FE4">
        <w:rPr>
          <w:rFonts w:ascii="Trebuchet MS" w:eastAsia="Times New Roman" w:hAnsi="Trebuchet MS"/>
          <w:color w:val="000000"/>
          <w:sz w:val="24"/>
          <w:szCs w:val="24"/>
        </w:rPr>
        <w:lastRenderedPageBreak/>
        <w:t xml:space="preserve">than 3 metres,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(ii) be within 7 metres of any boundary of the curtilage of the dwellinghouse opposite the rear wall of the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the enlarged part of the dwellinghouse would be within 2 metres of the boundary of the curtilage of the dwellinghouse, and the height of the eaves of the enlarged part would exceed 3 metres; </w:t>
      </w:r>
      <w:r w:rsidR="00075F51">
        <w:rPr>
          <w:rFonts w:ascii="Trebuchet MS" w:eastAsia="Times New Roman" w:hAnsi="Trebuchet MS"/>
          <w:b/>
          <w:color w:val="000000"/>
          <w:sz w:val="24"/>
          <w:szCs w:val="24"/>
        </w:rPr>
        <w:t>complies</w:t>
      </w:r>
    </w:p>
    <w:p w:rsidR="0062550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A.1 (j) the enlarged part of the dwellinghouse would extend beyond a wall forming a side elevation of the original dwellinghouse, and would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exceed 4 metres in height,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(ii) have more than a single storey,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or (iii) have a width greater than half the width of the original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p>
    <w:p w:rsidR="00246D7F" w:rsidRPr="00854E71" w:rsidRDefault="00246D7F"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A.1 (ja) any total enlargement (being the enlarged part together with any existing enlargement of the original dwellinghouse to which it will be joined) exceeds or would exceed the limits set out in sub-paragraphs (e) to (j);</w:t>
      </w:r>
      <w:r w:rsidR="00854E71">
        <w:rPr>
          <w:rFonts w:ascii="Trebuchet MS" w:eastAsia="Times New Roman" w:hAnsi="Trebuchet MS"/>
          <w:color w:val="000000"/>
          <w:sz w:val="24"/>
          <w:szCs w:val="24"/>
        </w:rPr>
        <w:t xml:space="preserve"> </w:t>
      </w:r>
      <w:r w:rsidR="00854E7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(k) it would consist of or include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the construction or provision of a verandah, balcony or raised platform,</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 the installation, alteration or replacement of a microwave antenna,</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(iii) the installation, alteration or replacement of a chimney, flue or soil and vent pipe,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(iv) an alteration to any part of the roof of the dwellinghouse. </w:t>
      </w:r>
      <w:proofErr w:type="gramStart"/>
      <w:r w:rsidR="00075F51">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A.2 In the case of a dwellinghouse on article 2(3) land, development is not permitted by Class </w:t>
      </w:r>
      <w:proofErr w:type="gramStart"/>
      <w:r w:rsidRPr="00AF3FE4">
        <w:rPr>
          <w:rFonts w:ascii="Trebuchet MS" w:eastAsia="Times New Roman" w:hAnsi="Trebuchet MS"/>
          <w:color w:val="000000"/>
          <w:sz w:val="24"/>
          <w:szCs w:val="24"/>
        </w:rPr>
        <w:t>A</w:t>
      </w:r>
      <w:proofErr w:type="gramEnd"/>
      <w:r w:rsidRPr="00AF3FE4">
        <w:rPr>
          <w:rFonts w:ascii="Trebuchet MS" w:eastAsia="Times New Roman" w:hAnsi="Trebuchet MS"/>
          <w:color w:val="000000"/>
          <w:sz w:val="24"/>
          <w:szCs w:val="24"/>
        </w:rPr>
        <w:t xml:space="preserve"> if:</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A.2 (a) it would consist of or include the cladding of any part of the exterior of the dwellinghouse with stone, artificial stone, pebble dash, render, timber, plastic or tiles; </w:t>
      </w:r>
      <w:proofErr w:type="gramStart"/>
      <w:r w:rsidR="00075F51">
        <w:rPr>
          <w:rFonts w:ascii="Trebuchet MS" w:eastAsia="Times New Roman" w:hAnsi="Trebuchet MS"/>
          <w:b/>
          <w:color w:val="000000"/>
          <w:sz w:val="24"/>
          <w:szCs w:val="24"/>
        </w:rPr>
        <w:t>n/a</w:t>
      </w:r>
      <w:proofErr w:type="gramEnd"/>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A.2 (b) the enlarged part of the dwellinghouse would extend beyond a wall forming a side elevation of the original dwellinghouse;</w:t>
      </w:r>
      <w:r w:rsidR="00075F51">
        <w:rPr>
          <w:rFonts w:ascii="Trebuchet MS" w:eastAsia="Times New Roman" w:hAnsi="Trebuchet MS"/>
          <w:color w:val="000000"/>
          <w:sz w:val="24"/>
          <w:szCs w:val="24"/>
        </w:rPr>
        <w:t xml:space="preserve"> </w:t>
      </w:r>
      <w:proofErr w:type="gramStart"/>
      <w:r w:rsidR="00246D7F">
        <w:rPr>
          <w:rFonts w:ascii="Trebuchet MS" w:eastAsia="Times New Roman" w:hAnsi="Trebuchet MS"/>
          <w:b/>
          <w:color w:val="000000"/>
          <w:sz w:val="24"/>
          <w:szCs w:val="24"/>
        </w:rPr>
        <w:t>n/a</w:t>
      </w:r>
      <w:proofErr w:type="gramEnd"/>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A.2 (c) the enlarged part of the dwellinghouse would have more than a single storey and extend beyond the rear wal</w:t>
      </w:r>
      <w:r w:rsidR="00246D7F">
        <w:rPr>
          <w:rFonts w:ascii="Trebuchet MS" w:eastAsia="Times New Roman" w:hAnsi="Trebuchet MS"/>
          <w:color w:val="000000"/>
          <w:sz w:val="24"/>
          <w:szCs w:val="24"/>
        </w:rPr>
        <w:t>l of the original dwellinghouse;</w:t>
      </w:r>
      <w:r w:rsidRPr="00AF3FE4">
        <w:rPr>
          <w:rFonts w:ascii="Trebuchet MS" w:eastAsia="Times New Roman" w:hAnsi="Trebuchet MS"/>
          <w:color w:val="000000"/>
          <w:sz w:val="24"/>
          <w:szCs w:val="24"/>
        </w:rPr>
        <w:t xml:space="preserve"> </w:t>
      </w:r>
      <w:proofErr w:type="gramStart"/>
      <w:r w:rsidR="00075F51">
        <w:rPr>
          <w:rFonts w:ascii="Trebuchet MS" w:eastAsia="Times New Roman" w:hAnsi="Trebuchet MS"/>
          <w:b/>
          <w:color w:val="000000"/>
          <w:sz w:val="24"/>
          <w:szCs w:val="24"/>
        </w:rPr>
        <w:t>n/a</w:t>
      </w:r>
      <w:proofErr w:type="gramEnd"/>
    </w:p>
    <w:p w:rsidR="00246D7F" w:rsidRPr="00854E71" w:rsidRDefault="00246D7F"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A.2 (d) any total enlargement (being the enlarged part together with any existing enlargement of the original dwellinghouse to which it will be joined) exceeds or would exceed the limits set out in sub-paragraphs (b) and (c).</w:t>
      </w:r>
      <w:r w:rsidR="00854E71">
        <w:rPr>
          <w:rFonts w:ascii="Trebuchet MS" w:eastAsia="Times New Roman" w:hAnsi="Trebuchet MS"/>
          <w:color w:val="000000"/>
          <w:sz w:val="24"/>
          <w:szCs w:val="24"/>
        </w:rPr>
        <w:t xml:space="preserve"> </w:t>
      </w:r>
      <w:r w:rsidR="00854E71">
        <w:rPr>
          <w:rFonts w:ascii="Trebuchet MS" w:eastAsia="Times New Roman" w:hAnsi="Trebuchet MS"/>
          <w:b/>
          <w:color w:val="000000"/>
          <w:sz w:val="24"/>
          <w:szCs w:val="24"/>
        </w:rPr>
        <w:t>n/a</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Conditions</w:t>
      </w:r>
    </w:p>
    <w:p w:rsidR="00625504" w:rsidRPr="00AF3FE4" w:rsidRDefault="00E1716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Development</w:t>
      </w:r>
      <w:r w:rsidR="00625504" w:rsidRPr="00AF3FE4">
        <w:rPr>
          <w:rFonts w:ascii="Trebuchet MS" w:eastAsia="Times New Roman" w:hAnsi="Trebuchet MS"/>
          <w:color w:val="000000"/>
          <w:sz w:val="24"/>
          <w:szCs w:val="24"/>
        </w:rPr>
        <w:t xml:space="preserve"> is permitted by Class A subject to the following conditions: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A.3 (a) the materials used in any exterior work (other than materials used in the construction of a conservatory) must be of a similar appearance to those used in the construction of the exterior of the dwellinghouse; </w:t>
      </w:r>
      <w:r w:rsidR="00075F51">
        <w:rPr>
          <w:rFonts w:ascii="Trebuchet MS" w:eastAsia="Times New Roman" w:hAnsi="Trebuchet MS"/>
          <w:b/>
          <w:color w:val="000000"/>
          <w:sz w:val="24"/>
          <w:szCs w:val="24"/>
        </w:rPr>
        <w:t>complies</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A.3 (b) any upper-floor window located in a wall or roof slope forming a side elevation of the dwellinghouse must be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obscure-glazed, </w:t>
      </w:r>
      <w:r w:rsidR="00075F51">
        <w:rPr>
          <w:rFonts w:ascii="Trebuchet MS" w:eastAsia="Times New Roman" w:hAnsi="Trebuchet MS"/>
          <w:b/>
          <w:color w:val="000000"/>
          <w:sz w:val="24"/>
          <w:szCs w:val="24"/>
        </w:rPr>
        <w:t xml:space="preserve">n/a </w:t>
      </w:r>
      <w:r w:rsidRPr="00AF3FE4">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r w:rsidR="00075F51">
        <w:rPr>
          <w:rFonts w:ascii="Trebuchet MS" w:eastAsia="Times New Roman" w:hAnsi="Trebuchet MS"/>
          <w:b/>
          <w:color w:val="000000"/>
          <w:sz w:val="24"/>
          <w:szCs w:val="24"/>
        </w:rPr>
        <w:t>n/a</w:t>
      </w:r>
      <w:r w:rsidRPr="00AF3FE4">
        <w:rPr>
          <w:rFonts w:ascii="Trebuchet MS" w:eastAsia="Times New Roman" w:hAnsi="Trebuchet MS"/>
          <w:color w:val="000000"/>
          <w:sz w:val="24"/>
          <w:szCs w:val="24"/>
        </w:rPr>
        <w:t xml:space="preserve"> and</w:t>
      </w:r>
    </w:p>
    <w:p w:rsidR="0062550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A.3 (c) where the enlarged part of the dwellinghouse has more than a single storey, </w:t>
      </w:r>
      <w:r w:rsidR="00246D7F">
        <w:rPr>
          <w:rFonts w:ascii="Trebuchet MS" w:eastAsia="Times New Roman" w:hAnsi="Trebuchet MS"/>
          <w:color w:val="000000"/>
          <w:sz w:val="24"/>
          <w:szCs w:val="24"/>
        </w:rPr>
        <w:t xml:space="preserve">or forms an upper storey on an existing enlargement of the original </w:t>
      </w:r>
      <w:r w:rsidR="00246D7F">
        <w:rPr>
          <w:rFonts w:ascii="Trebuchet MS" w:eastAsia="Times New Roman" w:hAnsi="Trebuchet MS"/>
          <w:color w:val="000000"/>
          <w:sz w:val="24"/>
          <w:szCs w:val="24"/>
        </w:rPr>
        <w:lastRenderedPageBreak/>
        <w:t>dwellinghouse, the roof pitch of the enlarged part must, so far as practicable, be the same as the roof pitch</w:t>
      </w:r>
      <w:r w:rsidR="0041701F">
        <w:rPr>
          <w:rFonts w:ascii="Trebuchet MS" w:eastAsia="Times New Roman" w:hAnsi="Trebuchet MS"/>
          <w:color w:val="000000"/>
          <w:sz w:val="24"/>
          <w:szCs w:val="24"/>
        </w:rPr>
        <w:t xml:space="preserve"> of the original dwellinghouse. </w:t>
      </w:r>
      <w:r w:rsidR="00075F51">
        <w:rPr>
          <w:rFonts w:ascii="Trebuchet MS" w:eastAsia="Times New Roman" w:hAnsi="Trebuchet MS"/>
          <w:b/>
          <w:color w:val="000000"/>
          <w:sz w:val="24"/>
          <w:szCs w:val="24"/>
        </w:rPr>
        <w:t>n/a</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854E71" w:rsidRDefault="003A191B" w:rsidP="00854E71">
      <w:pPr>
        <w:spacing w:line="240" w:lineRule="auto"/>
        <w:rPr>
          <w:rFonts w:ascii="Trebuchet MS" w:hAnsi="Trebuchet MS"/>
          <w:sz w:val="24"/>
          <w:szCs w:val="24"/>
        </w:rPr>
      </w:pPr>
      <w:r>
        <w:rPr>
          <w:rFonts w:ascii="Trebuchet MS" w:hAnsi="Trebuchet MS"/>
          <w:sz w:val="24"/>
          <w:szCs w:val="24"/>
        </w:rPr>
        <w:t xml:space="preserve">The proposal has been assessed against the Town and Country Planning Act 1990 (as amended) and Class </w:t>
      </w:r>
      <w:r w:rsidR="00854E71">
        <w:rPr>
          <w:rFonts w:ascii="Trebuchet MS" w:hAnsi="Trebuchet MS"/>
          <w:sz w:val="24"/>
          <w:szCs w:val="24"/>
        </w:rPr>
        <w:t>A</w:t>
      </w:r>
      <w:r>
        <w:rPr>
          <w:rFonts w:ascii="Trebuchet MS" w:hAnsi="Trebuchet MS"/>
          <w:sz w:val="24"/>
          <w:szCs w:val="24"/>
        </w:rPr>
        <w:t xml:space="preserve">, Part 1, Schedule 2 of the Town and Country Planning (General Permitted Development) (England) Order 2015. It can be confirmed that the proposed operation would be lawful for planning purposes on the basis of the drawings received on </w:t>
      </w:r>
      <w:r w:rsidR="00854E71">
        <w:rPr>
          <w:rFonts w:ascii="Trebuchet MS" w:hAnsi="Trebuchet MS"/>
          <w:sz w:val="24"/>
          <w:szCs w:val="24"/>
        </w:rPr>
        <w:t>28</w:t>
      </w:r>
      <w:r w:rsidR="00854E71" w:rsidRPr="00826C49">
        <w:rPr>
          <w:rFonts w:ascii="Trebuchet MS" w:hAnsi="Trebuchet MS"/>
          <w:sz w:val="24"/>
          <w:szCs w:val="24"/>
          <w:vertAlign w:val="superscript"/>
        </w:rPr>
        <w:t>th</w:t>
      </w:r>
      <w:r w:rsidR="00854E71">
        <w:rPr>
          <w:rFonts w:ascii="Trebuchet MS" w:hAnsi="Trebuchet MS"/>
          <w:sz w:val="24"/>
          <w:szCs w:val="24"/>
        </w:rPr>
        <w:t xml:space="preserve"> September 2017:</w:t>
      </w:r>
    </w:p>
    <w:p w:rsidR="00854E71" w:rsidRDefault="00854E71" w:rsidP="00854E71">
      <w:pPr>
        <w:spacing w:line="240" w:lineRule="auto"/>
        <w:rPr>
          <w:rFonts w:ascii="Trebuchet MS" w:hAnsi="Trebuchet MS"/>
          <w:sz w:val="24"/>
          <w:szCs w:val="24"/>
        </w:rPr>
      </w:pPr>
      <w:r>
        <w:rPr>
          <w:rFonts w:ascii="Trebuchet MS" w:hAnsi="Trebuchet MS"/>
          <w:sz w:val="24"/>
          <w:szCs w:val="24"/>
        </w:rPr>
        <w:t>Drawing No: 03 – Proposed Floor Plans</w:t>
      </w:r>
    </w:p>
    <w:p w:rsidR="00854E71" w:rsidRPr="00AF3FE4" w:rsidRDefault="00854E71" w:rsidP="00854E71">
      <w:pPr>
        <w:spacing w:line="240" w:lineRule="auto"/>
        <w:rPr>
          <w:rFonts w:ascii="Trebuchet MS" w:hAnsi="Trebuchet MS"/>
          <w:sz w:val="24"/>
          <w:szCs w:val="24"/>
        </w:rPr>
      </w:pPr>
      <w:r>
        <w:rPr>
          <w:rFonts w:ascii="Trebuchet MS" w:hAnsi="Trebuchet MS"/>
          <w:sz w:val="24"/>
          <w:szCs w:val="24"/>
        </w:rPr>
        <w:t>Drawing No: 04 – Proposed Elevations</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854E71">
        <w:rPr>
          <w:rFonts w:ascii="Trebuchet MS" w:hAnsi="Trebuchet MS"/>
          <w:color w:val="000000"/>
          <w:sz w:val="24"/>
          <w:szCs w:val="24"/>
        </w:rPr>
        <w:t xml:space="preserve"> installation of a single door</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Pr="00021541" w:rsidRDefault="00854E71"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731EFE49" wp14:editId="45CF3A8B">
            <wp:extent cx="4302579" cy="5184321"/>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302579" cy="5184321"/>
                    </a:xfrm>
                    <a:prstGeom prst="rect">
                      <a:avLst/>
                    </a:prstGeom>
                  </pic:spPr>
                </pic:pic>
              </a:graphicData>
            </a:graphic>
          </wp:inline>
        </w:drawing>
      </w:r>
      <w:bookmarkStart w:id="0" w:name="_GoBack"/>
      <w:bookmarkEnd w:id="0"/>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241C"/>
    <w:rsid w:val="0017663F"/>
    <w:rsid w:val="00215C25"/>
    <w:rsid w:val="00225DA7"/>
    <w:rsid w:val="0022790B"/>
    <w:rsid w:val="00246D7F"/>
    <w:rsid w:val="00270CCE"/>
    <w:rsid w:val="003065BE"/>
    <w:rsid w:val="003A191B"/>
    <w:rsid w:val="003C6957"/>
    <w:rsid w:val="003D179A"/>
    <w:rsid w:val="00407804"/>
    <w:rsid w:val="0041701F"/>
    <w:rsid w:val="005B391B"/>
    <w:rsid w:val="00625504"/>
    <w:rsid w:val="006A17A0"/>
    <w:rsid w:val="006A5B04"/>
    <w:rsid w:val="007B11DE"/>
    <w:rsid w:val="007F7924"/>
    <w:rsid w:val="00826C49"/>
    <w:rsid w:val="00854E71"/>
    <w:rsid w:val="008A59CB"/>
    <w:rsid w:val="00912B7D"/>
    <w:rsid w:val="009A3326"/>
    <w:rsid w:val="009F782D"/>
    <w:rsid w:val="00AF3FE4"/>
    <w:rsid w:val="00BC092F"/>
    <w:rsid w:val="00C40D2F"/>
    <w:rsid w:val="00D330DE"/>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2017-10-04T12:11:00Z</dcterms:created>
  <dcterms:modified xsi:type="dcterms:W3CDTF">2017-10-04T12:11:00Z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