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504" w:rsidRPr="00AF3FE4" w:rsidRDefault="00625504" w:rsidP="00AF3FE4">
      <w:pPr>
        <w:spacing w:line="240" w:lineRule="auto"/>
        <w:rPr>
          <w:rFonts w:ascii="Trebuchet MS" w:hAnsi="Trebuchet MS"/>
          <w:sz w:val="24"/>
          <w:szCs w:val="24"/>
        </w:rPr>
      </w:pPr>
      <w:bookmarkStart w:id="0" w:name="_GoBack"/>
      <w:bookmarkEnd w:id="0"/>
      <w:r w:rsidRPr="00AF3FE4">
        <w:rPr>
          <w:rFonts w:ascii="Trebuchet MS" w:hAnsi="Trebuchet MS"/>
          <w:b/>
          <w:sz w:val="24"/>
          <w:szCs w:val="24"/>
          <w:u w:val="single"/>
        </w:rPr>
        <w:t>Delegated Application Report</w:t>
      </w:r>
      <w:r w:rsidR="006A17A0" w:rsidRPr="00AF3FE4">
        <w:rPr>
          <w:rFonts w:ascii="Trebuchet MS" w:hAnsi="Trebuchet MS"/>
          <w:sz w:val="24"/>
          <w:szCs w:val="24"/>
        </w:rPr>
        <w:t xml:space="preserve"> </w:t>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225DA7">
        <w:rPr>
          <w:rFonts w:ascii="Trebuchet MS" w:hAnsi="Trebuchet MS"/>
          <w:sz w:val="24"/>
          <w:szCs w:val="24"/>
        </w:rPr>
        <w:t xml:space="preserve">          </w:t>
      </w:r>
      <w:r w:rsidRPr="00AF3FE4">
        <w:rPr>
          <w:rFonts w:ascii="Trebuchet MS" w:hAnsi="Trebuchet MS"/>
          <w:b/>
          <w:sz w:val="24"/>
          <w:szCs w:val="24"/>
        </w:rPr>
        <w:t>Target Date:</w:t>
      </w:r>
      <w:r w:rsidRPr="00AF3FE4">
        <w:rPr>
          <w:rFonts w:ascii="Trebuchet MS" w:hAnsi="Trebuchet MS"/>
          <w:sz w:val="24"/>
          <w:szCs w:val="24"/>
        </w:rPr>
        <w:t xml:space="preserve"> </w:t>
      </w:r>
      <w:r w:rsidR="00FB5ABB">
        <w:rPr>
          <w:rFonts w:ascii="Trebuchet MS" w:hAnsi="Trebuchet MS"/>
          <w:sz w:val="24"/>
          <w:szCs w:val="24"/>
        </w:rPr>
        <w:t>18/07/17</w:t>
      </w:r>
    </w:p>
    <w:p w:rsidR="00625504" w:rsidRPr="00FB5ABB"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Address: </w:t>
      </w:r>
      <w:r w:rsidR="00FB5ABB">
        <w:rPr>
          <w:rFonts w:ascii="Trebuchet MS" w:hAnsi="Trebuchet MS"/>
          <w:sz w:val="24"/>
          <w:szCs w:val="24"/>
        </w:rPr>
        <w:t>5 Sycamore Road</w:t>
      </w:r>
    </w:p>
    <w:p w:rsidR="00625504" w:rsidRPr="00FB5ABB"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Application No: </w:t>
      </w:r>
      <w:r w:rsidR="00FB5ABB">
        <w:rPr>
          <w:rFonts w:ascii="Trebuchet MS" w:hAnsi="Trebuchet MS"/>
          <w:sz w:val="24"/>
          <w:szCs w:val="24"/>
        </w:rPr>
        <w:t>170833/CLP</w:t>
      </w:r>
    </w:p>
    <w:p w:rsidR="00625504" w:rsidRPr="00FB5ABB"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Proposal: </w:t>
      </w:r>
      <w:r w:rsidR="00FB5ABB">
        <w:rPr>
          <w:rFonts w:ascii="Trebuchet MS" w:hAnsi="Trebuchet MS"/>
          <w:sz w:val="24"/>
          <w:szCs w:val="24"/>
        </w:rPr>
        <w:t>Single storey side extension</w:t>
      </w:r>
    </w:p>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rPr>
        <w:t>Case Officer:</w:t>
      </w:r>
      <w:r w:rsidRPr="00AF3FE4">
        <w:rPr>
          <w:rFonts w:ascii="Trebuchet MS" w:hAnsi="Trebuchet MS"/>
          <w:sz w:val="24"/>
          <w:szCs w:val="24"/>
        </w:rPr>
        <w:t xml:space="preserve"> Tom Hughes</w:t>
      </w: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Introduction and Proposal</w:t>
      </w:r>
    </w:p>
    <w:p w:rsidR="00FB5ABB" w:rsidRDefault="00FB5ABB" w:rsidP="00AF3FE4">
      <w:pPr>
        <w:spacing w:line="240" w:lineRule="auto"/>
        <w:rPr>
          <w:rFonts w:ascii="Trebuchet MS" w:hAnsi="Trebuchet MS"/>
          <w:sz w:val="24"/>
          <w:szCs w:val="24"/>
        </w:rPr>
      </w:pPr>
      <w:r>
        <w:rPr>
          <w:rFonts w:ascii="Trebuchet MS" w:hAnsi="Trebuchet MS"/>
          <w:sz w:val="24"/>
          <w:szCs w:val="24"/>
        </w:rPr>
        <w:t xml:space="preserve">The application site is a two storey semi-detached property. A single storey extension projects to the rear. The surrounding area is predominantly residential. </w:t>
      </w:r>
    </w:p>
    <w:p w:rsidR="00FB5ABB" w:rsidRPr="00FB5ABB" w:rsidRDefault="00FB5ABB" w:rsidP="00AF3FE4">
      <w:pPr>
        <w:spacing w:line="240" w:lineRule="auto"/>
        <w:rPr>
          <w:rFonts w:ascii="Trebuchet MS" w:hAnsi="Trebuchet MS"/>
          <w:sz w:val="24"/>
          <w:szCs w:val="24"/>
        </w:rPr>
      </w:pPr>
      <w:r>
        <w:rPr>
          <w:rFonts w:ascii="Trebuchet MS" w:hAnsi="Trebuchet MS"/>
          <w:sz w:val="24"/>
          <w:szCs w:val="24"/>
        </w:rPr>
        <w:t xml:space="preserve">The proposal is for a single storey side extension. The side extension would constitute a covered access way for use ancillary to the main property. </w:t>
      </w:r>
      <w:r w:rsidR="00691045">
        <w:rPr>
          <w:rFonts w:ascii="Trebuchet MS" w:hAnsi="Trebuchet MS"/>
          <w:sz w:val="24"/>
          <w:szCs w:val="24"/>
        </w:rPr>
        <w:t xml:space="preserve">The proposal would extend at a width of 1.6m, to the boundary with the adjacent neighbour at 7 Sycamore Road. The proposal would extend to a depth of 7.1m, flush to the front and rear elevations of the original property. The proposal would have a hipped roof with a maximum height of 3.7m, and a height to eaves of 2.2m. Materials have been selected to match those of the existing property. </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Plans Submitted</w:t>
      </w:r>
    </w:p>
    <w:p w:rsidR="00D330DE" w:rsidRDefault="00625504" w:rsidP="003C6957">
      <w:pPr>
        <w:spacing w:line="240" w:lineRule="auto"/>
        <w:rPr>
          <w:rFonts w:ascii="Trebuchet MS" w:hAnsi="Trebuchet MS"/>
          <w:sz w:val="24"/>
          <w:szCs w:val="24"/>
        </w:rPr>
      </w:pPr>
      <w:r w:rsidRPr="00AF3FE4">
        <w:rPr>
          <w:rFonts w:ascii="Trebuchet MS" w:hAnsi="Trebuchet MS"/>
          <w:sz w:val="24"/>
          <w:szCs w:val="24"/>
        </w:rPr>
        <w:t>The agent</w:t>
      </w:r>
      <w:r w:rsidR="00D330DE">
        <w:rPr>
          <w:rFonts w:ascii="Trebuchet MS" w:hAnsi="Trebuchet MS"/>
          <w:sz w:val="24"/>
          <w:szCs w:val="24"/>
        </w:rPr>
        <w:t xml:space="preserve"> supplied the following</w:t>
      </w:r>
      <w:r w:rsidRPr="00AF3FE4">
        <w:rPr>
          <w:rFonts w:ascii="Trebuchet MS" w:hAnsi="Trebuchet MS"/>
          <w:sz w:val="24"/>
          <w:szCs w:val="24"/>
        </w:rPr>
        <w:t>, received</w:t>
      </w:r>
      <w:r w:rsidR="00D330DE">
        <w:rPr>
          <w:rFonts w:ascii="Trebuchet MS" w:hAnsi="Trebuchet MS"/>
          <w:sz w:val="24"/>
          <w:szCs w:val="24"/>
        </w:rPr>
        <w:t xml:space="preserve"> on </w:t>
      </w:r>
      <w:r w:rsidR="00691045">
        <w:rPr>
          <w:rFonts w:ascii="Trebuchet MS" w:hAnsi="Trebuchet MS"/>
          <w:sz w:val="24"/>
          <w:szCs w:val="24"/>
        </w:rPr>
        <w:t>23</w:t>
      </w:r>
      <w:r w:rsidR="00691045" w:rsidRPr="00691045">
        <w:rPr>
          <w:rFonts w:ascii="Trebuchet MS" w:hAnsi="Trebuchet MS"/>
          <w:sz w:val="24"/>
          <w:szCs w:val="24"/>
          <w:vertAlign w:val="superscript"/>
        </w:rPr>
        <w:t>rd</w:t>
      </w:r>
      <w:r w:rsidR="00691045">
        <w:rPr>
          <w:rFonts w:ascii="Trebuchet MS" w:hAnsi="Trebuchet MS"/>
          <w:sz w:val="24"/>
          <w:szCs w:val="24"/>
        </w:rPr>
        <w:t xml:space="preserve"> May 2017:</w:t>
      </w:r>
    </w:p>
    <w:p w:rsidR="00691045" w:rsidRDefault="00691045" w:rsidP="003C6957">
      <w:pPr>
        <w:spacing w:line="240" w:lineRule="auto"/>
        <w:rPr>
          <w:rFonts w:ascii="Trebuchet MS" w:hAnsi="Trebuchet MS"/>
          <w:sz w:val="24"/>
          <w:szCs w:val="24"/>
        </w:rPr>
      </w:pPr>
      <w:r>
        <w:rPr>
          <w:rFonts w:ascii="Trebuchet MS" w:hAnsi="Trebuchet MS"/>
          <w:sz w:val="24"/>
          <w:szCs w:val="24"/>
        </w:rPr>
        <w:t>Drawing No: MC:302 – Site Location and Site Plan</w:t>
      </w:r>
    </w:p>
    <w:p w:rsidR="00691045" w:rsidRDefault="00691045" w:rsidP="003C6957">
      <w:pPr>
        <w:spacing w:line="240" w:lineRule="auto"/>
        <w:rPr>
          <w:rFonts w:ascii="Trebuchet MS" w:hAnsi="Trebuchet MS"/>
          <w:sz w:val="24"/>
          <w:szCs w:val="24"/>
        </w:rPr>
      </w:pPr>
      <w:r>
        <w:rPr>
          <w:rFonts w:ascii="Trebuchet MS" w:hAnsi="Trebuchet MS"/>
          <w:sz w:val="24"/>
          <w:szCs w:val="24"/>
        </w:rPr>
        <w:t>Drawing No: MC:301 – Block Plan</w:t>
      </w:r>
    </w:p>
    <w:p w:rsidR="00691045" w:rsidRDefault="00691045" w:rsidP="003C6957">
      <w:pPr>
        <w:spacing w:line="240" w:lineRule="auto"/>
        <w:rPr>
          <w:rFonts w:ascii="Trebuchet MS" w:hAnsi="Trebuchet MS"/>
          <w:sz w:val="24"/>
          <w:szCs w:val="24"/>
        </w:rPr>
      </w:pPr>
      <w:r>
        <w:rPr>
          <w:rFonts w:ascii="Trebuchet MS" w:hAnsi="Trebuchet MS"/>
          <w:sz w:val="24"/>
          <w:szCs w:val="24"/>
        </w:rPr>
        <w:t xml:space="preserve">Drawing No: MC:303 </w:t>
      </w:r>
      <w:r w:rsidR="00224ED2">
        <w:rPr>
          <w:rFonts w:ascii="Trebuchet MS" w:hAnsi="Trebuchet MS"/>
          <w:sz w:val="24"/>
          <w:szCs w:val="24"/>
        </w:rPr>
        <w:t>–</w:t>
      </w:r>
      <w:r>
        <w:rPr>
          <w:rFonts w:ascii="Trebuchet MS" w:hAnsi="Trebuchet MS"/>
          <w:sz w:val="24"/>
          <w:szCs w:val="24"/>
        </w:rPr>
        <w:t xml:space="preserve"> </w:t>
      </w:r>
      <w:r w:rsidR="00224ED2">
        <w:rPr>
          <w:rFonts w:ascii="Trebuchet MS" w:hAnsi="Trebuchet MS"/>
          <w:sz w:val="24"/>
          <w:szCs w:val="24"/>
        </w:rPr>
        <w:t>Existing and Proposed Ground Floor Plans</w:t>
      </w:r>
    </w:p>
    <w:p w:rsidR="00224ED2" w:rsidRDefault="00224ED2" w:rsidP="003C6957">
      <w:pPr>
        <w:spacing w:line="240" w:lineRule="auto"/>
        <w:rPr>
          <w:rFonts w:ascii="Trebuchet MS" w:hAnsi="Trebuchet MS"/>
          <w:sz w:val="24"/>
          <w:szCs w:val="24"/>
        </w:rPr>
      </w:pPr>
      <w:r>
        <w:rPr>
          <w:rFonts w:ascii="Trebuchet MS" w:hAnsi="Trebuchet MS"/>
          <w:sz w:val="24"/>
          <w:szCs w:val="24"/>
        </w:rPr>
        <w:t>Drawing No: MC:304 – Existing and Proposed Elevations</w:t>
      </w:r>
    </w:p>
    <w:p w:rsidR="00D1628A" w:rsidRDefault="00D1628A" w:rsidP="003C6957">
      <w:pPr>
        <w:spacing w:line="240" w:lineRule="auto"/>
        <w:rPr>
          <w:rFonts w:ascii="Trebuchet MS" w:hAnsi="Trebuchet MS"/>
          <w:sz w:val="24"/>
          <w:szCs w:val="24"/>
        </w:rPr>
      </w:pPr>
    </w:p>
    <w:p w:rsidR="00D1628A" w:rsidRDefault="00D1628A" w:rsidP="003C6957">
      <w:pPr>
        <w:spacing w:line="240" w:lineRule="auto"/>
        <w:rPr>
          <w:rFonts w:ascii="Trebuchet MS" w:hAnsi="Trebuchet MS"/>
          <w:sz w:val="24"/>
          <w:szCs w:val="24"/>
        </w:rPr>
      </w:pPr>
      <w:r>
        <w:rPr>
          <w:rFonts w:ascii="Trebuchet MS" w:hAnsi="Trebuchet MS"/>
          <w:sz w:val="24"/>
          <w:szCs w:val="24"/>
        </w:rPr>
        <w:t>Amended Plan received 14</w:t>
      </w:r>
      <w:r w:rsidRPr="00D1628A">
        <w:rPr>
          <w:rFonts w:ascii="Trebuchet MS" w:hAnsi="Trebuchet MS"/>
          <w:sz w:val="24"/>
          <w:szCs w:val="24"/>
          <w:vertAlign w:val="superscript"/>
        </w:rPr>
        <w:t>th</w:t>
      </w:r>
      <w:r>
        <w:rPr>
          <w:rFonts w:ascii="Trebuchet MS" w:hAnsi="Trebuchet MS"/>
          <w:sz w:val="24"/>
          <w:szCs w:val="24"/>
        </w:rPr>
        <w:t xml:space="preserve"> July 2017:</w:t>
      </w:r>
    </w:p>
    <w:p w:rsidR="00D1628A" w:rsidRDefault="00D1628A" w:rsidP="00D1628A">
      <w:pPr>
        <w:spacing w:line="240" w:lineRule="auto"/>
        <w:rPr>
          <w:rFonts w:ascii="Trebuchet MS" w:hAnsi="Trebuchet MS"/>
          <w:sz w:val="24"/>
          <w:szCs w:val="24"/>
        </w:rPr>
      </w:pPr>
      <w:r>
        <w:rPr>
          <w:rFonts w:ascii="Trebuchet MS" w:hAnsi="Trebuchet MS"/>
          <w:sz w:val="24"/>
          <w:szCs w:val="24"/>
        </w:rPr>
        <w:t>Drawing No: MC:304 Rev A – Existing and Proposed Elevations</w:t>
      </w:r>
    </w:p>
    <w:p w:rsidR="00D1628A" w:rsidRPr="00AF3FE4" w:rsidRDefault="00D1628A" w:rsidP="003C6957">
      <w:pPr>
        <w:spacing w:line="240" w:lineRule="auto"/>
        <w:rPr>
          <w:rFonts w:ascii="Trebuchet MS" w:hAnsi="Trebuchet MS"/>
          <w:sz w:val="24"/>
          <w:szCs w:val="24"/>
        </w:rPr>
      </w:pP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History</w:t>
      </w:r>
    </w:p>
    <w:p w:rsidR="00224ED2" w:rsidRDefault="00224ED2" w:rsidP="00AF3FE4">
      <w:pPr>
        <w:spacing w:line="240" w:lineRule="auto"/>
        <w:rPr>
          <w:rFonts w:ascii="Trebuchet MS" w:hAnsi="Trebuchet MS"/>
          <w:sz w:val="24"/>
          <w:szCs w:val="24"/>
        </w:rPr>
      </w:pPr>
      <w:r>
        <w:rPr>
          <w:rFonts w:ascii="Trebuchet MS" w:hAnsi="Trebuchet MS"/>
          <w:sz w:val="24"/>
          <w:szCs w:val="24"/>
        </w:rPr>
        <w:t xml:space="preserve">900612/REG – Single storey rear extension – Permitted 15/11/90 </w:t>
      </w:r>
    </w:p>
    <w:p w:rsidR="00224ED2" w:rsidRDefault="00224ED2" w:rsidP="00AF3FE4">
      <w:pPr>
        <w:spacing w:line="240" w:lineRule="auto"/>
        <w:rPr>
          <w:rFonts w:ascii="Trebuchet MS" w:hAnsi="Trebuchet MS"/>
          <w:sz w:val="24"/>
          <w:szCs w:val="24"/>
        </w:rPr>
      </w:pPr>
      <w:r>
        <w:rPr>
          <w:rFonts w:ascii="Trebuchet MS" w:hAnsi="Trebuchet MS"/>
          <w:sz w:val="24"/>
          <w:szCs w:val="24"/>
        </w:rPr>
        <w:t>151794/HOU – Single storey rear extension – Withdrawn 20/11/15</w:t>
      </w:r>
    </w:p>
    <w:p w:rsidR="00224ED2" w:rsidRDefault="00224ED2" w:rsidP="00AF3FE4">
      <w:pPr>
        <w:spacing w:line="240" w:lineRule="auto"/>
        <w:rPr>
          <w:rFonts w:ascii="Trebuchet MS" w:hAnsi="Trebuchet MS"/>
          <w:sz w:val="24"/>
          <w:szCs w:val="24"/>
        </w:rPr>
      </w:pPr>
      <w:r>
        <w:rPr>
          <w:rFonts w:ascii="Trebuchet MS" w:hAnsi="Trebuchet MS"/>
          <w:sz w:val="24"/>
          <w:szCs w:val="24"/>
        </w:rPr>
        <w:t>152103/HPA – Single storey rear extension – Prior Approval Not Required 29/12/15</w:t>
      </w:r>
    </w:p>
    <w:p w:rsidR="00224ED2" w:rsidRDefault="00224ED2" w:rsidP="00AF3FE4">
      <w:pPr>
        <w:spacing w:line="240" w:lineRule="auto"/>
        <w:rPr>
          <w:rFonts w:ascii="Trebuchet MS" w:hAnsi="Trebuchet MS"/>
          <w:sz w:val="24"/>
          <w:szCs w:val="24"/>
        </w:rPr>
      </w:pPr>
      <w:r>
        <w:rPr>
          <w:rFonts w:ascii="Trebuchet MS" w:hAnsi="Trebuchet MS"/>
          <w:sz w:val="24"/>
          <w:szCs w:val="24"/>
        </w:rPr>
        <w:t>170351/CLP – Outbuilding – Permitted 27/04/17</w:t>
      </w:r>
    </w:p>
    <w:p w:rsidR="00224ED2" w:rsidRPr="00224ED2" w:rsidRDefault="00224ED2" w:rsidP="00AF3FE4">
      <w:pPr>
        <w:spacing w:line="240" w:lineRule="auto"/>
        <w:rPr>
          <w:rFonts w:ascii="Trebuchet MS" w:hAnsi="Trebuchet MS"/>
          <w:sz w:val="24"/>
          <w:szCs w:val="24"/>
        </w:rPr>
      </w:pPr>
      <w:r>
        <w:rPr>
          <w:rFonts w:ascii="Trebuchet MS" w:hAnsi="Trebuchet MS"/>
          <w:sz w:val="24"/>
          <w:szCs w:val="24"/>
        </w:rPr>
        <w:t>170834/HOU – Single storey front extension and new fence – to be determined</w:t>
      </w:r>
    </w:p>
    <w:p w:rsidR="00D1628A" w:rsidRDefault="00D1628A" w:rsidP="00AF3FE4">
      <w:pPr>
        <w:spacing w:line="240" w:lineRule="auto"/>
        <w:rPr>
          <w:rFonts w:ascii="Trebuchet MS" w:hAnsi="Trebuchet MS"/>
          <w:b/>
          <w:sz w:val="24"/>
          <w:szCs w:val="24"/>
        </w:rPr>
      </w:pP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lastRenderedPageBreak/>
        <w:t>Summary of Consultations</w:t>
      </w:r>
    </w:p>
    <w:p w:rsidR="00625504" w:rsidRPr="00AF3FE4" w:rsidRDefault="00625504" w:rsidP="00AF3FE4">
      <w:pPr>
        <w:spacing w:line="240" w:lineRule="auto"/>
        <w:rPr>
          <w:rFonts w:ascii="Trebuchet MS" w:hAnsi="Trebuchet MS"/>
          <w:sz w:val="24"/>
          <w:szCs w:val="24"/>
        </w:rPr>
      </w:pPr>
      <w:r w:rsidRPr="00AF3FE4">
        <w:rPr>
          <w:rFonts w:ascii="Trebuchet MS" w:hAnsi="Trebuchet MS"/>
          <w:sz w:val="24"/>
          <w:szCs w:val="24"/>
        </w:rPr>
        <w:t>No consultations were undertaken as it is not required for an application of this type.</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Policy and Guidance</w:t>
      </w:r>
    </w:p>
    <w:p w:rsidR="00625504" w:rsidRPr="00AF3FE4" w:rsidRDefault="0022790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National Planning Practice Guidance</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Town and Country Planning (General Permitted Development) (England) Order 2015 (GPDO)</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Permitted development rights for householders</w:t>
      </w:r>
      <w:r w:rsidR="00246D7F">
        <w:rPr>
          <w:rFonts w:ascii="Trebuchet MS" w:eastAsia="Times New Roman" w:hAnsi="Trebuchet MS"/>
          <w:color w:val="000000"/>
          <w:sz w:val="24"/>
          <w:szCs w:val="24"/>
        </w:rPr>
        <w:t xml:space="preserve"> – Technical Guidance April 2017</w:t>
      </w:r>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Assessment</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 Certificate of Lawfulness for a proposed development has been submitted as the applicant considers the proposal falls within the permitted development rights of the property. </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proposed</w:t>
      </w:r>
      <w:r w:rsidR="00075F51">
        <w:rPr>
          <w:rFonts w:ascii="Trebuchet MS" w:eastAsia="Times New Roman" w:hAnsi="Trebuchet MS"/>
          <w:color w:val="000000"/>
          <w:sz w:val="24"/>
          <w:szCs w:val="24"/>
        </w:rPr>
        <w:t xml:space="preserve"> </w:t>
      </w:r>
      <w:r w:rsidR="00224ED2">
        <w:rPr>
          <w:rFonts w:ascii="Trebuchet MS" w:eastAsia="Times New Roman" w:hAnsi="Trebuchet MS"/>
          <w:color w:val="000000"/>
          <w:sz w:val="24"/>
          <w:szCs w:val="24"/>
        </w:rPr>
        <w:t xml:space="preserve">single storey side extension </w:t>
      </w:r>
      <w:r w:rsidRPr="00AF3FE4">
        <w:rPr>
          <w:rFonts w:ascii="Trebuchet MS" w:eastAsia="Times New Roman" w:hAnsi="Trebuchet MS"/>
          <w:color w:val="000000"/>
          <w:sz w:val="24"/>
          <w:szCs w:val="24"/>
        </w:rPr>
        <w:t>must be assessed to ensure that it complies with the conditions of Class A, Part 1, Schedule 2 of the Town and Country Planning (General Permitted Development) (England) Order 2015, which relates to the ‘enlargement, improvement or other alteration of a dwellinghouse’.</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releva</w:t>
      </w:r>
      <w:r w:rsidR="00075F51">
        <w:rPr>
          <w:rFonts w:ascii="Trebuchet MS" w:eastAsia="Times New Roman" w:hAnsi="Trebuchet MS"/>
          <w:color w:val="000000"/>
          <w:sz w:val="24"/>
          <w:szCs w:val="24"/>
        </w:rPr>
        <w:t>nt conditions of t</w:t>
      </w:r>
      <w:r w:rsidR="00224ED2">
        <w:rPr>
          <w:rFonts w:ascii="Trebuchet MS" w:eastAsia="Times New Roman" w:hAnsi="Trebuchet MS"/>
          <w:color w:val="000000"/>
          <w:sz w:val="24"/>
          <w:szCs w:val="24"/>
        </w:rPr>
        <w:t>he GPDO for a single storey side</w:t>
      </w:r>
      <w:r w:rsidR="00075F51">
        <w:rPr>
          <w:rFonts w:ascii="Trebuchet MS" w:eastAsia="Times New Roman" w:hAnsi="Trebuchet MS"/>
          <w:color w:val="000000"/>
          <w:sz w:val="24"/>
          <w:szCs w:val="24"/>
        </w:rPr>
        <w:t xml:space="preserve"> extension</w:t>
      </w:r>
      <w:r w:rsidRPr="00AF3FE4">
        <w:rPr>
          <w:rFonts w:ascii="Trebuchet MS" w:eastAsia="Times New Roman" w:hAnsi="Trebuchet MS"/>
          <w:color w:val="000000"/>
          <w:sz w:val="24"/>
          <w:szCs w:val="24"/>
        </w:rPr>
        <w:t xml:space="preserve">, which is not listed or in a conservation area, are as follows: </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A.1 Development is not permitted by Class A if:  </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 xml:space="preserve">A.1 (a) permission to use the dwellinghouse as a dwellinghouse has been granted only by virtue of Class M, N, P or Q of Part 3 of this Schedule (changes of use); </w:t>
      </w:r>
      <w:r w:rsidR="00075F51">
        <w:rPr>
          <w:rFonts w:ascii="Trebuchet MS" w:eastAsia="Times New Roman" w:hAnsi="Trebuchet MS"/>
          <w:b/>
          <w:color w:val="000000"/>
          <w:sz w:val="24"/>
          <w:szCs w:val="24"/>
        </w:rPr>
        <w:t>complies</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 xml:space="preserve">A.1 (b) as a result of the works, the total area of ground covered by buildings within the curtilage of the dwellinghouse (other than the original dwellinghouse) would exceed 50% of the total area of the curtilage (excluding the ground area of the original dwellinghouse); </w:t>
      </w:r>
      <w:r w:rsidR="00075F51">
        <w:rPr>
          <w:rFonts w:ascii="Trebuchet MS" w:eastAsia="Times New Roman" w:hAnsi="Trebuchet MS"/>
          <w:b/>
          <w:color w:val="000000"/>
          <w:sz w:val="24"/>
          <w:szCs w:val="24"/>
        </w:rPr>
        <w:t>complies</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 xml:space="preserve">A.1 (c) the height of the part of the dwellinghouse enlarged, improved or altered would exceed the height of the highest part of the roof of the existing dwellinghouse; </w:t>
      </w:r>
      <w:r w:rsidR="00075F51">
        <w:rPr>
          <w:rFonts w:ascii="Trebuchet MS" w:eastAsia="Times New Roman" w:hAnsi="Trebuchet MS"/>
          <w:b/>
          <w:color w:val="000000"/>
          <w:sz w:val="24"/>
          <w:szCs w:val="24"/>
        </w:rPr>
        <w:t>complies</w:t>
      </w:r>
    </w:p>
    <w:p w:rsid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 xml:space="preserve">A.1 (d) the height of the eaves of the part of the dwellinghouse enlarged, improved or altered would exceed the height of the eaves of the existing dwellinghouse; </w:t>
      </w:r>
      <w:r w:rsidR="00075F51">
        <w:rPr>
          <w:rFonts w:ascii="Trebuchet MS" w:eastAsia="Times New Roman" w:hAnsi="Trebuchet MS"/>
          <w:b/>
          <w:color w:val="000000"/>
          <w:sz w:val="24"/>
          <w:szCs w:val="24"/>
        </w:rPr>
        <w:t>complies</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A.1 (e) the enlarged part of the dwellinghouse would extend beyond a wall which (</w:t>
      </w:r>
      <w:proofErr w:type="spellStart"/>
      <w:r w:rsidRPr="00AF3FE4">
        <w:rPr>
          <w:rFonts w:ascii="Trebuchet MS" w:eastAsia="Times New Roman" w:hAnsi="Trebuchet MS"/>
          <w:color w:val="000000"/>
          <w:sz w:val="24"/>
          <w:szCs w:val="24"/>
        </w:rPr>
        <w:t>i</w:t>
      </w:r>
      <w:proofErr w:type="spellEnd"/>
      <w:r w:rsidRPr="00AF3FE4">
        <w:rPr>
          <w:rFonts w:ascii="Trebuchet MS" w:eastAsia="Times New Roman" w:hAnsi="Trebuchet MS"/>
          <w:color w:val="000000"/>
          <w:sz w:val="24"/>
          <w:szCs w:val="24"/>
        </w:rPr>
        <w:t xml:space="preserve">) forms the principle elevation of the original dwellinghouse; </w:t>
      </w:r>
      <w:r w:rsidR="00075F51">
        <w:rPr>
          <w:rFonts w:ascii="Trebuchet MS" w:eastAsia="Times New Roman" w:hAnsi="Trebuchet MS"/>
          <w:b/>
          <w:color w:val="000000"/>
          <w:sz w:val="24"/>
          <w:szCs w:val="24"/>
        </w:rPr>
        <w:t>complies</w:t>
      </w:r>
      <w:r w:rsidRPr="00AF3FE4">
        <w:rPr>
          <w:rFonts w:ascii="Trebuchet MS" w:eastAsia="Times New Roman" w:hAnsi="Trebuchet MS"/>
          <w:color w:val="000000"/>
          <w:sz w:val="24"/>
          <w:szCs w:val="24"/>
        </w:rPr>
        <w:t xml:space="preserve"> or (ii) fronts a highway and forms a side elevation of the original dwellinghouse; </w:t>
      </w:r>
      <w:r w:rsidR="00075F51">
        <w:rPr>
          <w:rFonts w:ascii="Trebuchet MS" w:eastAsia="Times New Roman" w:hAnsi="Trebuchet MS"/>
          <w:b/>
          <w:color w:val="000000"/>
          <w:sz w:val="24"/>
          <w:szCs w:val="24"/>
        </w:rPr>
        <w:t>complies</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A.1 (f) subject to paragraph (g), the enlarged part of the dwellinghouse would have a single storey and – (</w:t>
      </w:r>
      <w:proofErr w:type="spellStart"/>
      <w:r w:rsidRPr="00AF3FE4">
        <w:rPr>
          <w:rFonts w:ascii="Trebuchet MS" w:eastAsia="Times New Roman" w:hAnsi="Trebuchet MS"/>
          <w:color w:val="000000"/>
          <w:sz w:val="24"/>
          <w:szCs w:val="24"/>
        </w:rPr>
        <w:t>i</w:t>
      </w:r>
      <w:proofErr w:type="spellEnd"/>
      <w:r w:rsidRPr="00AF3FE4">
        <w:rPr>
          <w:rFonts w:ascii="Trebuchet MS" w:eastAsia="Times New Roman" w:hAnsi="Trebuchet MS"/>
          <w:color w:val="000000"/>
          <w:sz w:val="24"/>
          <w:szCs w:val="24"/>
        </w:rPr>
        <w:t xml:space="preserve">) extend beyond the rear wall of the original </w:t>
      </w:r>
      <w:r w:rsidRPr="00AF3FE4">
        <w:rPr>
          <w:rFonts w:ascii="Trebuchet MS" w:eastAsia="Times New Roman" w:hAnsi="Trebuchet MS"/>
          <w:color w:val="000000"/>
          <w:sz w:val="24"/>
          <w:szCs w:val="24"/>
        </w:rPr>
        <w:lastRenderedPageBreak/>
        <w:t>dwellinghouse by more than 4 metres in the case of a detached dwellinghouse, or 3 metres in the case of any other dwellinghouse,</w:t>
      </w:r>
      <w:r w:rsidR="00075F51">
        <w:rPr>
          <w:rFonts w:ascii="Trebuchet MS" w:eastAsia="Times New Roman" w:hAnsi="Trebuchet MS"/>
          <w:color w:val="000000"/>
          <w:sz w:val="24"/>
          <w:szCs w:val="24"/>
        </w:rPr>
        <w:t xml:space="preserve"> </w:t>
      </w:r>
      <w:r w:rsidR="00075F51">
        <w:rPr>
          <w:rFonts w:ascii="Trebuchet MS" w:eastAsia="Times New Roman" w:hAnsi="Trebuchet MS"/>
          <w:b/>
          <w:color w:val="000000"/>
          <w:sz w:val="24"/>
          <w:szCs w:val="24"/>
        </w:rPr>
        <w:t>complies</w:t>
      </w:r>
      <w:r w:rsidRPr="00AF3FE4">
        <w:rPr>
          <w:rFonts w:ascii="Trebuchet MS" w:eastAsia="Times New Roman" w:hAnsi="Trebuchet MS"/>
          <w:color w:val="000000"/>
          <w:sz w:val="24"/>
          <w:szCs w:val="24"/>
        </w:rPr>
        <w:t xml:space="preserve"> or (ii) exceed 4 metres in height; </w:t>
      </w:r>
      <w:r w:rsidR="00075F51">
        <w:rPr>
          <w:rFonts w:ascii="Trebuchet MS" w:eastAsia="Times New Roman" w:hAnsi="Trebuchet MS"/>
          <w:b/>
          <w:color w:val="000000"/>
          <w:sz w:val="24"/>
          <w:szCs w:val="24"/>
        </w:rPr>
        <w:t>complies</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A.1 (g) until 30</w:t>
      </w:r>
      <w:r w:rsidRPr="00AF3FE4">
        <w:rPr>
          <w:rFonts w:ascii="Trebuchet MS" w:eastAsia="Times New Roman" w:hAnsi="Trebuchet MS"/>
          <w:color w:val="000000"/>
          <w:sz w:val="24"/>
          <w:szCs w:val="24"/>
          <w:vertAlign w:val="superscript"/>
        </w:rPr>
        <w:t>th</w:t>
      </w:r>
      <w:r w:rsidRPr="00AF3FE4">
        <w:rPr>
          <w:rFonts w:ascii="Trebuchet MS" w:eastAsia="Times New Roman" w:hAnsi="Trebuchet MS"/>
          <w:color w:val="000000"/>
          <w:sz w:val="24"/>
          <w:szCs w:val="24"/>
        </w:rPr>
        <w:t xml:space="preserve"> May 2019, for a dwellinghouse not on article 2(3) land nor on a site of special scientific interest, the enlarged part of the dwellinghouse would have a single storey and – (</w:t>
      </w:r>
      <w:proofErr w:type="spellStart"/>
      <w:r w:rsidRPr="00AF3FE4">
        <w:rPr>
          <w:rFonts w:ascii="Trebuchet MS" w:eastAsia="Times New Roman" w:hAnsi="Trebuchet MS"/>
          <w:color w:val="000000"/>
          <w:sz w:val="24"/>
          <w:szCs w:val="24"/>
        </w:rPr>
        <w:t>i</w:t>
      </w:r>
      <w:proofErr w:type="spellEnd"/>
      <w:r w:rsidRPr="00AF3FE4">
        <w:rPr>
          <w:rFonts w:ascii="Trebuchet MS" w:eastAsia="Times New Roman" w:hAnsi="Trebuchet MS"/>
          <w:color w:val="000000"/>
          <w:sz w:val="24"/>
          <w:szCs w:val="24"/>
        </w:rPr>
        <w:t xml:space="preserve">) extend beyond the rear wall of the original dwellinghouse by more than 8 metres in the case of a detached dwellinghouse, or 6 metres in the case of any other dwellinghouse, </w:t>
      </w:r>
      <w:r w:rsidR="00075F51">
        <w:rPr>
          <w:rFonts w:ascii="Trebuchet MS" w:eastAsia="Times New Roman" w:hAnsi="Trebuchet MS"/>
          <w:b/>
          <w:color w:val="000000"/>
          <w:sz w:val="24"/>
          <w:szCs w:val="24"/>
        </w:rPr>
        <w:t>complies</w:t>
      </w:r>
      <w:r w:rsidRPr="00AF3FE4">
        <w:rPr>
          <w:rFonts w:ascii="Trebuchet MS" w:eastAsia="Times New Roman" w:hAnsi="Trebuchet MS"/>
          <w:color w:val="000000"/>
          <w:sz w:val="24"/>
          <w:szCs w:val="24"/>
        </w:rPr>
        <w:t xml:space="preserve"> or (ii) exceed 4 metres in height; </w:t>
      </w:r>
      <w:r w:rsidR="00075F51">
        <w:rPr>
          <w:rFonts w:ascii="Trebuchet MS" w:eastAsia="Times New Roman" w:hAnsi="Trebuchet MS"/>
          <w:b/>
          <w:color w:val="000000"/>
          <w:sz w:val="24"/>
          <w:szCs w:val="24"/>
        </w:rPr>
        <w:t>complies</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A.1 (h) the enlarged part of the dwellinghouse would have more than a single storey and – (</w:t>
      </w:r>
      <w:proofErr w:type="spellStart"/>
      <w:r w:rsidRPr="00AF3FE4">
        <w:rPr>
          <w:rFonts w:ascii="Trebuchet MS" w:eastAsia="Times New Roman" w:hAnsi="Trebuchet MS"/>
          <w:color w:val="000000"/>
          <w:sz w:val="24"/>
          <w:szCs w:val="24"/>
        </w:rPr>
        <w:t>i</w:t>
      </w:r>
      <w:proofErr w:type="spellEnd"/>
      <w:r w:rsidRPr="00AF3FE4">
        <w:rPr>
          <w:rFonts w:ascii="Trebuchet MS" w:eastAsia="Times New Roman" w:hAnsi="Trebuchet MS"/>
          <w:color w:val="000000"/>
          <w:sz w:val="24"/>
          <w:szCs w:val="24"/>
        </w:rPr>
        <w:t xml:space="preserve">) extend beyond the rear wall of the original dwellinghouse by more than 3 metres, </w:t>
      </w:r>
      <w:r w:rsidR="00075F51">
        <w:rPr>
          <w:rFonts w:ascii="Trebuchet MS" w:eastAsia="Times New Roman" w:hAnsi="Trebuchet MS"/>
          <w:b/>
          <w:color w:val="000000"/>
          <w:sz w:val="24"/>
          <w:szCs w:val="24"/>
        </w:rPr>
        <w:t xml:space="preserve">complies </w:t>
      </w:r>
      <w:r w:rsidRPr="00AF3FE4">
        <w:rPr>
          <w:rFonts w:ascii="Trebuchet MS" w:eastAsia="Times New Roman" w:hAnsi="Trebuchet MS"/>
          <w:color w:val="000000"/>
          <w:sz w:val="24"/>
          <w:szCs w:val="24"/>
        </w:rPr>
        <w:t xml:space="preserve">or (ii) be within 7 metres of any boundary of the curtilage of the dwellinghouse opposite the rear wall of the dwellinghouse; </w:t>
      </w:r>
      <w:r w:rsidR="00075F51">
        <w:rPr>
          <w:rFonts w:ascii="Trebuchet MS" w:eastAsia="Times New Roman" w:hAnsi="Trebuchet MS"/>
          <w:b/>
          <w:color w:val="000000"/>
          <w:sz w:val="24"/>
          <w:szCs w:val="24"/>
        </w:rPr>
        <w:t>complies</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A.1 (</w:t>
      </w:r>
      <w:proofErr w:type="spellStart"/>
      <w:r w:rsidRPr="00AF3FE4">
        <w:rPr>
          <w:rFonts w:ascii="Trebuchet MS" w:eastAsia="Times New Roman" w:hAnsi="Trebuchet MS"/>
          <w:color w:val="000000"/>
          <w:sz w:val="24"/>
          <w:szCs w:val="24"/>
        </w:rPr>
        <w:t>i</w:t>
      </w:r>
      <w:proofErr w:type="spellEnd"/>
      <w:r w:rsidRPr="00AF3FE4">
        <w:rPr>
          <w:rFonts w:ascii="Trebuchet MS" w:eastAsia="Times New Roman" w:hAnsi="Trebuchet MS"/>
          <w:color w:val="000000"/>
          <w:sz w:val="24"/>
          <w:szCs w:val="24"/>
        </w:rPr>
        <w:t xml:space="preserve">) the enlarged part of the dwellinghouse would be within 2 metres of the boundary of the curtilage of the dwellinghouse, and the height of the eaves of the enlarged part would exceed 3 metres; </w:t>
      </w:r>
      <w:r w:rsidR="00075F51">
        <w:rPr>
          <w:rFonts w:ascii="Trebuchet MS" w:eastAsia="Times New Roman" w:hAnsi="Trebuchet MS"/>
          <w:b/>
          <w:color w:val="000000"/>
          <w:sz w:val="24"/>
          <w:szCs w:val="24"/>
        </w:rPr>
        <w:t>complies</w:t>
      </w:r>
    </w:p>
    <w:p w:rsidR="0062550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A.1 (j) the enlarged part of the dwellinghouse would extend beyond a wall forming a side elevation of the original dwellinghouse, and would – (</w:t>
      </w:r>
      <w:proofErr w:type="spellStart"/>
      <w:r w:rsidRPr="00AF3FE4">
        <w:rPr>
          <w:rFonts w:ascii="Trebuchet MS" w:eastAsia="Times New Roman" w:hAnsi="Trebuchet MS"/>
          <w:color w:val="000000"/>
          <w:sz w:val="24"/>
          <w:szCs w:val="24"/>
        </w:rPr>
        <w:t>i</w:t>
      </w:r>
      <w:proofErr w:type="spellEnd"/>
      <w:r w:rsidRPr="00AF3FE4">
        <w:rPr>
          <w:rFonts w:ascii="Trebuchet MS" w:eastAsia="Times New Roman" w:hAnsi="Trebuchet MS"/>
          <w:color w:val="000000"/>
          <w:sz w:val="24"/>
          <w:szCs w:val="24"/>
        </w:rPr>
        <w:t xml:space="preserve">) exceed 4 metres in height, </w:t>
      </w:r>
      <w:r w:rsidR="00075F51">
        <w:rPr>
          <w:rFonts w:ascii="Trebuchet MS" w:eastAsia="Times New Roman" w:hAnsi="Trebuchet MS"/>
          <w:b/>
          <w:color w:val="000000"/>
          <w:sz w:val="24"/>
          <w:szCs w:val="24"/>
        </w:rPr>
        <w:t xml:space="preserve">complies </w:t>
      </w:r>
      <w:r w:rsidRPr="00AF3FE4">
        <w:rPr>
          <w:rFonts w:ascii="Trebuchet MS" w:eastAsia="Times New Roman" w:hAnsi="Trebuchet MS"/>
          <w:color w:val="000000"/>
          <w:sz w:val="24"/>
          <w:szCs w:val="24"/>
        </w:rPr>
        <w:t xml:space="preserve">(ii) have more than a single storey, </w:t>
      </w:r>
      <w:r w:rsidR="00075F51">
        <w:rPr>
          <w:rFonts w:ascii="Trebuchet MS" w:eastAsia="Times New Roman" w:hAnsi="Trebuchet MS"/>
          <w:b/>
          <w:color w:val="000000"/>
          <w:sz w:val="24"/>
          <w:szCs w:val="24"/>
        </w:rPr>
        <w:t xml:space="preserve">complies </w:t>
      </w:r>
      <w:r w:rsidRPr="00AF3FE4">
        <w:rPr>
          <w:rFonts w:ascii="Trebuchet MS" w:eastAsia="Times New Roman" w:hAnsi="Trebuchet MS"/>
          <w:color w:val="000000"/>
          <w:sz w:val="24"/>
          <w:szCs w:val="24"/>
        </w:rPr>
        <w:t>or (iii) have a width greater than half the width of the original dwellinghouse;</w:t>
      </w:r>
      <w:r w:rsidR="00075F51">
        <w:rPr>
          <w:rFonts w:ascii="Trebuchet MS" w:eastAsia="Times New Roman" w:hAnsi="Trebuchet MS"/>
          <w:color w:val="000000"/>
          <w:sz w:val="24"/>
          <w:szCs w:val="24"/>
        </w:rPr>
        <w:t xml:space="preserve"> </w:t>
      </w:r>
      <w:r w:rsidR="00075F51">
        <w:rPr>
          <w:rFonts w:ascii="Trebuchet MS" w:eastAsia="Times New Roman" w:hAnsi="Trebuchet MS"/>
          <w:b/>
          <w:color w:val="000000"/>
          <w:sz w:val="24"/>
          <w:szCs w:val="24"/>
        </w:rPr>
        <w:t>complies</w:t>
      </w:r>
    </w:p>
    <w:p w:rsidR="00246D7F" w:rsidRPr="00957849" w:rsidRDefault="00246D7F"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A.1 (ja) any total enlargement (being the enlarged part together with any existing enlargement of the original dwellinghouse to which it will be joined) exceeds or would exceed the limits set out in sub-paragraphs (e) to (j);</w:t>
      </w:r>
      <w:r w:rsidR="00957849">
        <w:rPr>
          <w:rFonts w:ascii="Trebuchet MS" w:eastAsia="Times New Roman" w:hAnsi="Trebuchet MS"/>
          <w:color w:val="000000"/>
          <w:sz w:val="24"/>
          <w:szCs w:val="24"/>
        </w:rPr>
        <w:t xml:space="preserve"> </w:t>
      </w:r>
      <w:r w:rsidR="00957849">
        <w:rPr>
          <w:rFonts w:ascii="Trebuchet MS" w:eastAsia="Times New Roman" w:hAnsi="Trebuchet MS"/>
          <w:b/>
          <w:color w:val="000000"/>
          <w:sz w:val="24"/>
          <w:szCs w:val="24"/>
        </w:rPr>
        <w:t>complies</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A.1 (k) it would consist of or include – (</w:t>
      </w:r>
      <w:proofErr w:type="spellStart"/>
      <w:r w:rsidRPr="00AF3FE4">
        <w:rPr>
          <w:rFonts w:ascii="Trebuchet MS" w:eastAsia="Times New Roman" w:hAnsi="Trebuchet MS"/>
          <w:color w:val="000000"/>
          <w:sz w:val="24"/>
          <w:szCs w:val="24"/>
        </w:rPr>
        <w:t>i</w:t>
      </w:r>
      <w:proofErr w:type="spellEnd"/>
      <w:r w:rsidRPr="00AF3FE4">
        <w:rPr>
          <w:rFonts w:ascii="Trebuchet MS" w:eastAsia="Times New Roman" w:hAnsi="Trebuchet MS"/>
          <w:color w:val="000000"/>
          <w:sz w:val="24"/>
          <w:szCs w:val="24"/>
        </w:rPr>
        <w:t>) the construction or provision of a verandah, balcony or raised platform,</w:t>
      </w:r>
      <w:r w:rsidR="00075F51">
        <w:rPr>
          <w:rFonts w:ascii="Trebuchet MS" w:eastAsia="Times New Roman" w:hAnsi="Trebuchet MS"/>
          <w:color w:val="000000"/>
          <w:sz w:val="24"/>
          <w:szCs w:val="24"/>
        </w:rPr>
        <w:t xml:space="preserve"> </w:t>
      </w:r>
      <w:r w:rsidR="00075F51">
        <w:rPr>
          <w:rFonts w:ascii="Trebuchet MS" w:eastAsia="Times New Roman" w:hAnsi="Trebuchet MS"/>
          <w:b/>
          <w:color w:val="000000"/>
          <w:sz w:val="24"/>
          <w:szCs w:val="24"/>
        </w:rPr>
        <w:t>complies</w:t>
      </w:r>
      <w:r w:rsidRPr="00AF3FE4">
        <w:rPr>
          <w:rFonts w:ascii="Trebuchet MS" w:eastAsia="Times New Roman" w:hAnsi="Trebuchet MS"/>
          <w:color w:val="000000"/>
          <w:sz w:val="24"/>
          <w:szCs w:val="24"/>
        </w:rPr>
        <w:t xml:space="preserve"> (ii) the installation, alteration or replacement of a microwave antenna,</w:t>
      </w:r>
      <w:r w:rsidR="00075F51">
        <w:rPr>
          <w:rFonts w:ascii="Trebuchet MS" w:eastAsia="Times New Roman" w:hAnsi="Trebuchet MS"/>
          <w:color w:val="000000"/>
          <w:sz w:val="24"/>
          <w:szCs w:val="24"/>
        </w:rPr>
        <w:t xml:space="preserve"> </w:t>
      </w:r>
      <w:r w:rsidR="00075F51">
        <w:rPr>
          <w:rFonts w:ascii="Trebuchet MS" w:eastAsia="Times New Roman" w:hAnsi="Trebuchet MS"/>
          <w:b/>
          <w:color w:val="000000"/>
          <w:sz w:val="24"/>
          <w:szCs w:val="24"/>
        </w:rPr>
        <w:t>complies</w:t>
      </w:r>
      <w:r w:rsidRPr="00AF3FE4">
        <w:rPr>
          <w:rFonts w:ascii="Trebuchet MS" w:eastAsia="Times New Roman" w:hAnsi="Trebuchet MS"/>
          <w:color w:val="000000"/>
          <w:sz w:val="24"/>
          <w:szCs w:val="24"/>
        </w:rPr>
        <w:t xml:space="preserve"> (iii) the installation, alteration or replacement of a chimney, flue or soil and vent pipe, </w:t>
      </w:r>
      <w:r w:rsidR="00075F51">
        <w:rPr>
          <w:rFonts w:ascii="Trebuchet MS" w:eastAsia="Times New Roman" w:hAnsi="Trebuchet MS"/>
          <w:b/>
          <w:color w:val="000000"/>
          <w:sz w:val="24"/>
          <w:szCs w:val="24"/>
        </w:rPr>
        <w:t xml:space="preserve">complies </w:t>
      </w:r>
      <w:r w:rsidRPr="00AF3FE4">
        <w:rPr>
          <w:rFonts w:ascii="Trebuchet MS" w:eastAsia="Times New Roman" w:hAnsi="Trebuchet MS"/>
          <w:color w:val="000000"/>
          <w:sz w:val="24"/>
          <w:szCs w:val="24"/>
        </w:rPr>
        <w:t xml:space="preserve">or (iv) an alteration to any part of the roof of the dwellinghouse. </w:t>
      </w:r>
      <w:r w:rsidR="00075F51">
        <w:rPr>
          <w:rFonts w:ascii="Trebuchet MS" w:eastAsia="Times New Roman" w:hAnsi="Trebuchet MS"/>
          <w:b/>
          <w:color w:val="000000"/>
          <w:sz w:val="24"/>
          <w:szCs w:val="24"/>
        </w:rPr>
        <w:t>complies</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A.2 In the case of a dwellinghouse on article 2(3) land, development is not permitted by Class A if:</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 xml:space="preserve">A.2 (a) it would consist of or include the cladding of any part of the exterior of the dwellinghouse with stone, artificial stone, pebble dash, render, timber, plastic or tiles; </w:t>
      </w:r>
      <w:r w:rsidR="00075F51">
        <w:rPr>
          <w:rFonts w:ascii="Trebuchet MS" w:eastAsia="Times New Roman" w:hAnsi="Trebuchet MS"/>
          <w:b/>
          <w:color w:val="000000"/>
          <w:sz w:val="24"/>
          <w:szCs w:val="24"/>
        </w:rPr>
        <w:t>n/a</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A.2 (b) the enlarged part of the dwellinghouse would extend beyond a wall forming a side elevation of the original dwellinghouse;</w:t>
      </w:r>
      <w:r w:rsidR="00075F51">
        <w:rPr>
          <w:rFonts w:ascii="Trebuchet MS" w:eastAsia="Times New Roman" w:hAnsi="Trebuchet MS"/>
          <w:color w:val="000000"/>
          <w:sz w:val="24"/>
          <w:szCs w:val="24"/>
        </w:rPr>
        <w:t xml:space="preserve"> </w:t>
      </w:r>
      <w:r w:rsidR="00246D7F">
        <w:rPr>
          <w:rFonts w:ascii="Trebuchet MS" w:eastAsia="Times New Roman" w:hAnsi="Trebuchet MS"/>
          <w:b/>
          <w:color w:val="000000"/>
          <w:sz w:val="24"/>
          <w:szCs w:val="24"/>
        </w:rPr>
        <w:t>n/a</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A.2 (c) the enlarged part of the dwellinghouse would have more than a single storey and extend beyond the rear wal</w:t>
      </w:r>
      <w:r w:rsidR="00246D7F">
        <w:rPr>
          <w:rFonts w:ascii="Trebuchet MS" w:eastAsia="Times New Roman" w:hAnsi="Trebuchet MS"/>
          <w:color w:val="000000"/>
          <w:sz w:val="24"/>
          <w:szCs w:val="24"/>
        </w:rPr>
        <w:t>l of the original dwellinghouse;</w:t>
      </w:r>
      <w:r w:rsidRPr="00AF3FE4">
        <w:rPr>
          <w:rFonts w:ascii="Trebuchet MS" w:eastAsia="Times New Roman" w:hAnsi="Trebuchet MS"/>
          <w:color w:val="000000"/>
          <w:sz w:val="24"/>
          <w:szCs w:val="24"/>
        </w:rPr>
        <w:t xml:space="preserve"> </w:t>
      </w:r>
      <w:r w:rsidR="00075F51">
        <w:rPr>
          <w:rFonts w:ascii="Trebuchet MS" w:eastAsia="Times New Roman" w:hAnsi="Trebuchet MS"/>
          <w:b/>
          <w:color w:val="000000"/>
          <w:sz w:val="24"/>
          <w:szCs w:val="24"/>
        </w:rPr>
        <w:t>n/a</w:t>
      </w:r>
    </w:p>
    <w:p w:rsidR="00246D7F" w:rsidRPr="00957849" w:rsidRDefault="00246D7F"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A.2 (d) any total enlargement (being the enlarged part together with any existing enlargement of the original dwellinghouse to which it will be joined) exceeds or would exceed the limits set out in sub-paragraphs (b) and (c).</w:t>
      </w:r>
      <w:r w:rsidR="00957849">
        <w:rPr>
          <w:rFonts w:ascii="Trebuchet MS" w:eastAsia="Times New Roman" w:hAnsi="Trebuchet MS"/>
          <w:color w:val="000000"/>
          <w:sz w:val="24"/>
          <w:szCs w:val="24"/>
        </w:rPr>
        <w:t xml:space="preserve"> </w:t>
      </w:r>
      <w:r w:rsidR="00957849">
        <w:rPr>
          <w:rFonts w:ascii="Trebuchet MS" w:eastAsia="Times New Roman" w:hAnsi="Trebuchet MS"/>
          <w:b/>
          <w:color w:val="000000"/>
          <w:sz w:val="24"/>
          <w:szCs w:val="24"/>
        </w:rPr>
        <w:t>n/a</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Conditions</w:t>
      </w:r>
    </w:p>
    <w:p w:rsidR="00625504" w:rsidRPr="00AF3FE4" w:rsidRDefault="00E1716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lastRenderedPageBreak/>
        <w:t>Development</w:t>
      </w:r>
      <w:r w:rsidR="00625504" w:rsidRPr="00AF3FE4">
        <w:rPr>
          <w:rFonts w:ascii="Trebuchet MS" w:eastAsia="Times New Roman" w:hAnsi="Trebuchet MS"/>
          <w:color w:val="000000"/>
          <w:sz w:val="24"/>
          <w:szCs w:val="24"/>
        </w:rPr>
        <w:t xml:space="preserve"> is permitted by Class A subject to the following conditions:</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 xml:space="preserve">A.3 (a) the materials used in any exterior work (other than materials used in the construction of a conservatory) must be of a similar appearance to those used in the construction of the exterior of the dwellinghouse; </w:t>
      </w:r>
      <w:r w:rsidR="00075F51">
        <w:rPr>
          <w:rFonts w:ascii="Trebuchet MS" w:eastAsia="Times New Roman" w:hAnsi="Trebuchet MS"/>
          <w:b/>
          <w:color w:val="000000"/>
          <w:sz w:val="24"/>
          <w:szCs w:val="24"/>
        </w:rPr>
        <w:t>complies</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A.3 (b) any upper-floor window located in a wall or roof slope forming a side elevation of the dwellinghouse must be (</w:t>
      </w:r>
      <w:proofErr w:type="spellStart"/>
      <w:r w:rsidRPr="00AF3FE4">
        <w:rPr>
          <w:rFonts w:ascii="Trebuchet MS" w:eastAsia="Times New Roman" w:hAnsi="Trebuchet MS"/>
          <w:color w:val="000000"/>
          <w:sz w:val="24"/>
          <w:szCs w:val="24"/>
        </w:rPr>
        <w:t>i</w:t>
      </w:r>
      <w:proofErr w:type="spellEnd"/>
      <w:r w:rsidRPr="00AF3FE4">
        <w:rPr>
          <w:rFonts w:ascii="Trebuchet MS" w:eastAsia="Times New Roman" w:hAnsi="Trebuchet MS"/>
          <w:color w:val="000000"/>
          <w:sz w:val="24"/>
          <w:szCs w:val="24"/>
        </w:rPr>
        <w:t xml:space="preserve">) obscure-glazed, </w:t>
      </w:r>
      <w:r w:rsidR="00075F51">
        <w:rPr>
          <w:rFonts w:ascii="Trebuchet MS" w:eastAsia="Times New Roman" w:hAnsi="Trebuchet MS"/>
          <w:b/>
          <w:color w:val="000000"/>
          <w:sz w:val="24"/>
          <w:szCs w:val="24"/>
        </w:rPr>
        <w:t xml:space="preserve">n/a </w:t>
      </w:r>
      <w:r w:rsidRPr="00AF3FE4">
        <w:rPr>
          <w:rFonts w:ascii="Trebuchet MS" w:eastAsia="Times New Roman" w:hAnsi="Trebuchet MS"/>
          <w:color w:val="000000"/>
          <w:sz w:val="24"/>
          <w:szCs w:val="24"/>
        </w:rPr>
        <w:t xml:space="preserve">and (ii) non-opening unless the parts of the window which can be opened are more than 1.7 metres above the floor of the room in which the window is installed; </w:t>
      </w:r>
      <w:r w:rsidR="00075F51">
        <w:rPr>
          <w:rFonts w:ascii="Trebuchet MS" w:eastAsia="Times New Roman" w:hAnsi="Trebuchet MS"/>
          <w:b/>
          <w:color w:val="000000"/>
          <w:sz w:val="24"/>
          <w:szCs w:val="24"/>
        </w:rPr>
        <w:t>n/a</w:t>
      </w:r>
      <w:r w:rsidRPr="00AF3FE4">
        <w:rPr>
          <w:rFonts w:ascii="Trebuchet MS" w:eastAsia="Times New Roman" w:hAnsi="Trebuchet MS"/>
          <w:color w:val="000000"/>
          <w:sz w:val="24"/>
          <w:szCs w:val="24"/>
        </w:rPr>
        <w:t xml:space="preserve"> and</w:t>
      </w:r>
    </w:p>
    <w:p w:rsidR="0062550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 xml:space="preserve">A.3 (c) where the enlarged part of the dwellinghouse has more than a single storey, </w:t>
      </w:r>
      <w:r w:rsidR="00246D7F">
        <w:rPr>
          <w:rFonts w:ascii="Trebuchet MS" w:eastAsia="Times New Roman" w:hAnsi="Trebuchet MS"/>
          <w:color w:val="000000"/>
          <w:sz w:val="24"/>
          <w:szCs w:val="24"/>
        </w:rPr>
        <w:t>or forms an upper storey on an existing enlargement of the original dwellinghouse, the roof pitch of the enlarged part must, so far as practicable, be the same as the roof pitch</w:t>
      </w:r>
      <w:r w:rsidR="0041701F">
        <w:rPr>
          <w:rFonts w:ascii="Trebuchet MS" w:eastAsia="Times New Roman" w:hAnsi="Trebuchet MS"/>
          <w:color w:val="000000"/>
          <w:sz w:val="24"/>
          <w:szCs w:val="24"/>
        </w:rPr>
        <w:t xml:space="preserve"> of the original dwellinghouse. </w:t>
      </w:r>
      <w:r w:rsidR="00075F51">
        <w:rPr>
          <w:rFonts w:ascii="Trebuchet MS" w:eastAsia="Times New Roman" w:hAnsi="Trebuchet MS"/>
          <w:b/>
          <w:color w:val="000000"/>
          <w:sz w:val="24"/>
          <w:szCs w:val="24"/>
        </w:rPr>
        <w:t>n/a</w:t>
      </w:r>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Recommendation</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Sufficient evidence has been provided to demonstrate that a Certificate of Lawfulness sho</w:t>
      </w:r>
      <w:r w:rsidR="00075F51">
        <w:rPr>
          <w:rFonts w:ascii="Trebuchet MS" w:eastAsia="Times New Roman" w:hAnsi="Trebuchet MS"/>
          <w:color w:val="000000"/>
          <w:sz w:val="24"/>
          <w:szCs w:val="24"/>
        </w:rPr>
        <w:t xml:space="preserve">uld be granted for the proposed </w:t>
      </w:r>
      <w:r w:rsidR="00957849">
        <w:rPr>
          <w:rFonts w:ascii="Trebuchet MS" w:eastAsia="Times New Roman" w:hAnsi="Trebuchet MS"/>
          <w:color w:val="000000"/>
          <w:sz w:val="24"/>
          <w:szCs w:val="24"/>
        </w:rPr>
        <w:t>single storey side extension.</w:t>
      </w:r>
    </w:p>
    <w:p w:rsidR="00957849" w:rsidRDefault="00625504" w:rsidP="00957849">
      <w:pPr>
        <w:spacing w:line="240" w:lineRule="auto"/>
        <w:rPr>
          <w:rFonts w:ascii="Trebuchet MS" w:hAnsi="Trebuchet MS"/>
          <w:sz w:val="24"/>
          <w:szCs w:val="24"/>
        </w:rPr>
      </w:pPr>
      <w:r w:rsidRPr="00AF3FE4">
        <w:rPr>
          <w:rFonts w:ascii="Trebuchet MS" w:eastAsia="Times New Roman" w:hAnsi="Trebuchet MS"/>
          <w:sz w:val="24"/>
          <w:szCs w:val="24"/>
        </w:rPr>
        <w:t>The proposal has been assessed against the Town and Country Planning Act 1990 (as amended) and Class A, Part 1, Schedule 2 of the Town and Country Planning (General Permitted Development) (England) Order 2015. It can be confirmed that the proposed operation would be lawful for planning purposes on the ba</w:t>
      </w:r>
      <w:r w:rsidR="00021541">
        <w:rPr>
          <w:rFonts w:ascii="Trebuchet MS" w:eastAsia="Times New Roman" w:hAnsi="Trebuchet MS"/>
          <w:sz w:val="24"/>
          <w:szCs w:val="24"/>
        </w:rPr>
        <w:t xml:space="preserve">sis of the drawings received on </w:t>
      </w:r>
      <w:r w:rsidR="00957849">
        <w:rPr>
          <w:rFonts w:ascii="Trebuchet MS" w:hAnsi="Trebuchet MS"/>
          <w:sz w:val="24"/>
          <w:szCs w:val="24"/>
        </w:rPr>
        <w:t>23</w:t>
      </w:r>
      <w:r w:rsidR="00957849" w:rsidRPr="00691045">
        <w:rPr>
          <w:rFonts w:ascii="Trebuchet MS" w:hAnsi="Trebuchet MS"/>
          <w:sz w:val="24"/>
          <w:szCs w:val="24"/>
          <w:vertAlign w:val="superscript"/>
        </w:rPr>
        <w:t>rd</w:t>
      </w:r>
      <w:r w:rsidR="00957849">
        <w:rPr>
          <w:rFonts w:ascii="Trebuchet MS" w:hAnsi="Trebuchet MS"/>
          <w:sz w:val="24"/>
          <w:szCs w:val="24"/>
        </w:rPr>
        <w:t xml:space="preserve"> May 2017:</w:t>
      </w:r>
    </w:p>
    <w:p w:rsidR="00957849" w:rsidRDefault="00957849" w:rsidP="00957849">
      <w:pPr>
        <w:spacing w:line="240" w:lineRule="auto"/>
        <w:rPr>
          <w:rFonts w:ascii="Trebuchet MS" w:hAnsi="Trebuchet MS"/>
          <w:sz w:val="24"/>
          <w:szCs w:val="24"/>
        </w:rPr>
      </w:pPr>
      <w:r>
        <w:rPr>
          <w:rFonts w:ascii="Trebuchet MS" w:hAnsi="Trebuchet MS"/>
          <w:sz w:val="24"/>
          <w:szCs w:val="24"/>
        </w:rPr>
        <w:t>Drawing No: MC:302 – Site Location and Site Plan</w:t>
      </w:r>
    </w:p>
    <w:p w:rsidR="00957849" w:rsidRDefault="00957849" w:rsidP="00957849">
      <w:pPr>
        <w:spacing w:line="240" w:lineRule="auto"/>
        <w:rPr>
          <w:rFonts w:ascii="Trebuchet MS" w:hAnsi="Trebuchet MS"/>
          <w:sz w:val="24"/>
          <w:szCs w:val="24"/>
        </w:rPr>
      </w:pPr>
      <w:r>
        <w:rPr>
          <w:rFonts w:ascii="Trebuchet MS" w:hAnsi="Trebuchet MS"/>
          <w:sz w:val="24"/>
          <w:szCs w:val="24"/>
        </w:rPr>
        <w:t>Drawing No: MC:301 – Block Plan</w:t>
      </w:r>
    </w:p>
    <w:p w:rsidR="00957849" w:rsidRDefault="00957849" w:rsidP="00957849">
      <w:pPr>
        <w:spacing w:line="240" w:lineRule="auto"/>
        <w:rPr>
          <w:rFonts w:ascii="Trebuchet MS" w:hAnsi="Trebuchet MS"/>
          <w:sz w:val="24"/>
          <w:szCs w:val="24"/>
        </w:rPr>
      </w:pPr>
      <w:r>
        <w:rPr>
          <w:rFonts w:ascii="Trebuchet MS" w:hAnsi="Trebuchet MS"/>
          <w:sz w:val="24"/>
          <w:szCs w:val="24"/>
        </w:rPr>
        <w:t>Drawing No: MC:303 – Existing and Proposed Ground Floor Plans</w:t>
      </w:r>
    </w:p>
    <w:p w:rsidR="00957849" w:rsidRPr="00AF3FE4" w:rsidRDefault="00957849" w:rsidP="00957849">
      <w:pPr>
        <w:spacing w:line="240" w:lineRule="auto"/>
        <w:rPr>
          <w:rFonts w:ascii="Trebuchet MS" w:hAnsi="Trebuchet MS"/>
          <w:sz w:val="24"/>
          <w:szCs w:val="24"/>
        </w:rPr>
      </w:pPr>
      <w:r>
        <w:rPr>
          <w:rFonts w:ascii="Trebuchet MS" w:hAnsi="Trebuchet MS"/>
          <w:sz w:val="24"/>
          <w:szCs w:val="24"/>
        </w:rPr>
        <w:t>Drawing No: MC:304 – Existing and Proposed Elevations</w:t>
      </w:r>
    </w:p>
    <w:p w:rsidR="00625504" w:rsidRPr="00AF3FE4" w:rsidRDefault="00625504" w:rsidP="00AF3FE4">
      <w:pPr>
        <w:spacing w:line="240" w:lineRule="auto"/>
        <w:rPr>
          <w:rFonts w:ascii="Trebuchet MS" w:eastAsia="Times New Roman" w:hAnsi="Trebuchet MS"/>
          <w:sz w:val="24"/>
          <w:szCs w:val="24"/>
        </w:rPr>
      </w:pPr>
      <w:r w:rsidRPr="00AF3FE4">
        <w:rPr>
          <w:rFonts w:ascii="Trebuchet MS" w:eastAsia="Times New Roman" w:hAnsi="Trebuchet MS"/>
          <w:sz w:val="24"/>
          <w:szCs w:val="24"/>
        </w:rPr>
        <w:t>Therefore the Local Planning Authority can issue the applicant with a Certificate of Lawfulness for the proposed development.</w:t>
      </w:r>
    </w:p>
    <w:p w:rsidR="00625504" w:rsidRDefault="00625504" w:rsidP="00AF3FE4">
      <w:pPr>
        <w:spacing w:line="240" w:lineRule="auto"/>
        <w:rPr>
          <w:rFonts w:ascii="Trebuchet MS" w:eastAsia="Times New Roman" w:hAnsi="Trebuchet MS"/>
          <w:b/>
          <w:sz w:val="24"/>
          <w:szCs w:val="24"/>
        </w:rPr>
      </w:pPr>
      <w:r w:rsidRPr="00AF3FE4">
        <w:rPr>
          <w:rFonts w:ascii="Trebuchet MS" w:eastAsia="Times New Roman" w:hAnsi="Trebuchet MS"/>
          <w:b/>
          <w:sz w:val="24"/>
          <w:szCs w:val="24"/>
        </w:rPr>
        <w:t>Informatives</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Building Regulations</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Encroachment and Party Wall Act</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Construction and Demolition</w:t>
      </w:r>
    </w:p>
    <w:p w:rsidR="00021541" w:rsidRPr="00021541" w:rsidRDefault="00957849" w:rsidP="00AF3FE4">
      <w:pPr>
        <w:spacing w:line="240" w:lineRule="auto"/>
        <w:rPr>
          <w:rFonts w:ascii="Trebuchet MS" w:eastAsia="Times New Roman" w:hAnsi="Trebuchet MS"/>
          <w:sz w:val="24"/>
          <w:szCs w:val="24"/>
        </w:rPr>
      </w:pPr>
      <w:r>
        <w:rPr>
          <w:noProof/>
        </w:rPr>
        <w:lastRenderedPageBreak/>
        <w:drawing>
          <wp:inline distT="0" distB="0" distL="0" distR="0" wp14:anchorId="0B021DDD" wp14:editId="20062F95">
            <wp:extent cx="5176157" cy="738924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176157" cy="7389242"/>
                    </a:xfrm>
                    <a:prstGeom prst="rect">
                      <a:avLst/>
                    </a:prstGeom>
                  </pic:spPr>
                </pic:pic>
              </a:graphicData>
            </a:graphic>
          </wp:inline>
        </w:drawing>
      </w:r>
    </w:p>
    <w:sectPr w:rsidR="00021541" w:rsidRPr="00021541">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790B" w:rsidRDefault="0022790B" w:rsidP="0022790B">
      <w:pPr>
        <w:spacing w:after="0" w:line="240" w:lineRule="auto"/>
      </w:pPr>
      <w:r>
        <w:separator/>
      </w:r>
    </w:p>
  </w:endnote>
  <w:endnote w:type="continuationSeparator" w:id="0">
    <w:p w:rsidR="0022790B" w:rsidRDefault="0022790B" w:rsidP="0022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790B" w:rsidRDefault="0022790B" w:rsidP="0022790B">
      <w:pPr>
        <w:spacing w:after="0" w:line="240" w:lineRule="auto"/>
      </w:pPr>
      <w:r>
        <w:separator/>
      </w:r>
    </w:p>
  </w:footnote>
  <w:footnote w:type="continuationSeparator" w:id="0">
    <w:p w:rsidR="0022790B" w:rsidRDefault="0022790B" w:rsidP="002279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F79DD"/>
    <w:multiLevelType w:val="hybridMultilevel"/>
    <w:tmpl w:val="7D8C0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5CD0831"/>
    <w:multiLevelType w:val="hybridMultilevel"/>
    <w:tmpl w:val="BCD6D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DB12E39"/>
    <w:multiLevelType w:val="hybridMultilevel"/>
    <w:tmpl w:val="DDDAA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6E23EFA"/>
    <w:multiLevelType w:val="hybridMultilevel"/>
    <w:tmpl w:val="7150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DA052E5"/>
    <w:multiLevelType w:val="hybridMultilevel"/>
    <w:tmpl w:val="B21A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B9A3201"/>
    <w:multiLevelType w:val="hybridMultilevel"/>
    <w:tmpl w:val="0F9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EFA3ADC"/>
    <w:multiLevelType w:val="hybridMultilevel"/>
    <w:tmpl w:val="7B3C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89C3EEB"/>
    <w:multiLevelType w:val="hybridMultilevel"/>
    <w:tmpl w:val="161E0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3"/>
  </w:num>
  <w:num w:numId="5">
    <w:abstractNumId w:val="4"/>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5504"/>
    <w:rsid w:val="00021541"/>
    <w:rsid w:val="00037BAF"/>
    <w:rsid w:val="0007503E"/>
    <w:rsid w:val="00075F51"/>
    <w:rsid w:val="000E5A3F"/>
    <w:rsid w:val="0014241C"/>
    <w:rsid w:val="0017663F"/>
    <w:rsid w:val="00215C25"/>
    <w:rsid w:val="00224ED2"/>
    <w:rsid w:val="00225DA7"/>
    <w:rsid w:val="0022790B"/>
    <w:rsid w:val="00246D7F"/>
    <w:rsid w:val="00270CCE"/>
    <w:rsid w:val="003065BE"/>
    <w:rsid w:val="003C6957"/>
    <w:rsid w:val="003D179A"/>
    <w:rsid w:val="00407804"/>
    <w:rsid w:val="0041701F"/>
    <w:rsid w:val="005B391B"/>
    <w:rsid w:val="00625504"/>
    <w:rsid w:val="0067559F"/>
    <w:rsid w:val="00691045"/>
    <w:rsid w:val="006A17A0"/>
    <w:rsid w:val="006A5B04"/>
    <w:rsid w:val="007B11DE"/>
    <w:rsid w:val="007F7924"/>
    <w:rsid w:val="008A59CB"/>
    <w:rsid w:val="00912B7D"/>
    <w:rsid w:val="00957849"/>
    <w:rsid w:val="009A3326"/>
    <w:rsid w:val="009F782D"/>
    <w:rsid w:val="00AF3FE4"/>
    <w:rsid w:val="00BC092F"/>
    <w:rsid w:val="00C40D2F"/>
    <w:rsid w:val="00D1628A"/>
    <w:rsid w:val="00D330DE"/>
    <w:rsid w:val="00E1716B"/>
    <w:rsid w:val="00E302F2"/>
    <w:rsid w:val="00FB5A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922194DB</Template>
  <TotalTime>0</TotalTime>
  <Pages>5</Pages>
  <Words>1284</Words>
  <Characters>7323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2</cp:revision>
  <dcterms:created xsi:type="dcterms:W3CDTF">2017-07-18T08:54:00Z</dcterms:created>
  <dcterms:modified xsi:type="dcterms:W3CDTF">2017-07-18T08:54:00Z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2017-04-03T12:34:41Z</vt:filetime>
  </property>
</Properties>
</file>