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504" w:rsidRPr="00AF3FE4" w:rsidRDefault="00625504" w:rsidP="00AF3FE4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  <w:u w:val="single"/>
        </w:rPr>
        <w:t>Delegated Application Report</w:t>
      </w:r>
      <w:r w:rsidR="006A17A0" w:rsidRPr="00AF3FE4">
        <w:rPr>
          <w:rFonts w:ascii="Trebuchet MS" w:hAnsi="Trebuchet MS"/>
          <w:sz w:val="24"/>
          <w:szCs w:val="24"/>
        </w:rPr>
        <w:t xml:space="preserve"> </w:t>
      </w:r>
      <w:r w:rsidR="006A17A0" w:rsidRPr="00AF3FE4">
        <w:rPr>
          <w:rFonts w:ascii="Trebuchet MS" w:hAnsi="Trebuchet MS"/>
          <w:sz w:val="24"/>
          <w:szCs w:val="24"/>
        </w:rPr>
        <w:tab/>
      </w:r>
      <w:r w:rsidR="006A17A0" w:rsidRPr="00AF3FE4">
        <w:rPr>
          <w:rFonts w:ascii="Trebuchet MS" w:hAnsi="Trebuchet MS"/>
          <w:sz w:val="24"/>
          <w:szCs w:val="24"/>
        </w:rPr>
        <w:tab/>
      </w:r>
      <w:r w:rsidR="006A17A0" w:rsidRPr="00AF3FE4">
        <w:rPr>
          <w:rFonts w:ascii="Trebuchet MS" w:hAnsi="Trebuchet MS"/>
          <w:sz w:val="24"/>
          <w:szCs w:val="24"/>
        </w:rPr>
        <w:tab/>
      </w:r>
      <w:r w:rsidR="006A17A0" w:rsidRPr="00AF3FE4">
        <w:rPr>
          <w:rFonts w:ascii="Trebuchet MS" w:hAnsi="Trebuchet MS"/>
          <w:sz w:val="24"/>
          <w:szCs w:val="24"/>
        </w:rPr>
        <w:tab/>
      </w:r>
      <w:r w:rsidR="00225DA7">
        <w:rPr>
          <w:rFonts w:ascii="Trebuchet MS" w:hAnsi="Trebuchet MS"/>
          <w:sz w:val="24"/>
          <w:szCs w:val="24"/>
        </w:rPr>
        <w:t xml:space="preserve">          </w:t>
      </w:r>
      <w:r w:rsidRPr="00AF3FE4">
        <w:rPr>
          <w:rFonts w:ascii="Trebuchet MS" w:hAnsi="Trebuchet MS"/>
          <w:b/>
          <w:sz w:val="24"/>
          <w:szCs w:val="24"/>
        </w:rPr>
        <w:t>Target Date:</w:t>
      </w:r>
      <w:r w:rsidRPr="00AF3FE4">
        <w:rPr>
          <w:rFonts w:ascii="Trebuchet MS" w:hAnsi="Trebuchet MS"/>
          <w:sz w:val="24"/>
          <w:szCs w:val="24"/>
        </w:rPr>
        <w:t xml:space="preserve"> </w:t>
      </w:r>
      <w:r w:rsidR="006970F4">
        <w:rPr>
          <w:rFonts w:ascii="Trebuchet MS" w:hAnsi="Trebuchet MS"/>
          <w:sz w:val="24"/>
          <w:szCs w:val="24"/>
        </w:rPr>
        <w:t>03/08/17</w:t>
      </w:r>
    </w:p>
    <w:p w:rsidR="00625504" w:rsidRPr="006970F4" w:rsidRDefault="00625504" w:rsidP="00AF3FE4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 xml:space="preserve">Address: </w:t>
      </w:r>
      <w:r w:rsidR="006970F4">
        <w:rPr>
          <w:rFonts w:ascii="Trebuchet MS" w:hAnsi="Trebuchet MS"/>
          <w:sz w:val="24"/>
          <w:szCs w:val="24"/>
        </w:rPr>
        <w:t>34 Hogarth Avenue</w:t>
      </w:r>
    </w:p>
    <w:p w:rsidR="00625504" w:rsidRPr="006970F4" w:rsidRDefault="00625504" w:rsidP="00AF3FE4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 xml:space="preserve">Application No: </w:t>
      </w:r>
      <w:r w:rsidR="006970F4">
        <w:rPr>
          <w:rFonts w:ascii="Trebuchet MS" w:hAnsi="Trebuchet MS"/>
          <w:sz w:val="24"/>
          <w:szCs w:val="24"/>
        </w:rPr>
        <w:t>170934/CLP</w:t>
      </w:r>
    </w:p>
    <w:p w:rsidR="00625504" w:rsidRPr="006970F4" w:rsidRDefault="00625504" w:rsidP="00AF3FE4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 xml:space="preserve">Proposal: </w:t>
      </w:r>
      <w:r w:rsidR="006970F4">
        <w:rPr>
          <w:rFonts w:ascii="Trebuchet MS" w:hAnsi="Trebuchet MS"/>
          <w:sz w:val="24"/>
          <w:szCs w:val="24"/>
        </w:rPr>
        <w:t>Outbuilding</w:t>
      </w:r>
    </w:p>
    <w:p w:rsidR="00625504" w:rsidRPr="00AF3FE4" w:rsidRDefault="00625504" w:rsidP="00AF3FE4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>Case Officer:</w:t>
      </w:r>
      <w:r w:rsidRPr="00AF3FE4">
        <w:rPr>
          <w:rFonts w:ascii="Trebuchet MS" w:hAnsi="Trebuchet MS"/>
          <w:sz w:val="24"/>
          <w:szCs w:val="24"/>
        </w:rPr>
        <w:t xml:space="preserve"> Tom Hughes</w:t>
      </w:r>
    </w:p>
    <w:p w:rsidR="00625504" w:rsidRDefault="00625504" w:rsidP="00AF3FE4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>Introduction and Proposal</w:t>
      </w:r>
    </w:p>
    <w:p w:rsidR="006970F4" w:rsidRDefault="008D7E13" w:rsidP="00AF3FE4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The application site is a two storey semi-detached property with a hipped roof. The site occupies a corner plot at the junction of Hogarth Avenue and Haywood Way. A single storey extension with a hipped roof extends to the side and rear</w:t>
      </w:r>
      <w:r w:rsidR="003A5C9C">
        <w:rPr>
          <w:rFonts w:ascii="Trebuchet MS" w:hAnsi="Trebuchet MS"/>
          <w:sz w:val="24"/>
          <w:szCs w:val="24"/>
        </w:rPr>
        <w:t xml:space="preserve"> of the property</w:t>
      </w:r>
      <w:r>
        <w:rPr>
          <w:rFonts w:ascii="Trebuchet MS" w:hAnsi="Trebuchet MS"/>
          <w:sz w:val="24"/>
          <w:szCs w:val="24"/>
        </w:rPr>
        <w:t xml:space="preserve">. Two sheds are located at the end of the rear garden. The site benefits from gated access at the end of the rear garden onto Haywood Way. A sub-station is located beyond the rear boundary of the site. The surrounding area is predominantly residential. </w:t>
      </w:r>
    </w:p>
    <w:p w:rsidR="008D7E13" w:rsidRDefault="008D7E13" w:rsidP="00AF3FE4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The proposal is for an outbuilding</w:t>
      </w:r>
      <w:r w:rsidR="001830CF">
        <w:rPr>
          <w:rFonts w:ascii="Trebuchet MS" w:hAnsi="Trebuchet MS"/>
          <w:sz w:val="24"/>
          <w:szCs w:val="24"/>
        </w:rPr>
        <w:t>, to be located at the end of the rear garden</w:t>
      </w:r>
      <w:r>
        <w:rPr>
          <w:rFonts w:ascii="Trebuchet MS" w:hAnsi="Trebuchet MS"/>
          <w:sz w:val="24"/>
          <w:szCs w:val="24"/>
        </w:rPr>
        <w:t xml:space="preserve">. The two existing sheds would be removed in order to facilitate the proposal. </w:t>
      </w:r>
      <w:r w:rsidR="001830CF">
        <w:rPr>
          <w:rFonts w:ascii="Trebuchet MS" w:hAnsi="Trebuchet MS"/>
          <w:sz w:val="24"/>
          <w:szCs w:val="24"/>
        </w:rPr>
        <w:t xml:space="preserve">The outbuilding would be L-shaped, to follow the rear boundary line. The outbuilding would extend at a total width of 9.4m. The southeast flank elevation would extend to a depth of 6.7m. A distance of 0.2m would be maintained to the northeast and northwest site boundaries. The outbuilding would have a flat roof at a height of 2.5m. </w:t>
      </w:r>
    </w:p>
    <w:p w:rsidR="001830CF" w:rsidRPr="006970F4" w:rsidRDefault="001830CF" w:rsidP="00AF3FE4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To the southeast flank elevation would be located a double garage door. Two single doors and four windows would be located to the southwest elevation, facing the host property. The outbuilding would have a total floor area of 56 square metres. 35 square metres of floor area would comprise a double garage. </w:t>
      </w:r>
      <w:r w:rsidR="003A5C9C">
        <w:rPr>
          <w:rFonts w:ascii="Trebuchet MS" w:hAnsi="Trebuchet MS"/>
          <w:sz w:val="24"/>
          <w:szCs w:val="24"/>
        </w:rPr>
        <w:t xml:space="preserve">21 square metres of floor area would comprise a home office/work studio. </w:t>
      </w:r>
    </w:p>
    <w:p w:rsidR="00625504" w:rsidRPr="00AF3FE4" w:rsidRDefault="00625504" w:rsidP="00AF3FE4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>Plans Submitted</w:t>
      </w:r>
    </w:p>
    <w:p w:rsidR="00D330DE" w:rsidRDefault="00625504" w:rsidP="003C6957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hAnsi="Trebuchet MS"/>
          <w:sz w:val="24"/>
          <w:szCs w:val="24"/>
        </w:rPr>
        <w:t>The agent</w:t>
      </w:r>
      <w:r w:rsidR="00D330DE">
        <w:rPr>
          <w:rFonts w:ascii="Trebuchet MS" w:hAnsi="Trebuchet MS"/>
          <w:sz w:val="24"/>
          <w:szCs w:val="24"/>
        </w:rPr>
        <w:t xml:space="preserve"> supplied the following</w:t>
      </w:r>
      <w:r w:rsidRPr="00AF3FE4">
        <w:rPr>
          <w:rFonts w:ascii="Trebuchet MS" w:hAnsi="Trebuchet MS"/>
          <w:sz w:val="24"/>
          <w:szCs w:val="24"/>
        </w:rPr>
        <w:t>, received</w:t>
      </w:r>
      <w:r w:rsidR="00D330DE">
        <w:rPr>
          <w:rFonts w:ascii="Trebuchet MS" w:hAnsi="Trebuchet MS"/>
          <w:sz w:val="24"/>
          <w:szCs w:val="24"/>
        </w:rPr>
        <w:t xml:space="preserve"> on </w:t>
      </w:r>
      <w:r w:rsidR="003A5C9C">
        <w:rPr>
          <w:rFonts w:ascii="Trebuchet MS" w:hAnsi="Trebuchet MS"/>
          <w:sz w:val="24"/>
          <w:szCs w:val="24"/>
        </w:rPr>
        <w:t>8</w:t>
      </w:r>
      <w:r w:rsidR="003A5C9C" w:rsidRPr="003A5C9C">
        <w:rPr>
          <w:rFonts w:ascii="Trebuchet MS" w:hAnsi="Trebuchet MS"/>
          <w:sz w:val="24"/>
          <w:szCs w:val="24"/>
          <w:vertAlign w:val="superscript"/>
        </w:rPr>
        <w:t>th</w:t>
      </w:r>
      <w:r w:rsidR="003A5C9C">
        <w:rPr>
          <w:rFonts w:ascii="Trebuchet MS" w:hAnsi="Trebuchet MS"/>
          <w:sz w:val="24"/>
          <w:szCs w:val="24"/>
        </w:rPr>
        <w:t xml:space="preserve"> June 2017:</w:t>
      </w:r>
    </w:p>
    <w:p w:rsidR="003A5C9C" w:rsidRDefault="003A5C9C" w:rsidP="003C6957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Drawing No: </w:t>
      </w:r>
      <w:r w:rsidR="00533A7D">
        <w:rPr>
          <w:rFonts w:ascii="Trebuchet MS" w:hAnsi="Trebuchet MS"/>
          <w:sz w:val="24"/>
          <w:szCs w:val="24"/>
        </w:rPr>
        <w:t>PL/A347/104 – Site Location and Block Plan</w:t>
      </w:r>
    </w:p>
    <w:p w:rsidR="00533A7D" w:rsidRDefault="00533A7D" w:rsidP="003C6957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Drawing No: PL/A347/101 – Existing and Proposed Ground Floor Plans</w:t>
      </w:r>
    </w:p>
    <w:p w:rsidR="00533A7D" w:rsidRDefault="00533A7D" w:rsidP="003C6957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Drawing No: PL/A347/102 – Existing Elevations</w:t>
      </w:r>
    </w:p>
    <w:p w:rsidR="00533A7D" w:rsidRDefault="00533A7D" w:rsidP="003C6957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Drawing No: PL/A347/103 – Proposed Elevations</w:t>
      </w:r>
    </w:p>
    <w:p w:rsidR="00533A7D" w:rsidRPr="00AF3FE4" w:rsidRDefault="00533A7D" w:rsidP="003C6957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Drawing No: PL/A347/105 – Existing and Proposed Site Plans</w:t>
      </w:r>
    </w:p>
    <w:p w:rsidR="00625504" w:rsidRDefault="00625504" w:rsidP="00AF3FE4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>Relevant Planning History</w:t>
      </w:r>
    </w:p>
    <w:p w:rsidR="00533A7D" w:rsidRDefault="00533A7D" w:rsidP="00AF3FE4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070893/FUL – Two storey side and single storey rear extension – Withdrawn 16/10/07</w:t>
      </w:r>
    </w:p>
    <w:p w:rsidR="00533A7D" w:rsidRDefault="00533A7D" w:rsidP="00AF3FE4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101200/FUL – Demolition of existing garage and erection of replacement single storey garage – Permitted 04/08/10</w:t>
      </w:r>
    </w:p>
    <w:p w:rsidR="00533A7D" w:rsidRDefault="008B69DB" w:rsidP="00AF3FE4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lastRenderedPageBreak/>
        <w:t>121846/FUL – Single storey side extension – Permitted 08/10/12</w:t>
      </w:r>
    </w:p>
    <w:p w:rsidR="008B69DB" w:rsidRPr="00533A7D" w:rsidRDefault="008B69DB" w:rsidP="00AF3FE4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170584/HOU – Single storey outbuilding and garage – Withdrawn 01/06/17</w:t>
      </w:r>
    </w:p>
    <w:p w:rsidR="00625504" w:rsidRPr="00AF3FE4" w:rsidRDefault="00625504" w:rsidP="00AF3FE4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>Summary of Consultations</w:t>
      </w:r>
    </w:p>
    <w:p w:rsidR="00625504" w:rsidRPr="00AF3FE4" w:rsidRDefault="00625504" w:rsidP="00AF3FE4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hAnsi="Trebuchet MS"/>
          <w:sz w:val="24"/>
          <w:szCs w:val="24"/>
        </w:rPr>
        <w:t>No consultations were undertaken as it is not required for an application of this type.</w:t>
      </w:r>
    </w:p>
    <w:p w:rsidR="00625504" w:rsidRPr="00AF3FE4" w:rsidRDefault="00625504" w:rsidP="00AF3FE4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>Relevant Planning Policy and Guidance</w:t>
      </w:r>
    </w:p>
    <w:p w:rsidR="00625504" w:rsidRPr="00AF3FE4" w:rsidRDefault="0022790B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>National Planning Practice Guidance</w:t>
      </w:r>
    </w:p>
    <w:p w:rsidR="00625504" w:rsidRPr="00AF3FE4" w:rsidRDefault="00625504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>The Town and Country Planning (General Permitted Development) (England) Order 2015 (GPDO)</w:t>
      </w:r>
    </w:p>
    <w:p w:rsidR="00625504" w:rsidRPr="00AF3FE4" w:rsidRDefault="00625504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>Permitted development rights for householders</w:t>
      </w:r>
      <w:r w:rsidR="00246D7F">
        <w:rPr>
          <w:rFonts w:ascii="Trebuchet MS" w:eastAsia="Times New Roman" w:hAnsi="Trebuchet MS"/>
          <w:color w:val="000000"/>
          <w:sz w:val="24"/>
          <w:szCs w:val="24"/>
        </w:rPr>
        <w:t xml:space="preserve"> – Technical Guidance April 2017</w:t>
      </w:r>
    </w:p>
    <w:p w:rsidR="00625504" w:rsidRPr="00AF3FE4" w:rsidRDefault="00625504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b/>
          <w:color w:val="000000"/>
          <w:sz w:val="24"/>
          <w:szCs w:val="24"/>
        </w:rPr>
        <w:t>Assessment</w:t>
      </w:r>
    </w:p>
    <w:p w:rsidR="00625504" w:rsidRPr="00AF3FE4" w:rsidRDefault="00625504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 Certificate of Lawfulness for a proposed development has been submitted as the applicant considers the proposal falls within the permitted development rights of the property. </w:t>
      </w:r>
    </w:p>
    <w:p w:rsidR="00625504" w:rsidRPr="00AF3FE4" w:rsidRDefault="00625504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>The proposed</w:t>
      </w:r>
      <w:r w:rsidR="00075F51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r w:rsidR="008B69DB">
        <w:rPr>
          <w:rFonts w:ascii="Trebuchet MS" w:eastAsia="Times New Roman" w:hAnsi="Trebuchet MS"/>
          <w:color w:val="000000"/>
          <w:sz w:val="24"/>
          <w:szCs w:val="24"/>
        </w:rPr>
        <w:t xml:space="preserve">outbuilding 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>must be assessed to ensure that it complie</w:t>
      </w:r>
      <w:r w:rsidR="008B69DB">
        <w:rPr>
          <w:rFonts w:ascii="Trebuchet MS" w:eastAsia="Times New Roman" w:hAnsi="Trebuchet MS"/>
          <w:color w:val="000000"/>
          <w:sz w:val="24"/>
          <w:szCs w:val="24"/>
        </w:rPr>
        <w:t>s with the conditions of Class E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>, Part 1, Schedule 2 of the Town and Country Planning (General Permitted Development) (England</w:t>
      </w:r>
      <w:r w:rsidR="008B69DB">
        <w:rPr>
          <w:rFonts w:ascii="Trebuchet MS" w:eastAsia="Times New Roman" w:hAnsi="Trebuchet MS"/>
          <w:color w:val="000000"/>
          <w:sz w:val="24"/>
          <w:szCs w:val="24"/>
        </w:rPr>
        <w:t xml:space="preserve">) Order 2015, which relates to ‘buildings </w:t>
      </w:r>
      <w:proofErr w:type="spellStart"/>
      <w:r w:rsidR="008B69DB">
        <w:rPr>
          <w:rFonts w:ascii="Trebuchet MS" w:eastAsia="Times New Roman" w:hAnsi="Trebuchet MS"/>
          <w:color w:val="000000"/>
          <w:sz w:val="24"/>
          <w:szCs w:val="24"/>
        </w:rPr>
        <w:t>etc</w:t>
      </w:r>
      <w:proofErr w:type="spellEnd"/>
      <w:r w:rsidR="008B69DB">
        <w:rPr>
          <w:rFonts w:ascii="Trebuchet MS" w:eastAsia="Times New Roman" w:hAnsi="Trebuchet MS"/>
          <w:color w:val="000000"/>
          <w:sz w:val="24"/>
          <w:szCs w:val="24"/>
        </w:rPr>
        <w:t xml:space="preserve"> incidental to the enjoyment of a dwellinghouse’.</w:t>
      </w:r>
    </w:p>
    <w:p w:rsidR="00625504" w:rsidRPr="00AF3FE4" w:rsidRDefault="00625504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>The releva</w:t>
      </w:r>
      <w:r w:rsidR="00C45D37">
        <w:rPr>
          <w:rFonts w:ascii="Trebuchet MS" w:eastAsia="Times New Roman" w:hAnsi="Trebuchet MS"/>
          <w:color w:val="000000"/>
          <w:sz w:val="24"/>
          <w:szCs w:val="24"/>
        </w:rPr>
        <w:t>nt conditions of the GPDO for an outbuilding</w:t>
      </w:r>
      <w:bookmarkStart w:id="0" w:name="_GoBack"/>
      <w:bookmarkEnd w:id="0"/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, which is not listed or in a conservation area, are as follows: </w:t>
      </w:r>
    </w:p>
    <w:p w:rsidR="003D179A" w:rsidRDefault="003D179A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>E.1 Development is not permitted by Class E if:</w:t>
      </w:r>
    </w:p>
    <w:p w:rsidR="003D179A" w:rsidRPr="008B69DB" w:rsidRDefault="003D179A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>E.1 (a) permission to use the dwellinghouse as a dwellinghouse has been granted only by virtue of Class M, N, P or Q of Part 3 of this Schedule (changes of use);</w:t>
      </w:r>
      <w:r w:rsidR="008B69DB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r w:rsidR="008B69DB"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3D179A" w:rsidRPr="008B69DB" w:rsidRDefault="003D179A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>E.1 (b) the total area of ground covered by buildings, enclosures and containers within the curtilage (other than the original dwellinghouse) would exceed 50% of the total area of the curtilage (excluding the ground area of the original dwellinghouse);</w:t>
      </w:r>
      <w:r w:rsidR="008B69DB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r w:rsidR="008B69DB"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3D179A" w:rsidRPr="008B69DB" w:rsidRDefault="003D179A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>E.1 (c) any part of the building, enclosure, pool or container would be situated on land forward of a wall forming the principal elevation of the original dwellinghouse;</w:t>
      </w:r>
      <w:r w:rsidR="008B69DB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r w:rsidR="008B69DB"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7B11DE" w:rsidRPr="008B69DB" w:rsidRDefault="003D179A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>E.1 (d) the building would have more than a single storey</w:t>
      </w:r>
      <w:r w:rsidR="007B11DE">
        <w:rPr>
          <w:rFonts w:ascii="Trebuchet MS" w:eastAsia="Times New Roman" w:hAnsi="Trebuchet MS"/>
          <w:color w:val="000000"/>
          <w:sz w:val="24"/>
          <w:szCs w:val="24"/>
        </w:rPr>
        <w:t>;</w:t>
      </w:r>
      <w:r w:rsidR="008B69DB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r w:rsidR="008B69DB"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7B11DE" w:rsidRPr="008B69DB" w:rsidRDefault="007B11DE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>E.1 (e) the height of the building, enclosure or container would exceed (</w:t>
      </w:r>
      <w:proofErr w:type="spellStart"/>
      <w:r>
        <w:rPr>
          <w:rFonts w:ascii="Trebuchet MS" w:eastAsia="Times New Roman" w:hAnsi="Trebuchet MS"/>
          <w:color w:val="000000"/>
          <w:sz w:val="24"/>
          <w:szCs w:val="24"/>
        </w:rPr>
        <w:t>i</w:t>
      </w:r>
      <w:proofErr w:type="spellEnd"/>
      <w:r>
        <w:rPr>
          <w:rFonts w:ascii="Trebuchet MS" w:eastAsia="Times New Roman" w:hAnsi="Trebuchet MS"/>
          <w:color w:val="000000"/>
          <w:sz w:val="24"/>
          <w:szCs w:val="24"/>
        </w:rPr>
        <w:t xml:space="preserve">) 4 metres in the case of a building with a dual-pitched roof, </w:t>
      </w:r>
      <w:r w:rsidR="008B69DB">
        <w:rPr>
          <w:rFonts w:ascii="Trebuchet MS" w:eastAsia="Times New Roman" w:hAnsi="Trebuchet MS"/>
          <w:b/>
          <w:color w:val="000000"/>
          <w:sz w:val="24"/>
          <w:szCs w:val="24"/>
        </w:rPr>
        <w:t xml:space="preserve">n/a </w:t>
      </w:r>
      <w:r>
        <w:rPr>
          <w:rFonts w:ascii="Trebuchet MS" w:eastAsia="Times New Roman" w:hAnsi="Trebuchet MS"/>
          <w:color w:val="000000"/>
          <w:sz w:val="24"/>
          <w:szCs w:val="24"/>
        </w:rPr>
        <w:t xml:space="preserve">(ii) 2.5 metres in the case of a building, enclosure or container within 2 metres of the boundary of the curtilage of the dwellinghouse, </w:t>
      </w:r>
      <w:r w:rsidR="008B69DB">
        <w:rPr>
          <w:rFonts w:ascii="Trebuchet MS" w:eastAsia="Times New Roman" w:hAnsi="Trebuchet MS"/>
          <w:b/>
          <w:color w:val="000000"/>
          <w:sz w:val="24"/>
          <w:szCs w:val="24"/>
        </w:rPr>
        <w:t xml:space="preserve">complies </w:t>
      </w:r>
      <w:r>
        <w:rPr>
          <w:rFonts w:ascii="Trebuchet MS" w:eastAsia="Times New Roman" w:hAnsi="Trebuchet MS"/>
          <w:color w:val="000000"/>
          <w:sz w:val="24"/>
          <w:szCs w:val="24"/>
        </w:rPr>
        <w:t>or (iii) 3 metres in any other case;</w:t>
      </w:r>
      <w:r w:rsidR="008B69DB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r w:rsidR="008B69DB">
        <w:rPr>
          <w:rFonts w:ascii="Trebuchet MS" w:eastAsia="Times New Roman" w:hAnsi="Trebuchet MS"/>
          <w:b/>
          <w:color w:val="000000"/>
          <w:sz w:val="24"/>
          <w:szCs w:val="24"/>
        </w:rPr>
        <w:t>n/a</w:t>
      </w:r>
    </w:p>
    <w:p w:rsidR="007B11DE" w:rsidRPr="008B69DB" w:rsidRDefault="007B11DE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>E.1 (f) the height of the eaves of the building would exceed 2.5 metres;</w:t>
      </w:r>
      <w:r w:rsidR="008B69DB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r w:rsidR="008B69DB"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7B11DE" w:rsidRPr="008B69DB" w:rsidRDefault="007B11DE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lastRenderedPageBreak/>
        <w:t xml:space="preserve">E.1 (g) the building, enclosure, pool or container would be situated within the curtilage of a listed building; </w:t>
      </w:r>
      <w:r w:rsidR="008B69DB"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7B11DE" w:rsidRPr="008B69DB" w:rsidRDefault="007B11DE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>E.1 (h) it would include the construction or provision of a verandah, balcony or raised platform;</w:t>
      </w:r>
      <w:r w:rsidR="008B69DB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r w:rsidR="008B69DB"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7B11DE" w:rsidRDefault="007B11DE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>E.1 (</w:t>
      </w:r>
      <w:proofErr w:type="spellStart"/>
      <w:r>
        <w:rPr>
          <w:rFonts w:ascii="Trebuchet MS" w:eastAsia="Times New Roman" w:hAnsi="Trebuchet MS"/>
          <w:color w:val="000000"/>
          <w:sz w:val="24"/>
          <w:szCs w:val="24"/>
        </w:rPr>
        <w:t>i</w:t>
      </w:r>
      <w:proofErr w:type="spellEnd"/>
      <w:r>
        <w:rPr>
          <w:rFonts w:ascii="Trebuchet MS" w:eastAsia="Times New Roman" w:hAnsi="Trebuchet MS"/>
          <w:color w:val="000000"/>
          <w:sz w:val="24"/>
          <w:szCs w:val="24"/>
        </w:rPr>
        <w:t xml:space="preserve">) it relates to a dwelling or a microwave antenna; </w:t>
      </w:r>
      <w:r w:rsidR="008B69DB">
        <w:rPr>
          <w:rFonts w:ascii="Trebuchet MS" w:eastAsia="Times New Roman" w:hAnsi="Trebuchet MS"/>
          <w:b/>
          <w:color w:val="000000"/>
          <w:sz w:val="24"/>
          <w:szCs w:val="24"/>
        </w:rPr>
        <w:t xml:space="preserve">complies </w:t>
      </w:r>
      <w:r>
        <w:rPr>
          <w:rFonts w:ascii="Trebuchet MS" w:eastAsia="Times New Roman" w:hAnsi="Trebuchet MS"/>
          <w:color w:val="000000"/>
          <w:sz w:val="24"/>
          <w:szCs w:val="24"/>
        </w:rPr>
        <w:t>or</w:t>
      </w:r>
    </w:p>
    <w:p w:rsidR="007B11DE" w:rsidRPr="008B69DB" w:rsidRDefault="007B11DE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>E.1 (j) the capacity of the container would exceed 3,500 litres.</w:t>
      </w:r>
      <w:r w:rsidR="008B69DB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r w:rsidR="008B69DB"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7B11DE" w:rsidRDefault="007B11DE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>E.2 In the case of any land within the curtilage of the dwellinghouse which is within:</w:t>
      </w:r>
    </w:p>
    <w:p w:rsidR="007B11DE" w:rsidRDefault="007B11DE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>(a) an area of outstanding natural beauty;</w:t>
      </w:r>
    </w:p>
    <w:p w:rsidR="007B11DE" w:rsidRDefault="007B11DE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>(b) the Broads;</w:t>
      </w:r>
    </w:p>
    <w:p w:rsidR="007B11DE" w:rsidRDefault="007B11DE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 xml:space="preserve">(c) a National Park; or </w:t>
      </w:r>
    </w:p>
    <w:p w:rsidR="007B11DE" w:rsidRDefault="007B11DE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>(d) a World Heritage Site,</w:t>
      </w:r>
    </w:p>
    <w:p w:rsidR="007B11DE" w:rsidRPr="008B69DB" w:rsidRDefault="007B11DE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>development is not permitted by Class E if the total area of ground covered by buildings, enclosures, pools and containers situated more than 20 metres from any wall of the dwellinghouse would exceed 10 square metres.</w:t>
      </w:r>
      <w:r w:rsidR="008B69DB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r w:rsidR="008B69DB"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3D179A" w:rsidRPr="008B69DB" w:rsidRDefault="007B11DE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 xml:space="preserve">E.3 In the case of any land within the curtilage of </w:t>
      </w:r>
      <w:r w:rsidR="0017663F">
        <w:rPr>
          <w:rFonts w:ascii="Trebuchet MS" w:eastAsia="Times New Roman" w:hAnsi="Trebuchet MS"/>
          <w:color w:val="000000"/>
          <w:sz w:val="24"/>
          <w:szCs w:val="24"/>
        </w:rPr>
        <w:t>the dwellinghouse which is article 2(3) land, development is not permitted by Class E if any part of the building, enclosure, pool or container would be situated on land between a wall forming a side elevation of the dwellinghouse and the boundary of the curtilage of the dwellinghouse.</w:t>
      </w:r>
      <w:r w:rsidR="008B69DB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r w:rsidR="008B69DB"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625504" w:rsidRPr="00AF3FE4" w:rsidRDefault="00625504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b/>
          <w:color w:val="000000"/>
          <w:sz w:val="24"/>
          <w:szCs w:val="24"/>
        </w:rPr>
        <w:t>Recommendation</w:t>
      </w:r>
    </w:p>
    <w:p w:rsidR="00625504" w:rsidRPr="00AF3FE4" w:rsidRDefault="00625504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>Sufficient evidence has been provided to demonstrate that a Certificate of Lawfulness sho</w:t>
      </w:r>
      <w:r w:rsidR="00075F51">
        <w:rPr>
          <w:rFonts w:ascii="Trebuchet MS" w:eastAsia="Times New Roman" w:hAnsi="Trebuchet MS"/>
          <w:color w:val="000000"/>
          <w:sz w:val="24"/>
          <w:szCs w:val="24"/>
        </w:rPr>
        <w:t xml:space="preserve">uld be granted for the proposed </w:t>
      </w:r>
      <w:r w:rsidR="008B69DB">
        <w:rPr>
          <w:rFonts w:ascii="Trebuchet MS" w:eastAsia="Times New Roman" w:hAnsi="Trebuchet MS"/>
          <w:color w:val="000000"/>
          <w:sz w:val="24"/>
          <w:szCs w:val="24"/>
        </w:rPr>
        <w:t>outbuilding.</w:t>
      </w:r>
    </w:p>
    <w:p w:rsidR="008B69DB" w:rsidRDefault="00625504" w:rsidP="008B69DB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eastAsia="Times New Roman" w:hAnsi="Trebuchet MS"/>
          <w:sz w:val="24"/>
          <w:szCs w:val="24"/>
        </w:rPr>
        <w:t xml:space="preserve">The proposal has been assessed against the Town and Country Planning Act 1990 (as amended) and Class </w:t>
      </w:r>
      <w:r w:rsidR="008B69DB">
        <w:rPr>
          <w:rFonts w:ascii="Trebuchet MS" w:eastAsia="Times New Roman" w:hAnsi="Trebuchet MS"/>
          <w:sz w:val="24"/>
          <w:szCs w:val="24"/>
        </w:rPr>
        <w:t>E</w:t>
      </w:r>
      <w:r w:rsidRPr="00AF3FE4">
        <w:rPr>
          <w:rFonts w:ascii="Trebuchet MS" w:eastAsia="Times New Roman" w:hAnsi="Trebuchet MS"/>
          <w:sz w:val="24"/>
          <w:szCs w:val="24"/>
        </w:rPr>
        <w:t>, Part 1, Schedule 2 of the Town and Country Planning (General Permitted Development) (England) Order 2015. It can be confirmed that the proposed operation would be lawful for planning purposes on the ba</w:t>
      </w:r>
      <w:r w:rsidR="00021541">
        <w:rPr>
          <w:rFonts w:ascii="Trebuchet MS" w:eastAsia="Times New Roman" w:hAnsi="Trebuchet MS"/>
          <w:sz w:val="24"/>
          <w:szCs w:val="24"/>
        </w:rPr>
        <w:t xml:space="preserve">sis of the drawings received on </w:t>
      </w:r>
      <w:r w:rsidR="008B69DB">
        <w:rPr>
          <w:rFonts w:ascii="Trebuchet MS" w:hAnsi="Trebuchet MS"/>
          <w:sz w:val="24"/>
          <w:szCs w:val="24"/>
        </w:rPr>
        <w:t>8</w:t>
      </w:r>
      <w:r w:rsidR="008B69DB" w:rsidRPr="003A5C9C">
        <w:rPr>
          <w:rFonts w:ascii="Trebuchet MS" w:hAnsi="Trebuchet MS"/>
          <w:sz w:val="24"/>
          <w:szCs w:val="24"/>
          <w:vertAlign w:val="superscript"/>
        </w:rPr>
        <w:t>th</w:t>
      </w:r>
      <w:r w:rsidR="008B69DB">
        <w:rPr>
          <w:rFonts w:ascii="Trebuchet MS" w:hAnsi="Trebuchet MS"/>
          <w:sz w:val="24"/>
          <w:szCs w:val="24"/>
        </w:rPr>
        <w:t xml:space="preserve"> June 2017:</w:t>
      </w:r>
    </w:p>
    <w:p w:rsidR="008B69DB" w:rsidRDefault="008B69DB" w:rsidP="008B69DB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Drawing No: PL/A347/104 – Site Location and Block Plan</w:t>
      </w:r>
    </w:p>
    <w:p w:rsidR="008B69DB" w:rsidRDefault="008B69DB" w:rsidP="008B69DB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Drawing No: PL/A347/101 – Existing and Proposed Ground Floor Plans</w:t>
      </w:r>
    </w:p>
    <w:p w:rsidR="008B69DB" w:rsidRDefault="008B69DB" w:rsidP="008B69DB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Drawing No: PL/A347/103 – Proposed Elevations</w:t>
      </w:r>
    </w:p>
    <w:p w:rsidR="008B69DB" w:rsidRPr="00AF3FE4" w:rsidRDefault="008B69DB" w:rsidP="008B69DB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Drawing No: PL/A347/105 – Existing and Proposed Site Plans</w:t>
      </w:r>
    </w:p>
    <w:p w:rsidR="00625504" w:rsidRPr="00AF3FE4" w:rsidRDefault="00625504" w:rsidP="00AF3FE4">
      <w:pPr>
        <w:spacing w:line="240" w:lineRule="auto"/>
        <w:rPr>
          <w:rFonts w:ascii="Trebuchet MS" w:eastAsia="Times New Roman" w:hAnsi="Trebuchet MS"/>
          <w:sz w:val="24"/>
          <w:szCs w:val="24"/>
        </w:rPr>
      </w:pPr>
      <w:r w:rsidRPr="00AF3FE4">
        <w:rPr>
          <w:rFonts w:ascii="Trebuchet MS" w:eastAsia="Times New Roman" w:hAnsi="Trebuchet MS"/>
          <w:sz w:val="24"/>
          <w:szCs w:val="24"/>
        </w:rPr>
        <w:t>Therefore the Local Planning Authority can issue the applicant with a Certificate of Lawfulness for the proposed development.</w:t>
      </w:r>
    </w:p>
    <w:p w:rsidR="00625504" w:rsidRDefault="00625504" w:rsidP="00AF3FE4">
      <w:pPr>
        <w:spacing w:line="240" w:lineRule="auto"/>
        <w:rPr>
          <w:rFonts w:ascii="Trebuchet MS" w:eastAsia="Times New Roman" w:hAnsi="Trebuchet MS"/>
          <w:b/>
          <w:sz w:val="24"/>
          <w:szCs w:val="24"/>
        </w:rPr>
      </w:pPr>
      <w:r w:rsidRPr="00AF3FE4">
        <w:rPr>
          <w:rFonts w:ascii="Trebuchet MS" w:eastAsia="Times New Roman" w:hAnsi="Trebuchet MS"/>
          <w:b/>
          <w:sz w:val="24"/>
          <w:szCs w:val="24"/>
        </w:rPr>
        <w:t>Informatives</w:t>
      </w:r>
    </w:p>
    <w:p w:rsidR="00021541" w:rsidRDefault="00021541" w:rsidP="00AF3FE4">
      <w:pPr>
        <w:spacing w:line="240" w:lineRule="auto"/>
        <w:rPr>
          <w:rFonts w:ascii="Trebuchet MS" w:eastAsia="Times New Roman" w:hAnsi="Trebuchet MS"/>
          <w:sz w:val="24"/>
          <w:szCs w:val="24"/>
        </w:rPr>
      </w:pPr>
      <w:r>
        <w:rPr>
          <w:rFonts w:ascii="Trebuchet MS" w:eastAsia="Times New Roman" w:hAnsi="Trebuchet MS"/>
          <w:sz w:val="24"/>
          <w:szCs w:val="24"/>
        </w:rPr>
        <w:lastRenderedPageBreak/>
        <w:t>Building Regulations</w:t>
      </w:r>
    </w:p>
    <w:p w:rsidR="00021541" w:rsidRDefault="00021541" w:rsidP="00AF3FE4">
      <w:pPr>
        <w:spacing w:line="240" w:lineRule="auto"/>
        <w:rPr>
          <w:rFonts w:ascii="Trebuchet MS" w:eastAsia="Times New Roman" w:hAnsi="Trebuchet MS"/>
          <w:sz w:val="24"/>
          <w:szCs w:val="24"/>
        </w:rPr>
      </w:pPr>
      <w:r>
        <w:rPr>
          <w:rFonts w:ascii="Trebuchet MS" w:eastAsia="Times New Roman" w:hAnsi="Trebuchet MS"/>
          <w:sz w:val="24"/>
          <w:szCs w:val="24"/>
        </w:rPr>
        <w:t>Encroachment and Party Wall Act</w:t>
      </w:r>
    </w:p>
    <w:p w:rsidR="00021541" w:rsidRDefault="00021541" w:rsidP="00AF3FE4">
      <w:pPr>
        <w:spacing w:line="240" w:lineRule="auto"/>
        <w:rPr>
          <w:rFonts w:ascii="Trebuchet MS" w:eastAsia="Times New Roman" w:hAnsi="Trebuchet MS"/>
          <w:sz w:val="24"/>
          <w:szCs w:val="24"/>
        </w:rPr>
      </w:pPr>
      <w:r>
        <w:rPr>
          <w:rFonts w:ascii="Trebuchet MS" w:eastAsia="Times New Roman" w:hAnsi="Trebuchet MS"/>
          <w:sz w:val="24"/>
          <w:szCs w:val="24"/>
        </w:rPr>
        <w:t>Construction and Demolition</w:t>
      </w:r>
    </w:p>
    <w:p w:rsidR="00021541" w:rsidRDefault="00021541" w:rsidP="00AF3FE4">
      <w:pPr>
        <w:spacing w:line="240" w:lineRule="auto"/>
        <w:rPr>
          <w:rFonts w:ascii="Trebuchet MS" w:eastAsia="Times New Roman" w:hAnsi="Trebuchet MS"/>
          <w:sz w:val="24"/>
          <w:szCs w:val="24"/>
        </w:rPr>
      </w:pPr>
      <w:r>
        <w:rPr>
          <w:rFonts w:ascii="Trebuchet MS" w:eastAsia="Times New Roman" w:hAnsi="Trebuchet MS"/>
          <w:sz w:val="24"/>
          <w:szCs w:val="24"/>
        </w:rPr>
        <w:t>Materials</w:t>
      </w:r>
    </w:p>
    <w:p w:rsidR="00021541" w:rsidRPr="00021541" w:rsidRDefault="008B69DB" w:rsidP="00AF3FE4">
      <w:pPr>
        <w:spacing w:line="240" w:lineRule="auto"/>
        <w:rPr>
          <w:rFonts w:ascii="Trebuchet MS" w:eastAsia="Times New Roman" w:hAnsi="Trebuchet MS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774B10C3" wp14:editId="15CF0F7D">
            <wp:extent cx="5029200" cy="703761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7037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21541" w:rsidRPr="000215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90B" w:rsidRDefault="0022790B" w:rsidP="0022790B">
      <w:pPr>
        <w:spacing w:after="0" w:line="240" w:lineRule="auto"/>
      </w:pPr>
      <w:r>
        <w:separator/>
      </w:r>
    </w:p>
  </w:endnote>
  <w:endnote w:type="continuationSeparator" w:id="0">
    <w:p w:rsidR="0022790B" w:rsidRDefault="0022790B" w:rsidP="00227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90B" w:rsidRDefault="0022790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90B" w:rsidRDefault="0022790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90B" w:rsidRDefault="002279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90B" w:rsidRDefault="0022790B" w:rsidP="0022790B">
      <w:pPr>
        <w:spacing w:after="0" w:line="240" w:lineRule="auto"/>
      </w:pPr>
      <w:r>
        <w:separator/>
      </w:r>
    </w:p>
  </w:footnote>
  <w:footnote w:type="continuationSeparator" w:id="0">
    <w:p w:rsidR="0022790B" w:rsidRDefault="0022790B" w:rsidP="002279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90B" w:rsidRDefault="0022790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90B" w:rsidRDefault="0022790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90B" w:rsidRDefault="0022790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F79DD"/>
    <w:multiLevelType w:val="hybridMultilevel"/>
    <w:tmpl w:val="7D8C07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CD0831"/>
    <w:multiLevelType w:val="hybridMultilevel"/>
    <w:tmpl w:val="BCD6D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B12E39"/>
    <w:multiLevelType w:val="hybridMultilevel"/>
    <w:tmpl w:val="DDDAA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E23EFA"/>
    <w:multiLevelType w:val="hybridMultilevel"/>
    <w:tmpl w:val="71508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A052E5"/>
    <w:multiLevelType w:val="hybridMultilevel"/>
    <w:tmpl w:val="B21A1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9A3201"/>
    <w:multiLevelType w:val="hybridMultilevel"/>
    <w:tmpl w:val="0F9C3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FA3ADC"/>
    <w:multiLevelType w:val="hybridMultilevel"/>
    <w:tmpl w:val="7B3C5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9C3EEB"/>
    <w:multiLevelType w:val="hybridMultilevel"/>
    <w:tmpl w:val="161E0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5504"/>
    <w:rsid w:val="00021541"/>
    <w:rsid w:val="00037BAF"/>
    <w:rsid w:val="0007503E"/>
    <w:rsid w:val="00075F51"/>
    <w:rsid w:val="000E5A3F"/>
    <w:rsid w:val="0014241C"/>
    <w:rsid w:val="0017663F"/>
    <w:rsid w:val="001830CF"/>
    <w:rsid w:val="00215C25"/>
    <w:rsid w:val="00225DA7"/>
    <w:rsid w:val="0022790B"/>
    <w:rsid w:val="00246D7F"/>
    <w:rsid w:val="00270CCE"/>
    <w:rsid w:val="003065BE"/>
    <w:rsid w:val="003A5C9C"/>
    <w:rsid w:val="003C6957"/>
    <w:rsid w:val="003D179A"/>
    <w:rsid w:val="00407804"/>
    <w:rsid w:val="0041701F"/>
    <w:rsid w:val="00533A7D"/>
    <w:rsid w:val="005B391B"/>
    <w:rsid w:val="00625504"/>
    <w:rsid w:val="006970F4"/>
    <w:rsid w:val="006A17A0"/>
    <w:rsid w:val="006A5B04"/>
    <w:rsid w:val="007B11DE"/>
    <w:rsid w:val="007F7924"/>
    <w:rsid w:val="008A59CB"/>
    <w:rsid w:val="008B69DB"/>
    <w:rsid w:val="008D7E13"/>
    <w:rsid w:val="00912B7D"/>
    <w:rsid w:val="009A3326"/>
    <w:rsid w:val="009F782D"/>
    <w:rsid w:val="00AF3FE4"/>
    <w:rsid w:val="00BC092F"/>
    <w:rsid w:val="00C40D2F"/>
    <w:rsid w:val="00C45D37"/>
    <w:rsid w:val="00D330DE"/>
    <w:rsid w:val="00E1716B"/>
    <w:rsid w:val="00E3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5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55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55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54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79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90B"/>
  </w:style>
  <w:style w:type="paragraph" w:styleId="Footer">
    <w:name w:val="footer"/>
    <w:basedOn w:val="Normal"/>
    <w:link w:val="FooterChar"/>
    <w:uiPriority w:val="99"/>
    <w:unhideWhenUsed/>
    <w:rsid w:val="002279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9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84B44AF4</Template>
  <TotalTime>3</TotalTime>
  <Pages>4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6460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3</cp:revision>
  <dcterms:created xsi:type="dcterms:W3CDTF">2017-06-26T13:54:00Z</dcterms:created>
  <dcterms:modified xsi:type="dcterms:W3CDTF">2017-06-26T14:03:00Z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2017-04-03T12:34:41Z</vt:filetime>
  </property>
</Properties>
</file>