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5E8E" w:rsidRPr="00AC4E10" w:rsidRDefault="004D5E8E" w:rsidP="004D5E8E">
      <w:pPr>
        <w:rPr>
          <w:rFonts w:ascii="Verdana" w:hAnsi="Verdana"/>
          <w:b/>
          <w:sz w:val="20"/>
          <w:szCs w:val="20"/>
        </w:rPr>
      </w:pPr>
      <w:r w:rsidRPr="00AC4E10">
        <w:rPr>
          <w:rFonts w:ascii="Verdana" w:hAnsi="Verdana"/>
          <w:b/>
          <w:sz w:val="20"/>
          <w:szCs w:val="20"/>
        </w:rPr>
        <w:t>DELEGATED APPLICATION REPORT</w:t>
      </w:r>
    </w:p>
    <w:p w:rsidR="004D5E8E" w:rsidRPr="00AC4E10" w:rsidRDefault="004D5E8E" w:rsidP="004D5E8E">
      <w:pPr>
        <w:rPr>
          <w:rFonts w:ascii="Verdana" w:hAnsi="Verdana"/>
          <w:b/>
          <w:sz w:val="20"/>
          <w:szCs w:val="20"/>
        </w:rPr>
      </w:pPr>
      <w:r>
        <w:rPr>
          <w:rFonts w:ascii="Verdana" w:hAnsi="Verdana"/>
          <w:b/>
          <w:sz w:val="20"/>
          <w:szCs w:val="20"/>
        </w:rPr>
        <w:t>SITE ADDRESS:</w:t>
      </w:r>
      <w:r>
        <w:rPr>
          <w:rFonts w:ascii="Verdana" w:hAnsi="Verdana"/>
          <w:b/>
          <w:sz w:val="20"/>
          <w:szCs w:val="20"/>
        </w:rPr>
        <w:tab/>
      </w:r>
      <w:r w:rsidR="009145B9">
        <w:rPr>
          <w:rFonts w:ascii="Verdana" w:hAnsi="Verdana"/>
          <w:b/>
          <w:sz w:val="20"/>
          <w:szCs w:val="20"/>
        </w:rPr>
        <w:t>Broad St Mall</w:t>
      </w:r>
    </w:p>
    <w:p w:rsidR="004D5E8E" w:rsidRPr="00AC4E10" w:rsidRDefault="004D5E8E" w:rsidP="004D5E8E">
      <w:pPr>
        <w:rPr>
          <w:rFonts w:ascii="Verdana" w:hAnsi="Verdana"/>
          <w:b/>
          <w:sz w:val="20"/>
          <w:szCs w:val="20"/>
        </w:rPr>
      </w:pPr>
      <w:r w:rsidRPr="00AC4E10">
        <w:rPr>
          <w:rFonts w:ascii="Verdana" w:hAnsi="Verdana"/>
          <w:b/>
          <w:sz w:val="20"/>
          <w:szCs w:val="20"/>
        </w:rPr>
        <w:t xml:space="preserve">APPLICATION NUMBER: </w:t>
      </w:r>
      <w:r w:rsidRPr="00AC4E10">
        <w:rPr>
          <w:rFonts w:ascii="Verdana" w:hAnsi="Verdana"/>
          <w:b/>
          <w:sz w:val="20"/>
          <w:szCs w:val="20"/>
        </w:rPr>
        <w:tab/>
      </w:r>
      <w:r w:rsidR="009145B9">
        <w:rPr>
          <w:rFonts w:ascii="Verdana" w:hAnsi="Verdana"/>
          <w:b/>
          <w:sz w:val="20"/>
          <w:szCs w:val="20"/>
        </w:rPr>
        <w:t>171559</w:t>
      </w:r>
    </w:p>
    <w:p w:rsidR="004D5E8E" w:rsidRPr="00AC4E10" w:rsidRDefault="009145B9" w:rsidP="004D5E8E">
      <w:pPr>
        <w:rPr>
          <w:rFonts w:ascii="Verdana" w:hAnsi="Verdana"/>
          <w:b/>
          <w:sz w:val="20"/>
          <w:szCs w:val="20"/>
        </w:rPr>
      </w:pPr>
      <w:r>
        <w:rPr>
          <w:rFonts w:ascii="Verdana" w:hAnsi="Verdana"/>
          <w:b/>
          <w:sz w:val="20"/>
          <w:szCs w:val="20"/>
        </w:rPr>
        <w:t xml:space="preserve">PROPOSAL: </w:t>
      </w:r>
      <w:r>
        <w:rPr>
          <w:rFonts w:ascii="Verdana" w:hAnsi="Verdana"/>
          <w:b/>
          <w:sz w:val="20"/>
          <w:szCs w:val="20"/>
        </w:rPr>
        <w:tab/>
      </w:r>
      <w:r w:rsidRPr="009145B9">
        <w:rPr>
          <w:rFonts w:ascii="Verdana" w:hAnsi="Verdana"/>
          <w:b/>
          <w:sz w:val="20"/>
          <w:szCs w:val="20"/>
        </w:rPr>
        <w:t>Installation of new lighting to existing car park facade</w:t>
      </w:r>
    </w:p>
    <w:p w:rsidR="004D5E8E" w:rsidRPr="00AC4E10" w:rsidRDefault="004D5E8E" w:rsidP="004D5E8E">
      <w:pPr>
        <w:rPr>
          <w:rFonts w:ascii="Verdana" w:hAnsi="Verdana"/>
          <w:sz w:val="20"/>
          <w:szCs w:val="20"/>
        </w:rPr>
      </w:pPr>
    </w:p>
    <w:p w:rsidR="004D5E8E" w:rsidRPr="00AC4E10" w:rsidRDefault="004D5E8E" w:rsidP="004D5E8E">
      <w:pPr>
        <w:rPr>
          <w:rFonts w:ascii="Verdana" w:hAnsi="Verdana"/>
          <w:sz w:val="20"/>
          <w:szCs w:val="20"/>
        </w:rPr>
      </w:pPr>
      <w:r w:rsidRPr="00AC4E10">
        <w:rPr>
          <w:rFonts w:ascii="Verdana" w:hAnsi="Verdana"/>
          <w:sz w:val="20"/>
          <w:szCs w:val="20"/>
        </w:rPr>
        <w:t>RELEVANT POLICIES AND SUPPLEMENTARY PLANNING GUIDANCE</w:t>
      </w:r>
    </w:p>
    <w:p w:rsidR="004D5E8E" w:rsidRPr="00AC4E10" w:rsidRDefault="004D5E8E" w:rsidP="004D5E8E">
      <w:pPr>
        <w:rPr>
          <w:rFonts w:ascii="Verdana" w:hAnsi="Verdana"/>
          <w:sz w:val="20"/>
          <w:szCs w:val="20"/>
        </w:rPr>
      </w:pPr>
      <w:r w:rsidRPr="00AC4E10">
        <w:rPr>
          <w:rFonts w:ascii="Verdana" w:hAnsi="Verdana"/>
          <w:sz w:val="20"/>
          <w:szCs w:val="20"/>
        </w:rPr>
        <w:t xml:space="preserve">Legal and Planning Policy Context </w:t>
      </w:r>
    </w:p>
    <w:p w:rsidR="004D5E8E" w:rsidRPr="00AC4E10" w:rsidRDefault="004D5E8E" w:rsidP="004D5E8E">
      <w:pPr>
        <w:rPr>
          <w:rFonts w:ascii="Verdana" w:hAnsi="Verdana"/>
          <w:sz w:val="20"/>
          <w:szCs w:val="20"/>
        </w:rPr>
      </w:pPr>
      <w:r w:rsidRPr="00AC4E10">
        <w:rPr>
          <w:rFonts w:ascii="Verdana" w:hAnsi="Verdana"/>
          <w:sz w:val="20"/>
          <w:szCs w:val="20"/>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r>
        <w:rPr>
          <w:rFonts w:ascii="Verdana" w:hAnsi="Verdana"/>
          <w:sz w:val="20"/>
          <w:szCs w:val="20"/>
        </w:rPr>
        <w:t xml:space="preserve">  </w:t>
      </w:r>
      <w:r w:rsidRPr="00AC4E10">
        <w:rPr>
          <w:rFonts w:ascii="Verdana" w:hAnsi="Verdana"/>
          <w:sz w:val="20"/>
          <w:szCs w:val="20"/>
        </w:rPr>
        <w:t>In this regard, the NPPF states that due weight should be given to the adopted policies of the Local Development Framework (LDF) (Core Strategy and Sites and Detailed Policies Document) according to their degree of consistency with the NPPF (the closer the policies in the plan to the policies in the NPPF, the greater the weight that may be given).</w:t>
      </w:r>
      <w:r>
        <w:rPr>
          <w:rFonts w:ascii="Verdana" w:hAnsi="Verdana"/>
          <w:sz w:val="20"/>
          <w:szCs w:val="20"/>
        </w:rPr>
        <w:t xml:space="preserve">  </w:t>
      </w:r>
      <w:r w:rsidRPr="00AC4E10">
        <w:rPr>
          <w:rFonts w:ascii="Verdana" w:hAnsi="Verdana"/>
          <w:sz w:val="20"/>
          <w:szCs w:val="20"/>
        </w:rPr>
        <w:t xml:space="preserve">The Council's adopted Supplementary Planning Guidance and Supplementary Planning Documents are also material planning considerations.    </w:t>
      </w:r>
    </w:p>
    <w:p w:rsidR="004D5E8E" w:rsidRPr="00AC4E10" w:rsidRDefault="004D5E8E" w:rsidP="004D5E8E">
      <w:pPr>
        <w:rPr>
          <w:rFonts w:ascii="Verdana" w:hAnsi="Verdana"/>
          <w:sz w:val="20"/>
          <w:szCs w:val="20"/>
        </w:rPr>
      </w:pPr>
    </w:p>
    <w:p w:rsidR="004D5E8E" w:rsidRDefault="004D5E8E" w:rsidP="004D5E8E">
      <w:pPr>
        <w:rPr>
          <w:rFonts w:ascii="Verdana" w:hAnsi="Verdana"/>
          <w:sz w:val="20"/>
          <w:szCs w:val="20"/>
        </w:rPr>
      </w:pPr>
      <w:r w:rsidRPr="00AC4E10">
        <w:rPr>
          <w:rFonts w:ascii="Verdana" w:hAnsi="Verdana"/>
          <w:sz w:val="20"/>
          <w:szCs w:val="20"/>
        </w:rPr>
        <w:t>Accordingly, the National Planning Policy Framework and the following development plan policies and supplementary planning guidance are relevant:</w:t>
      </w:r>
    </w:p>
    <w:p w:rsidR="004D5E8E" w:rsidRPr="00AC4E10" w:rsidRDefault="004D5E8E" w:rsidP="004D5E8E">
      <w:pPr>
        <w:rPr>
          <w:rFonts w:ascii="Verdana" w:hAnsi="Verdana"/>
          <w:sz w:val="20"/>
          <w:szCs w:val="20"/>
        </w:rPr>
      </w:pPr>
    </w:p>
    <w:p w:rsidR="004D5E8E" w:rsidRPr="00AC4E10" w:rsidRDefault="004D5E8E" w:rsidP="004D5E8E">
      <w:pPr>
        <w:rPr>
          <w:rFonts w:ascii="Verdana" w:hAnsi="Verdana"/>
          <w:sz w:val="20"/>
          <w:szCs w:val="20"/>
          <w:u w:val="single"/>
        </w:rPr>
      </w:pPr>
      <w:r w:rsidRPr="00AC4E10">
        <w:rPr>
          <w:rFonts w:ascii="Verdana" w:hAnsi="Verdana"/>
          <w:sz w:val="20"/>
          <w:szCs w:val="20"/>
          <w:u w:val="single"/>
        </w:rPr>
        <w:t>National Planning Policy Framework (NPPF)</w:t>
      </w:r>
    </w:p>
    <w:p w:rsidR="004D5E8E" w:rsidRDefault="004D5E8E" w:rsidP="00860085">
      <w:pPr>
        <w:pStyle w:val="ListParagraph"/>
        <w:numPr>
          <w:ilvl w:val="0"/>
          <w:numId w:val="1"/>
        </w:numPr>
        <w:ind w:left="426" w:hanging="426"/>
        <w:rPr>
          <w:rFonts w:ascii="Verdana" w:hAnsi="Verdana"/>
          <w:sz w:val="20"/>
          <w:szCs w:val="20"/>
        </w:rPr>
      </w:pPr>
      <w:r>
        <w:rPr>
          <w:rFonts w:ascii="Verdana" w:hAnsi="Verdana"/>
          <w:sz w:val="20"/>
          <w:szCs w:val="20"/>
        </w:rPr>
        <w:t>Ensuring the viability of town centres</w:t>
      </w:r>
    </w:p>
    <w:p w:rsidR="004D5E8E" w:rsidRDefault="004D5E8E" w:rsidP="00860085">
      <w:pPr>
        <w:ind w:hanging="66"/>
        <w:rPr>
          <w:rFonts w:ascii="Verdana" w:hAnsi="Verdana"/>
          <w:sz w:val="20"/>
          <w:szCs w:val="20"/>
        </w:rPr>
      </w:pPr>
      <w:r>
        <w:rPr>
          <w:rFonts w:ascii="Verdana" w:hAnsi="Verdana"/>
          <w:sz w:val="20"/>
          <w:szCs w:val="20"/>
        </w:rPr>
        <w:t>7. Requiring good design</w:t>
      </w:r>
    </w:p>
    <w:p w:rsidR="0063564E" w:rsidRDefault="0063564E" w:rsidP="004D5E8E">
      <w:pPr>
        <w:rPr>
          <w:rFonts w:ascii="Verdana" w:hAnsi="Verdana"/>
          <w:sz w:val="20"/>
          <w:szCs w:val="20"/>
          <w:u w:val="single"/>
        </w:rPr>
      </w:pPr>
    </w:p>
    <w:p w:rsidR="004D5E8E" w:rsidRPr="00AC4E10" w:rsidRDefault="004D5E8E" w:rsidP="004D5E8E">
      <w:pPr>
        <w:rPr>
          <w:rFonts w:ascii="Verdana" w:hAnsi="Verdana"/>
          <w:sz w:val="20"/>
          <w:szCs w:val="20"/>
          <w:u w:val="single"/>
        </w:rPr>
      </w:pPr>
      <w:r w:rsidRPr="00AC4E10">
        <w:rPr>
          <w:rFonts w:ascii="Verdana" w:hAnsi="Verdana"/>
          <w:sz w:val="20"/>
          <w:szCs w:val="20"/>
          <w:u w:val="single"/>
        </w:rPr>
        <w:t>Reading Borough LDF: Core Strategy (2008)</w:t>
      </w:r>
    </w:p>
    <w:p w:rsidR="004D5E8E" w:rsidRDefault="0063564E" w:rsidP="004D5E8E">
      <w:pPr>
        <w:rPr>
          <w:rFonts w:ascii="Verdana" w:hAnsi="Verdana"/>
          <w:sz w:val="20"/>
          <w:szCs w:val="20"/>
        </w:rPr>
      </w:pPr>
      <w:r>
        <w:rPr>
          <w:rFonts w:ascii="Verdana" w:hAnsi="Verdana"/>
          <w:sz w:val="20"/>
          <w:szCs w:val="20"/>
        </w:rPr>
        <w:t>CS7 (Design and the Public Realm)</w:t>
      </w:r>
    </w:p>
    <w:p w:rsidR="0063564E" w:rsidRDefault="009213B5" w:rsidP="004D5E8E">
      <w:pPr>
        <w:rPr>
          <w:rFonts w:ascii="Verdana" w:hAnsi="Verdana"/>
          <w:sz w:val="20"/>
          <w:szCs w:val="20"/>
        </w:rPr>
      </w:pPr>
      <w:r>
        <w:rPr>
          <w:rFonts w:ascii="Verdana" w:hAnsi="Verdana"/>
          <w:sz w:val="20"/>
          <w:szCs w:val="20"/>
        </w:rPr>
        <w:t>CS33 (Protection and Enhancement of the Historic Environment)</w:t>
      </w:r>
    </w:p>
    <w:p w:rsidR="009213B5" w:rsidRDefault="009213B5" w:rsidP="004D5E8E">
      <w:pPr>
        <w:rPr>
          <w:rFonts w:ascii="Verdana" w:hAnsi="Verdana"/>
          <w:sz w:val="20"/>
          <w:szCs w:val="20"/>
        </w:rPr>
      </w:pPr>
    </w:p>
    <w:p w:rsidR="0063564E" w:rsidRDefault="0063564E" w:rsidP="004D5E8E">
      <w:pPr>
        <w:rPr>
          <w:rFonts w:ascii="Verdana" w:hAnsi="Verdana"/>
          <w:sz w:val="20"/>
          <w:szCs w:val="20"/>
          <w:u w:val="single"/>
        </w:rPr>
      </w:pPr>
      <w:r>
        <w:rPr>
          <w:rFonts w:ascii="Verdana" w:hAnsi="Verdana"/>
          <w:sz w:val="20"/>
          <w:szCs w:val="20"/>
          <w:u w:val="single"/>
        </w:rPr>
        <w:t>RCAAP</w:t>
      </w:r>
    </w:p>
    <w:p w:rsidR="0063564E" w:rsidRDefault="0063564E" w:rsidP="004D5E8E">
      <w:pPr>
        <w:rPr>
          <w:rFonts w:ascii="Verdana" w:hAnsi="Verdana"/>
          <w:sz w:val="20"/>
          <w:szCs w:val="20"/>
        </w:rPr>
      </w:pPr>
      <w:r>
        <w:rPr>
          <w:rFonts w:ascii="Verdana" w:hAnsi="Verdana"/>
          <w:sz w:val="20"/>
          <w:szCs w:val="20"/>
        </w:rPr>
        <w:t>RC</w:t>
      </w:r>
      <w:r w:rsidR="00144CB6">
        <w:rPr>
          <w:rFonts w:ascii="Verdana" w:hAnsi="Verdana"/>
          <w:sz w:val="20"/>
          <w:szCs w:val="20"/>
        </w:rPr>
        <w:t>2 (Development in the West Side MOA)</w:t>
      </w:r>
    </w:p>
    <w:p w:rsidR="0063564E" w:rsidRDefault="0063564E" w:rsidP="004D5E8E">
      <w:pPr>
        <w:rPr>
          <w:rFonts w:ascii="Verdana" w:hAnsi="Verdana"/>
          <w:sz w:val="20"/>
          <w:szCs w:val="20"/>
        </w:rPr>
      </w:pPr>
      <w:r>
        <w:rPr>
          <w:rFonts w:ascii="Verdana" w:hAnsi="Verdana"/>
          <w:sz w:val="20"/>
          <w:szCs w:val="20"/>
        </w:rPr>
        <w:t>RC</w:t>
      </w:r>
      <w:r w:rsidR="00144CB6">
        <w:rPr>
          <w:rFonts w:ascii="Verdana" w:hAnsi="Verdana"/>
          <w:sz w:val="20"/>
          <w:szCs w:val="20"/>
        </w:rPr>
        <w:t>5 (Design in the Centre)</w:t>
      </w:r>
    </w:p>
    <w:p w:rsidR="0063564E" w:rsidRPr="0063564E" w:rsidRDefault="0063564E" w:rsidP="004D5E8E">
      <w:pPr>
        <w:rPr>
          <w:rFonts w:ascii="Verdana" w:hAnsi="Verdana"/>
          <w:sz w:val="20"/>
          <w:szCs w:val="20"/>
        </w:rPr>
      </w:pPr>
      <w:r>
        <w:rPr>
          <w:rFonts w:ascii="Verdana" w:hAnsi="Verdana"/>
          <w:sz w:val="20"/>
          <w:szCs w:val="20"/>
        </w:rPr>
        <w:t>RC</w:t>
      </w:r>
      <w:r w:rsidR="00144CB6">
        <w:rPr>
          <w:rFonts w:ascii="Verdana" w:hAnsi="Verdana"/>
          <w:sz w:val="20"/>
          <w:szCs w:val="20"/>
        </w:rPr>
        <w:t>14 (Public Realm)</w:t>
      </w:r>
    </w:p>
    <w:p w:rsidR="0063564E" w:rsidRPr="00AC4E10" w:rsidRDefault="0063564E" w:rsidP="004D5E8E">
      <w:pPr>
        <w:rPr>
          <w:rFonts w:ascii="Verdana" w:hAnsi="Verdana"/>
          <w:sz w:val="20"/>
          <w:szCs w:val="20"/>
        </w:rPr>
      </w:pPr>
    </w:p>
    <w:p w:rsidR="004D5E8E" w:rsidRPr="00AC4E10" w:rsidRDefault="004D5E8E" w:rsidP="004D5E8E">
      <w:pPr>
        <w:rPr>
          <w:rFonts w:ascii="Verdana" w:hAnsi="Verdana"/>
          <w:sz w:val="20"/>
          <w:szCs w:val="20"/>
          <w:u w:val="single"/>
        </w:rPr>
      </w:pPr>
      <w:r w:rsidRPr="00AC4E10">
        <w:rPr>
          <w:rFonts w:ascii="Verdana" w:hAnsi="Verdana"/>
          <w:sz w:val="20"/>
          <w:szCs w:val="20"/>
          <w:u w:val="single"/>
        </w:rPr>
        <w:t>Reading Borough LDF: Sites and Detailed Policies Document (2012)</w:t>
      </w:r>
    </w:p>
    <w:p w:rsidR="004D5E8E" w:rsidRDefault="004D5E8E" w:rsidP="004D5E8E">
      <w:pPr>
        <w:rPr>
          <w:rFonts w:ascii="Verdana" w:hAnsi="Verdana"/>
          <w:sz w:val="20"/>
          <w:szCs w:val="20"/>
        </w:rPr>
      </w:pPr>
      <w:r>
        <w:rPr>
          <w:rFonts w:ascii="Verdana" w:hAnsi="Verdana"/>
          <w:sz w:val="20"/>
          <w:szCs w:val="20"/>
        </w:rPr>
        <w:t>SD1 (Presumption in Favour of Sustainable Development)</w:t>
      </w:r>
    </w:p>
    <w:p w:rsidR="004D5E8E" w:rsidRDefault="004D5E8E" w:rsidP="004D5E8E">
      <w:pPr>
        <w:rPr>
          <w:rFonts w:ascii="Verdana" w:hAnsi="Verdana"/>
          <w:sz w:val="20"/>
          <w:szCs w:val="20"/>
        </w:rPr>
      </w:pPr>
      <w:r>
        <w:rPr>
          <w:rFonts w:ascii="Verdana" w:hAnsi="Verdana"/>
          <w:sz w:val="20"/>
          <w:szCs w:val="20"/>
        </w:rPr>
        <w:t>DM4 (Safeguarding Amenity)</w:t>
      </w:r>
    </w:p>
    <w:p w:rsidR="004D5E8E" w:rsidRDefault="004D5E8E" w:rsidP="004D5E8E">
      <w:pPr>
        <w:rPr>
          <w:rFonts w:ascii="Verdana" w:hAnsi="Verdana"/>
          <w:sz w:val="20"/>
          <w:szCs w:val="20"/>
        </w:rPr>
      </w:pPr>
      <w:r>
        <w:rPr>
          <w:rFonts w:ascii="Verdana" w:hAnsi="Verdana"/>
          <w:sz w:val="20"/>
          <w:szCs w:val="20"/>
        </w:rPr>
        <w:t>DM12 (Access, Traffic and Highway-Related Matters)</w:t>
      </w:r>
    </w:p>
    <w:p w:rsidR="004D5E8E" w:rsidRPr="00AC4E10" w:rsidRDefault="004D5E8E" w:rsidP="004D5E8E">
      <w:pPr>
        <w:rPr>
          <w:rFonts w:ascii="Verdana" w:hAnsi="Verdana"/>
          <w:sz w:val="20"/>
          <w:szCs w:val="20"/>
        </w:rPr>
      </w:pPr>
    </w:p>
    <w:p w:rsidR="004D5E8E" w:rsidRPr="00C60779" w:rsidRDefault="004D5E8E" w:rsidP="004D5E8E">
      <w:pPr>
        <w:rPr>
          <w:rFonts w:ascii="Verdana" w:hAnsi="Verdana"/>
          <w:sz w:val="20"/>
          <w:szCs w:val="20"/>
          <w:u w:val="single"/>
        </w:rPr>
      </w:pPr>
      <w:r w:rsidRPr="00C60779">
        <w:rPr>
          <w:rFonts w:ascii="Verdana" w:hAnsi="Verdana"/>
          <w:sz w:val="20"/>
          <w:szCs w:val="20"/>
          <w:u w:val="single"/>
        </w:rPr>
        <w:t>SPD/SPG</w:t>
      </w:r>
    </w:p>
    <w:p w:rsidR="004D5E8E" w:rsidRDefault="00144CB6" w:rsidP="004D5E8E">
      <w:pPr>
        <w:rPr>
          <w:rFonts w:ascii="Verdana" w:hAnsi="Verdana"/>
          <w:sz w:val="20"/>
          <w:szCs w:val="20"/>
        </w:rPr>
      </w:pPr>
      <w:r>
        <w:rPr>
          <w:rFonts w:ascii="Verdana" w:hAnsi="Verdana"/>
          <w:sz w:val="20"/>
          <w:szCs w:val="20"/>
        </w:rPr>
        <w:t>None specifically relevant</w:t>
      </w:r>
    </w:p>
    <w:p w:rsidR="004D5E8E" w:rsidRDefault="004D5E8E" w:rsidP="004D5E8E">
      <w:pPr>
        <w:rPr>
          <w:rFonts w:ascii="Verdana" w:hAnsi="Verdana"/>
          <w:sz w:val="20"/>
          <w:szCs w:val="20"/>
        </w:rPr>
      </w:pPr>
    </w:p>
    <w:p w:rsidR="004D5E8E" w:rsidRPr="00AC4E10" w:rsidRDefault="004D5E8E" w:rsidP="004D5E8E">
      <w:pPr>
        <w:rPr>
          <w:rFonts w:ascii="Verdana" w:hAnsi="Verdana"/>
          <w:sz w:val="20"/>
          <w:szCs w:val="20"/>
        </w:rPr>
      </w:pPr>
      <w:r w:rsidRPr="00AC4E10">
        <w:rPr>
          <w:rFonts w:ascii="Verdana" w:hAnsi="Verdana"/>
          <w:sz w:val="20"/>
          <w:szCs w:val="20"/>
        </w:rPr>
        <w:t>CONSULTATION RESPONSES</w:t>
      </w:r>
    </w:p>
    <w:p w:rsidR="004D5E8E" w:rsidRDefault="0000068A" w:rsidP="004D5E8E">
      <w:pPr>
        <w:rPr>
          <w:rFonts w:ascii="Verdana" w:hAnsi="Verdana"/>
          <w:sz w:val="20"/>
          <w:szCs w:val="20"/>
        </w:rPr>
      </w:pPr>
      <w:r>
        <w:rPr>
          <w:rFonts w:ascii="Verdana" w:hAnsi="Verdana"/>
          <w:sz w:val="20"/>
          <w:szCs w:val="20"/>
        </w:rPr>
        <w:t xml:space="preserve">Informal response from Transport Strategy is that no objection is raised.  </w:t>
      </w:r>
      <w:proofErr w:type="gramStart"/>
      <w:r>
        <w:rPr>
          <w:rFonts w:ascii="Verdana" w:hAnsi="Verdana"/>
          <w:sz w:val="20"/>
          <w:szCs w:val="20"/>
        </w:rPr>
        <w:t>Agrees with case officer that cowl needed on back of lamps so as not to distract drivers within the car park.</w:t>
      </w:r>
      <w:proofErr w:type="gramEnd"/>
    </w:p>
    <w:p w:rsidR="004D5E8E" w:rsidRPr="00AC4E10" w:rsidRDefault="004D5E8E" w:rsidP="004D5E8E">
      <w:pPr>
        <w:rPr>
          <w:rFonts w:ascii="Verdana" w:hAnsi="Verdana"/>
          <w:sz w:val="20"/>
          <w:szCs w:val="20"/>
        </w:rPr>
      </w:pPr>
    </w:p>
    <w:p w:rsidR="004D5E8E" w:rsidRPr="00AC4E10" w:rsidRDefault="004D5E8E" w:rsidP="004D5E8E">
      <w:pPr>
        <w:rPr>
          <w:rFonts w:ascii="Verdana" w:hAnsi="Verdana"/>
          <w:sz w:val="20"/>
          <w:szCs w:val="20"/>
        </w:rPr>
      </w:pPr>
      <w:r w:rsidRPr="00AC4E10">
        <w:rPr>
          <w:rFonts w:ascii="Verdana" w:hAnsi="Verdana"/>
          <w:sz w:val="20"/>
          <w:szCs w:val="20"/>
        </w:rPr>
        <w:t>PLANNING HISTORY</w:t>
      </w:r>
    </w:p>
    <w:p w:rsidR="00134A2F" w:rsidRDefault="00134A2F" w:rsidP="004D5E8E">
      <w:pPr>
        <w:rPr>
          <w:rFonts w:ascii="Verdana" w:hAnsi="Verdana"/>
          <w:sz w:val="20"/>
          <w:szCs w:val="20"/>
        </w:rPr>
      </w:pPr>
      <w:proofErr w:type="gramStart"/>
      <w:r>
        <w:rPr>
          <w:rFonts w:ascii="Verdana" w:hAnsi="Verdana"/>
          <w:sz w:val="20"/>
          <w:szCs w:val="20"/>
        </w:rPr>
        <w:t>Various and extensive, but none relevant.</w:t>
      </w:r>
      <w:proofErr w:type="gramEnd"/>
    </w:p>
    <w:p w:rsidR="00134A2F" w:rsidRPr="00AC4E10" w:rsidRDefault="00134A2F" w:rsidP="004D5E8E">
      <w:pPr>
        <w:rPr>
          <w:rFonts w:ascii="Verdana" w:hAnsi="Verdana"/>
          <w:sz w:val="20"/>
          <w:szCs w:val="20"/>
        </w:rPr>
      </w:pPr>
    </w:p>
    <w:p w:rsidR="004D5E8E" w:rsidRPr="00AC4E10" w:rsidRDefault="004D5E8E" w:rsidP="004D5E8E">
      <w:pPr>
        <w:rPr>
          <w:rFonts w:ascii="Verdana" w:hAnsi="Verdana"/>
          <w:sz w:val="20"/>
          <w:szCs w:val="20"/>
        </w:rPr>
      </w:pPr>
    </w:p>
    <w:p w:rsidR="004D5E8E" w:rsidRPr="00AC4E10" w:rsidRDefault="004D5E8E" w:rsidP="004D5E8E">
      <w:pPr>
        <w:rPr>
          <w:rFonts w:ascii="Verdana" w:hAnsi="Verdana"/>
          <w:b/>
          <w:sz w:val="20"/>
          <w:szCs w:val="20"/>
        </w:rPr>
      </w:pPr>
      <w:r w:rsidRPr="00AC4E10">
        <w:rPr>
          <w:rFonts w:ascii="Verdana" w:hAnsi="Verdana"/>
          <w:b/>
          <w:sz w:val="20"/>
          <w:szCs w:val="20"/>
        </w:rPr>
        <w:t>APPRAISAL</w:t>
      </w:r>
    </w:p>
    <w:p w:rsidR="009F3264" w:rsidRDefault="009F3264" w:rsidP="004D5E8E">
      <w:pPr>
        <w:rPr>
          <w:rFonts w:ascii="Verdana" w:hAnsi="Verdana"/>
          <w:sz w:val="20"/>
          <w:szCs w:val="20"/>
        </w:rPr>
      </w:pPr>
      <w:r>
        <w:rPr>
          <w:rFonts w:ascii="Verdana" w:hAnsi="Verdana"/>
          <w:sz w:val="20"/>
          <w:szCs w:val="20"/>
        </w:rPr>
        <w:t xml:space="preserve">The application site is the edge of the BSM car park.  It is a circa. 1970 concrete structure and features a series of patterned concrete tessellating slabs as an external wall to the car park above retail level.  </w:t>
      </w:r>
    </w:p>
    <w:p w:rsidR="009F3264" w:rsidRDefault="009F3264" w:rsidP="004D5E8E">
      <w:pPr>
        <w:rPr>
          <w:rFonts w:ascii="Verdana" w:hAnsi="Verdana"/>
          <w:sz w:val="20"/>
          <w:szCs w:val="20"/>
        </w:rPr>
      </w:pPr>
    </w:p>
    <w:p w:rsidR="00CA6E6A" w:rsidRDefault="009F3264" w:rsidP="00CA6E6A">
      <w:pPr>
        <w:rPr>
          <w:rFonts w:ascii="Verdana" w:hAnsi="Verdana"/>
          <w:sz w:val="20"/>
          <w:szCs w:val="20"/>
        </w:rPr>
      </w:pPr>
      <w:r>
        <w:rPr>
          <w:rFonts w:ascii="Verdana" w:hAnsi="Verdana"/>
          <w:sz w:val="20"/>
          <w:szCs w:val="20"/>
        </w:rPr>
        <w:t>The proposal is to integrate coloured lighting into the façade by attaching LED colour ‘light bars’</w:t>
      </w:r>
      <w:r w:rsidR="008A080F">
        <w:rPr>
          <w:rFonts w:ascii="Verdana" w:hAnsi="Verdana"/>
          <w:sz w:val="20"/>
          <w:szCs w:val="20"/>
        </w:rPr>
        <w:t xml:space="preserve"> which would back-illuminate the concrete, allowing coloured light spill to penetrate to the façade.  </w:t>
      </w:r>
      <w:r w:rsidR="00CA6E6A">
        <w:rPr>
          <w:rFonts w:ascii="Verdana" w:hAnsi="Verdana"/>
          <w:sz w:val="20"/>
          <w:szCs w:val="20"/>
        </w:rPr>
        <w:t>The lighting may also improve security/attractiven</w:t>
      </w:r>
      <w:r w:rsidR="00CA6E6A">
        <w:rPr>
          <w:rFonts w:ascii="Verdana" w:hAnsi="Verdana"/>
          <w:sz w:val="20"/>
          <w:szCs w:val="20"/>
        </w:rPr>
        <w:t>ess of these pedestrian streets, and this is the applicant’s aim.</w:t>
      </w:r>
    </w:p>
    <w:p w:rsidR="001158DA" w:rsidRDefault="001158DA" w:rsidP="004D5E8E">
      <w:pPr>
        <w:rPr>
          <w:rFonts w:ascii="Verdana" w:hAnsi="Verdana"/>
          <w:sz w:val="20"/>
          <w:szCs w:val="20"/>
        </w:rPr>
      </w:pPr>
    </w:p>
    <w:p w:rsidR="001158DA" w:rsidRDefault="001158DA" w:rsidP="004D5E8E">
      <w:pPr>
        <w:rPr>
          <w:rFonts w:ascii="Verdana" w:hAnsi="Verdana"/>
          <w:sz w:val="20"/>
          <w:szCs w:val="20"/>
        </w:rPr>
      </w:pPr>
      <w:r>
        <w:rPr>
          <w:rFonts w:ascii="Verdana" w:hAnsi="Verdana"/>
          <w:sz w:val="20"/>
          <w:szCs w:val="20"/>
        </w:rPr>
        <w:t>In terms of Highway safety, there is no external issue and as long as the cowls/protective channel is in place (needs a condition), there would be no dazzling of drivers in the cp.</w:t>
      </w:r>
      <w:r w:rsidR="00973B25">
        <w:rPr>
          <w:rFonts w:ascii="Verdana" w:hAnsi="Verdana"/>
          <w:sz w:val="20"/>
          <w:szCs w:val="20"/>
        </w:rPr>
        <w:t xml:space="preserve">  Complies with DM12</w:t>
      </w:r>
    </w:p>
    <w:p w:rsidR="001158DA" w:rsidRDefault="001158DA" w:rsidP="004D5E8E">
      <w:pPr>
        <w:rPr>
          <w:rFonts w:ascii="Verdana" w:hAnsi="Verdana"/>
          <w:sz w:val="20"/>
          <w:szCs w:val="20"/>
        </w:rPr>
      </w:pPr>
    </w:p>
    <w:p w:rsidR="001158DA" w:rsidRDefault="001158DA" w:rsidP="004D5E8E">
      <w:pPr>
        <w:rPr>
          <w:rFonts w:ascii="Verdana" w:hAnsi="Verdana"/>
          <w:sz w:val="20"/>
          <w:szCs w:val="20"/>
        </w:rPr>
      </w:pPr>
      <w:r>
        <w:rPr>
          <w:rFonts w:ascii="Verdana" w:hAnsi="Verdana"/>
          <w:sz w:val="20"/>
          <w:szCs w:val="20"/>
        </w:rPr>
        <w:t xml:space="preserve">In terms of external </w:t>
      </w:r>
      <w:r w:rsidR="008417E5">
        <w:rPr>
          <w:rFonts w:ascii="Verdana" w:hAnsi="Verdana"/>
          <w:sz w:val="20"/>
          <w:szCs w:val="20"/>
        </w:rPr>
        <w:t>appearance, the lighting would be ‘colourful’ and most noticeable at dusk/night-time.</w:t>
      </w:r>
      <w:r w:rsidR="005C7D1B">
        <w:rPr>
          <w:rFonts w:ascii="Verdana" w:hAnsi="Verdana"/>
          <w:sz w:val="20"/>
          <w:szCs w:val="20"/>
        </w:rPr>
        <w:t xml:space="preserve">  The applicant has been asked about the colour changing strategy to be used and has confirmed that there would be either a static colour or a slow colour transition only.  Where static, orange/blue/cyan/green/yellow is proposed and this is to reflect the current Mall branding.  Where a ‘multi-colour gradient’ is proposed, this would have no flashing lights graphics or optical effects.  The colour change cycle proposed is orange-blue-cyan-green-yellow-purple-red.</w:t>
      </w:r>
      <w:r w:rsidR="00EF2C59">
        <w:rPr>
          <w:rFonts w:ascii="Verdana" w:hAnsi="Verdana"/>
          <w:sz w:val="20"/>
          <w:szCs w:val="20"/>
        </w:rPr>
        <w:t xml:space="preserve">  In terms of highway safety and impact on </w:t>
      </w:r>
      <w:proofErr w:type="spellStart"/>
      <w:r w:rsidR="00EF2C59">
        <w:rPr>
          <w:rFonts w:ascii="Verdana" w:hAnsi="Verdana"/>
          <w:sz w:val="20"/>
          <w:szCs w:val="20"/>
        </w:rPr>
        <w:t>streetscene</w:t>
      </w:r>
      <w:proofErr w:type="spellEnd"/>
      <w:r w:rsidR="00EF2C59">
        <w:rPr>
          <w:rFonts w:ascii="Verdana" w:hAnsi="Verdana"/>
          <w:sz w:val="20"/>
          <w:szCs w:val="20"/>
        </w:rPr>
        <w:t>/heritage assets, this is considered to be acceptable (DM12, CS7, RC5, CS33).</w:t>
      </w:r>
    </w:p>
    <w:p w:rsidR="008417E5" w:rsidRDefault="008417E5" w:rsidP="004D5E8E">
      <w:pPr>
        <w:rPr>
          <w:rFonts w:ascii="Verdana" w:hAnsi="Verdana"/>
          <w:sz w:val="20"/>
          <w:szCs w:val="20"/>
        </w:rPr>
      </w:pPr>
    </w:p>
    <w:p w:rsidR="001158DA" w:rsidRDefault="00EF2C59" w:rsidP="004D5E8E">
      <w:pPr>
        <w:rPr>
          <w:rFonts w:ascii="Verdana" w:hAnsi="Verdana"/>
          <w:sz w:val="20"/>
          <w:szCs w:val="20"/>
        </w:rPr>
      </w:pPr>
      <w:r>
        <w:rPr>
          <w:rFonts w:ascii="Verdana" w:hAnsi="Verdana"/>
          <w:sz w:val="20"/>
          <w:szCs w:val="20"/>
        </w:rPr>
        <w:t>Policy DM4 requires the amenity impact</w:t>
      </w:r>
      <w:r w:rsidR="001158DA">
        <w:rPr>
          <w:rFonts w:ascii="Verdana" w:hAnsi="Verdana"/>
          <w:sz w:val="20"/>
          <w:szCs w:val="20"/>
        </w:rPr>
        <w:t xml:space="preserve"> on </w:t>
      </w:r>
      <w:r>
        <w:rPr>
          <w:rFonts w:ascii="Verdana" w:hAnsi="Verdana"/>
          <w:sz w:val="20"/>
          <w:szCs w:val="20"/>
        </w:rPr>
        <w:t xml:space="preserve">the </w:t>
      </w:r>
      <w:r w:rsidR="001158DA">
        <w:rPr>
          <w:rFonts w:ascii="Verdana" w:hAnsi="Verdana"/>
          <w:sz w:val="20"/>
          <w:szCs w:val="20"/>
        </w:rPr>
        <w:t>nearest residential</w:t>
      </w:r>
      <w:r>
        <w:rPr>
          <w:rFonts w:ascii="Verdana" w:hAnsi="Verdana"/>
          <w:sz w:val="20"/>
          <w:szCs w:val="20"/>
        </w:rPr>
        <w:t xml:space="preserve"> units to be assessed</w:t>
      </w:r>
      <w:r w:rsidR="001158DA">
        <w:rPr>
          <w:rFonts w:ascii="Verdana" w:hAnsi="Verdana"/>
          <w:sz w:val="20"/>
          <w:szCs w:val="20"/>
        </w:rPr>
        <w:t>, which is the student accommodation on Queens Walk.</w:t>
      </w:r>
      <w:r w:rsidR="00BB6DE2">
        <w:rPr>
          <w:rFonts w:ascii="Verdana" w:hAnsi="Verdana"/>
          <w:sz w:val="20"/>
          <w:szCs w:val="20"/>
        </w:rPr>
        <w:t xml:space="preserve">  </w:t>
      </w:r>
      <w:r>
        <w:rPr>
          <w:rFonts w:ascii="Verdana" w:hAnsi="Verdana"/>
          <w:sz w:val="20"/>
          <w:szCs w:val="20"/>
        </w:rPr>
        <w:t xml:space="preserve">It is </w:t>
      </w:r>
      <w:r w:rsidR="00BB6DE2">
        <w:rPr>
          <w:rFonts w:ascii="Verdana" w:hAnsi="Verdana"/>
          <w:sz w:val="20"/>
          <w:szCs w:val="20"/>
        </w:rPr>
        <w:t xml:space="preserve">12.5m to </w:t>
      </w:r>
      <w:r w:rsidR="00CA6E6A">
        <w:rPr>
          <w:rFonts w:ascii="Verdana" w:hAnsi="Verdana"/>
          <w:sz w:val="20"/>
          <w:szCs w:val="20"/>
        </w:rPr>
        <w:t xml:space="preserve">the </w:t>
      </w:r>
      <w:r w:rsidR="00BB6DE2">
        <w:rPr>
          <w:rFonts w:ascii="Verdana" w:hAnsi="Verdana"/>
          <w:sz w:val="20"/>
          <w:szCs w:val="20"/>
        </w:rPr>
        <w:t>f</w:t>
      </w:r>
      <w:r w:rsidR="00CA6E6A">
        <w:rPr>
          <w:rFonts w:ascii="Verdana" w:hAnsi="Verdana"/>
          <w:sz w:val="20"/>
          <w:szCs w:val="20"/>
        </w:rPr>
        <w:t>lank wall to the student accommodation and this faces the proposal, but no facing rooms.  The Hexagon Theatre also includes night-time ‘ambient’ lighting.  The student accommodation now also includes roof extensions for further student units.  There may be some ‘sky glow’ impact to the student rooms themselves, but this is not likely to be direct, given the back-lit nature of the installation.  It is considered that although the colours will be noticeable, the amenity of these rooms which have south-facing windows should be significantly adversely affected.</w:t>
      </w:r>
    </w:p>
    <w:p w:rsidR="00CA6E6A" w:rsidRDefault="00CA6E6A" w:rsidP="004D5E8E">
      <w:pPr>
        <w:rPr>
          <w:noProof/>
          <w:lang w:eastAsia="en-GB"/>
        </w:rPr>
      </w:pPr>
    </w:p>
    <w:p w:rsidR="00CA6E6A" w:rsidRDefault="00CA6E6A" w:rsidP="00CA6E6A">
      <w:pPr>
        <w:rPr>
          <w:rFonts w:ascii="Verdana" w:hAnsi="Verdana"/>
          <w:sz w:val="20"/>
          <w:szCs w:val="20"/>
        </w:rPr>
      </w:pPr>
      <w:r>
        <w:rPr>
          <w:rFonts w:ascii="Verdana" w:hAnsi="Verdana"/>
          <w:sz w:val="20"/>
          <w:szCs w:val="20"/>
        </w:rPr>
        <w:t>Lighting level proposed is 50 lux maximum</w:t>
      </w:r>
      <w:r>
        <w:rPr>
          <w:rFonts w:ascii="Verdana" w:hAnsi="Verdana"/>
          <w:sz w:val="20"/>
          <w:szCs w:val="20"/>
        </w:rPr>
        <w:t>, which is considered to be low, but in any event, should be controlled via condition.</w:t>
      </w:r>
    </w:p>
    <w:p w:rsidR="00CA6E6A" w:rsidRDefault="00CA6E6A" w:rsidP="004D5E8E">
      <w:pPr>
        <w:rPr>
          <w:noProof/>
          <w:lang w:eastAsia="en-GB"/>
        </w:rPr>
      </w:pPr>
    </w:p>
    <w:p w:rsidR="00CA6E6A" w:rsidRDefault="00CA6E6A" w:rsidP="004D5E8E">
      <w:pPr>
        <w:rPr>
          <w:noProof/>
          <w:lang w:eastAsia="en-GB"/>
        </w:rPr>
      </w:pPr>
    </w:p>
    <w:p w:rsidR="00CA6E6A" w:rsidRDefault="00CA6E6A" w:rsidP="004D5E8E">
      <w:pPr>
        <w:rPr>
          <w:rFonts w:ascii="Verdana" w:hAnsi="Verdana"/>
          <w:sz w:val="20"/>
          <w:szCs w:val="20"/>
        </w:rPr>
      </w:pPr>
      <w:r>
        <w:rPr>
          <w:noProof/>
          <w:lang w:eastAsia="en-GB"/>
        </w:rPr>
        <w:lastRenderedPageBreak/>
        <w:drawing>
          <wp:inline distT="0" distB="0" distL="0" distR="0" wp14:anchorId="7AA729E9" wp14:editId="672B9A1D">
            <wp:extent cx="4470153" cy="2924175"/>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l="5237" t="15922" r="29644" b="15921"/>
                    <a:stretch/>
                  </pic:blipFill>
                  <pic:spPr bwMode="auto">
                    <a:xfrm>
                      <a:off x="0" y="0"/>
                      <a:ext cx="4477129" cy="2928738"/>
                    </a:xfrm>
                    <a:prstGeom prst="rect">
                      <a:avLst/>
                    </a:prstGeom>
                    <a:ln>
                      <a:noFill/>
                    </a:ln>
                    <a:extLst>
                      <a:ext uri="{53640926-AAD7-44D8-BBD7-CCE9431645EC}">
                        <a14:shadowObscured xmlns:a14="http://schemas.microsoft.com/office/drawing/2010/main"/>
                      </a:ext>
                    </a:extLst>
                  </pic:spPr>
                </pic:pic>
              </a:graphicData>
            </a:graphic>
          </wp:inline>
        </w:drawing>
      </w:r>
    </w:p>
    <w:p w:rsidR="00CA6E6A" w:rsidRDefault="00CA6E6A" w:rsidP="004D5E8E">
      <w:pPr>
        <w:rPr>
          <w:rFonts w:ascii="Verdana" w:hAnsi="Verdana"/>
          <w:sz w:val="20"/>
          <w:szCs w:val="20"/>
        </w:rPr>
      </w:pPr>
    </w:p>
    <w:p w:rsidR="00440838" w:rsidRDefault="00440838" w:rsidP="004D5E8E">
      <w:pPr>
        <w:rPr>
          <w:rFonts w:ascii="Verdana" w:hAnsi="Verdana"/>
          <w:sz w:val="20"/>
          <w:szCs w:val="20"/>
        </w:rPr>
      </w:pPr>
    </w:p>
    <w:p w:rsidR="004D5E8E" w:rsidRPr="00AC4E10" w:rsidRDefault="004D5E8E" w:rsidP="004D5E8E">
      <w:pPr>
        <w:rPr>
          <w:rFonts w:ascii="Verdana" w:hAnsi="Verdana"/>
          <w:sz w:val="20"/>
          <w:szCs w:val="20"/>
          <w:u w:val="single"/>
        </w:rPr>
      </w:pPr>
      <w:r w:rsidRPr="00AC4E10">
        <w:rPr>
          <w:rFonts w:ascii="Verdana" w:hAnsi="Verdana"/>
          <w:sz w:val="20"/>
          <w:szCs w:val="20"/>
          <w:u w:val="single"/>
        </w:rPr>
        <w:t>Equalities Act</w:t>
      </w:r>
    </w:p>
    <w:p w:rsidR="004D5E8E" w:rsidRPr="00AC4E10" w:rsidRDefault="004D5E8E" w:rsidP="004D5E8E">
      <w:pPr>
        <w:overflowPunct w:val="0"/>
        <w:autoSpaceDE w:val="0"/>
        <w:autoSpaceDN w:val="0"/>
        <w:adjustRightInd w:val="0"/>
        <w:ind w:right="-96"/>
        <w:jc w:val="both"/>
        <w:textAlignment w:val="baseline"/>
        <w:rPr>
          <w:rFonts w:ascii="Verdana" w:hAnsi="Verdana"/>
          <w:sz w:val="20"/>
          <w:szCs w:val="20"/>
          <w:lang w:eastAsia="en-GB"/>
        </w:rPr>
      </w:pPr>
      <w:r w:rsidRPr="00AC4E10">
        <w:rPr>
          <w:rFonts w:ascii="Verdana" w:hAnsi="Verdana"/>
          <w:sz w:val="20"/>
          <w:szCs w:val="20"/>
          <w:lang w:eastAsia="en-GB"/>
        </w:rPr>
        <w:t xml:space="preserve">In determining this application, the </w:t>
      </w:r>
      <w:r>
        <w:rPr>
          <w:rFonts w:ascii="Verdana" w:hAnsi="Verdana"/>
          <w:sz w:val="20"/>
          <w:szCs w:val="20"/>
          <w:lang w:eastAsia="en-GB"/>
        </w:rPr>
        <w:t>Council</w:t>
      </w:r>
      <w:r w:rsidRPr="00AC4E10">
        <w:rPr>
          <w:rFonts w:ascii="Verdana" w:hAnsi="Verdana"/>
          <w:sz w:val="20"/>
          <w:szCs w:val="20"/>
          <w:lang w:eastAsia="en-GB"/>
        </w:rPr>
        <w:t xml:space="preserve"> is required to have regard to its obligations under the Equality Act 2010.  The key equalities protected characteristics include age, disability, gender, gender reassignment, marriage and civil partnership, pregnancy and maternity, race, religion or belief, sexual orientation.</w:t>
      </w:r>
      <w:r>
        <w:rPr>
          <w:rFonts w:ascii="Verdana" w:hAnsi="Verdana"/>
          <w:sz w:val="20"/>
          <w:szCs w:val="20"/>
          <w:lang w:eastAsia="en-GB"/>
        </w:rPr>
        <w:t xml:space="preserve">  </w:t>
      </w:r>
      <w:r w:rsidRPr="00AC4E10">
        <w:rPr>
          <w:rFonts w:ascii="Verdana" w:hAnsi="Verdana"/>
          <w:sz w:val="20"/>
          <w:szCs w:val="20"/>
          <w:lang w:eastAsia="en-GB"/>
        </w:rPr>
        <w:t xml:space="preserve">There is no indication or evidence (including from consultation on the application) that the protected groups have or will have different needs, experiences, issues and priorities in relation to the particular planning application.  </w:t>
      </w:r>
      <w:r w:rsidRPr="00AC4E10">
        <w:rPr>
          <w:rFonts w:ascii="Verdana" w:hAnsi="Verdana" w:cs="Arial"/>
          <w:bCs/>
          <w:sz w:val="20"/>
          <w:szCs w:val="20"/>
          <w:lang w:eastAsia="en-GB"/>
        </w:rPr>
        <w:t>In terms of the key equalities protected characteristics it is considered there would be no significant adverse impacts as a result of the development.</w:t>
      </w:r>
    </w:p>
    <w:p w:rsidR="004D5E8E" w:rsidRPr="00AC4E10" w:rsidRDefault="004D5E8E" w:rsidP="004D5E8E">
      <w:pPr>
        <w:rPr>
          <w:rFonts w:ascii="Verdana" w:hAnsi="Verdana"/>
          <w:sz w:val="20"/>
          <w:szCs w:val="20"/>
        </w:rPr>
      </w:pPr>
    </w:p>
    <w:p w:rsidR="004D5E8E" w:rsidRPr="00AC4E10" w:rsidRDefault="004D5E8E" w:rsidP="004D5E8E">
      <w:pPr>
        <w:rPr>
          <w:rFonts w:ascii="Verdana" w:hAnsi="Verdana"/>
          <w:sz w:val="20"/>
          <w:szCs w:val="20"/>
        </w:rPr>
      </w:pPr>
    </w:p>
    <w:p w:rsidR="004D5E8E" w:rsidRDefault="004D5E8E" w:rsidP="004D5E8E">
      <w:pPr>
        <w:rPr>
          <w:rFonts w:ascii="Verdana" w:hAnsi="Verdana"/>
          <w:b/>
          <w:sz w:val="20"/>
          <w:szCs w:val="20"/>
        </w:rPr>
      </w:pPr>
      <w:r w:rsidRPr="00AC4E10">
        <w:rPr>
          <w:rFonts w:ascii="Verdana" w:hAnsi="Verdana"/>
          <w:b/>
          <w:sz w:val="20"/>
          <w:szCs w:val="20"/>
        </w:rPr>
        <w:t>RECOMMENDATION</w:t>
      </w:r>
      <w:r w:rsidR="008417E5">
        <w:rPr>
          <w:rFonts w:ascii="Verdana" w:hAnsi="Verdana"/>
          <w:b/>
          <w:sz w:val="20"/>
          <w:szCs w:val="20"/>
        </w:rPr>
        <w:t>:</w:t>
      </w:r>
    </w:p>
    <w:p w:rsidR="008417E5" w:rsidRPr="00AC4E10" w:rsidRDefault="008417E5" w:rsidP="004D5E8E">
      <w:pPr>
        <w:rPr>
          <w:rFonts w:ascii="Verdana" w:hAnsi="Verdana"/>
          <w:b/>
          <w:sz w:val="20"/>
          <w:szCs w:val="20"/>
        </w:rPr>
      </w:pPr>
      <w:r>
        <w:rPr>
          <w:rFonts w:ascii="Verdana" w:hAnsi="Verdana"/>
          <w:b/>
          <w:sz w:val="20"/>
          <w:szCs w:val="20"/>
        </w:rPr>
        <w:t>GRANT planning permission</w:t>
      </w:r>
      <w:r w:rsidR="00CA6E6A">
        <w:rPr>
          <w:rFonts w:ascii="Verdana" w:hAnsi="Verdana"/>
          <w:b/>
          <w:sz w:val="20"/>
          <w:szCs w:val="20"/>
        </w:rPr>
        <w:t>, subject to conditions.</w:t>
      </w:r>
    </w:p>
    <w:p w:rsidR="004D5E8E" w:rsidRPr="00AC4E10" w:rsidRDefault="004D5E8E" w:rsidP="004D5E8E">
      <w:pPr>
        <w:rPr>
          <w:rFonts w:ascii="Verdana" w:hAnsi="Verdana"/>
          <w:sz w:val="20"/>
          <w:szCs w:val="20"/>
        </w:rPr>
      </w:pPr>
    </w:p>
    <w:p w:rsidR="004D5E8E" w:rsidRDefault="004D5E8E" w:rsidP="004D5E8E"/>
    <w:p w:rsidR="004B4461" w:rsidRDefault="008417E5">
      <w:r>
        <w:t>Tl1</w:t>
      </w:r>
      <w:r w:rsidR="008334E8">
        <w:t xml:space="preserve"> 3 </w:t>
      </w:r>
      <w:proofErr w:type="spellStart"/>
      <w:r w:rsidR="008334E8">
        <w:t>yr</w:t>
      </w:r>
      <w:proofErr w:type="spellEnd"/>
      <w:r w:rsidR="008334E8">
        <w:t xml:space="preserve"> time limit</w:t>
      </w:r>
    </w:p>
    <w:p w:rsidR="00DE0EFD" w:rsidRDefault="00DE0EFD"/>
    <w:p w:rsidR="008417E5" w:rsidRDefault="008334E8">
      <w:r>
        <w:t xml:space="preserve">Approved </w:t>
      </w:r>
      <w:r w:rsidR="008417E5">
        <w:t>Plans</w:t>
      </w:r>
      <w:r w:rsidR="00DE0EFD">
        <w:t xml:space="preserve"> </w:t>
      </w:r>
    </w:p>
    <w:p w:rsidR="008334E8" w:rsidRDefault="008334E8">
      <w:r>
        <w:t xml:space="preserve">0350 1:1250 Site location plan </w:t>
      </w:r>
    </w:p>
    <w:p w:rsidR="008334E8" w:rsidRDefault="008334E8">
      <w:r>
        <w:t>0353 Proposed car park façade lighting first floor plan</w:t>
      </w:r>
    </w:p>
    <w:p w:rsidR="008334E8" w:rsidRDefault="008334E8">
      <w:r>
        <w:t>0354 Proposed car park façade lighting west &amp; south elevations</w:t>
      </w:r>
    </w:p>
    <w:p w:rsidR="008334E8" w:rsidRPr="008334E8" w:rsidRDefault="008334E8">
      <w:r>
        <w:t xml:space="preserve">All plans were received by the Local Planning Authority on </w:t>
      </w:r>
      <w:r w:rsidRPr="008334E8">
        <w:t>7/9/2017</w:t>
      </w:r>
    </w:p>
    <w:p w:rsidR="00DE0EFD" w:rsidRDefault="00DE0EFD"/>
    <w:p w:rsidR="008334E8" w:rsidRDefault="001F62BB" w:rsidP="008334E8">
      <w:r>
        <w:t>T</w:t>
      </w:r>
      <w:r w:rsidR="008334E8">
        <w:t>he lighting hereby approved on t</w:t>
      </w:r>
      <w:r>
        <w:t>he plans in Condition 2 above shall be</w:t>
      </w:r>
      <w:r w:rsidR="008334E8">
        <w:t xml:space="preserve"> </w:t>
      </w:r>
      <w:proofErr w:type="spellStart"/>
      <w:r w:rsidR="008334E8">
        <w:t>S</w:t>
      </w:r>
      <w:r w:rsidR="005C7D1B">
        <w:t>tairville</w:t>
      </w:r>
      <w:proofErr w:type="spellEnd"/>
      <w:r w:rsidR="005C7D1B">
        <w:t xml:space="preserve"> LED IP Bar 320/8 RGB DMX IP65</w:t>
      </w:r>
      <w:r w:rsidR="008334E8">
        <w:t xml:space="preserve"> lamps, with a maximum l</w:t>
      </w:r>
      <w:r w:rsidR="008334E8">
        <w:t xml:space="preserve">ighting level </w:t>
      </w:r>
      <w:r w:rsidR="008334E8">
        <w:t xml:space="preserve">of </w:t>
      </w:r>
      <w:r w:rsidR="008334E8">
        <w:t>50 lux</w:t>
      </w:r>
      <w:r w:rsidR="008334E8">
        <w:t xml:space="preserve"> and the cowls/shields as shown on the approved plans shall be retained at all times.  </w:t>
      </w:r>
    </w:p>
    <w:p w:rsidR="008334E8" w:rsidRDefault="008334E8" w:rsidP="008334E8">
      <w:r>
        <w:t>Reason: to maintain driver safety and the amenities of the area.</w:t>
      </w:r>
    </w:p>
    <w:p w:rsidR="008334E8" w:rsidRDefault="008334E8" w:rsidP="008334E8">
      <w:r>
        <w:t>Policies: CS7, CS33, RC5, DM12</w:t>
      </w:r>
    </w:p>
    <w:p w:rsidR="008417E5" w:rsidRDefault="008417E5"/>
    <w:p w:rsidR="008334E8" w:rsidRDefault="008334E8">
      <w:bookmarkStart w:id="0" w:name="_GoBack"/>
      <w:r>
        <w:lastRenderedPageBreak/>
        <w:t>For the avoidance of doubt, the l</w:t>
      </w:r>
      <w:r w:rsidR="008417E5">
        <w:t>ighting strategy</w:t>
      </w:r>
      <w:r w:rsidR="005C7D1B">
        <w:t xml:space="preserve"> </w:t>
      </w:r>
      <w:r>
        <w:t>for the lighting hereby approved by this permission shall be as follows,</w:t>
      </w:r>
      <w:r w:rsidRPr="008334E8">
        <w:t xml:space="preserve"> </w:t>
      </w:r>
      <w:r>
        <w:t xml:space="preserve">unless otherwise approved in writing by the </w:t>
      </w:r>
      <w:r>
        <w:t>Local Planning Authority:</w:t>
      </w:r>
    </w:p>
    <w:p w:rsidR="008334E8" w:rsidRDefault="008334E8">
      <w:r>
        <w:t>-lighting shall be either static or colour-changing;</w:t>
      </w:r>
      <w:r w:rsidR="005C7D1B">
        <w:t xml:space="preserve"> </w:t>
      </w:r>
    </w:p>
    <w:p w:rsidR="008417E5" w:rsidRDefault="008334E8">
      <w:proofErr w:type="gramStart"/>
      <w:r>
        <w:t>-w</w:t>
      </w:r>
      <w:r w:rsidR="005C7D1B">
        <w:t>here colour-changing</w:t>
      </w:r>
      <w:r w:rsidR="00C81C7A">
        <w:t>, transition from one colour to the next should take a minimum of two seconds</w:t>
      </w:r>
      <w:r>
        <w:t xml:space="preserve"> and there shall be</w:t>
      </w:r>
      <w:r w:rsidR="005C7D1B">
        <w:t xml:space="preserve"> no strobing, flashing or </w:t>
      </w:r>
      <w:r w:rsidR="00C81C7A">
        <w:t xml:space="preserve">instant colour </w:t>
      </w:r>
      <w:r>
        <w:t>changes.</w:t>
      </w:r>
      <w:proofErr w:type="gramEnd"/>
    </w:p>
    <w:p w:rsidR="008334E8" w:rsidRDefault="008334E8" w:rsidP="008334E8">
      <w:r>
        <w:t>Reason: to maintain driver safety and the amenities of the area.</w:t>
      </w:r>
    </w:p>
    <w:p w:rsidR="008334E8" w:rsidRDefault="008334E8" w:rsidP="008334E8">
      <w:r>
        <w:t>Policies: CS7, CS33, RC5, DM12</w:t>
      </w:r>
    </w:p>
    <w:bookmarkEnd w:id="0"/>
    <w:p w:rsidR="00C81C7A" w:rsidRDefault="00C81C7A"/>
    <w:p w:rsidR="008334E8" w:rsidRDefault="008334E8">
      <w:proofErr w:type="spellStart"/>
      <w:r>
        <w:t>Informatives</w:t>
      </w:r>
      <w:proofErr w:type="spellEnd"/>
    </w:p>
    <w:p w:rsidR="008417E5" w:rsidRDefault="008417E5">
      <w:proofErr w:type="spellStart"/>
      <w:r>
        <w:t>Pos</w:t>
      </w:r>
      <w:proofErr w:type="spellEnd"/>
      <w:r>
        <w:t xml:space="preserve"> and pro</w:t>
      </w:r>
      <w:r w:rsidR="008334E8">
        <w:t>active requirement</w:t>
      </w:r>
    </w:p>
    <w:p w:rsidR="008417E5" w:rsidRDefault="008334E8">
      <w:proofErr w:type="gramStart"/>
      <w:r>
        <w:t>Terms and conditions.</w:t>
      </w:r>
      <w:proofErr w:type="gramEnd"/>
    </w:p>
    <w:p w:rsidR="008417E5" w:rsidRDefault="008417E5"/>
    <w:sectPr w:rsidR="008417E5" w:rsidSect="00860085">
      <w:headerReference w:type="even" r:id="rId9"/>
      <w:headerReference w:type="default" r:id="rId10"/>
      <w:footerReference w:type="even" r:id="rId11"/>
      <w:footerReference w:type="default" r:id="rId12"/>
      <w:headerReference w:type="first" r:id="rId13"/>
      <w:footerReference w:type="first" r:id="rId14"/>
      <w:pgSz w:w="12240" w:h="15840"/>
      <w:pgMar w:top="1440" w:right="1800" w:bottom="1440" w:left="1843"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4A35" w:rsidRDefault="00BD4A35" w:rsidP="00BD4A35">
      <w:r>
        <w:separator/>
      </w:r>
    </w:p>
  </w:endnote>
  <w:endnote w:type="continuationSeparator" w:id="0">
    <w:p w:rsidR="00BD4A35" w:rsidRDefault="00BD4A35" w:rsidP="00BD4A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4A35" w:rsidRDefault="00BD4A3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4A35" w:rsidRDefault="00BD4A3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4A35" w:rsidRDefault="00BD4A3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4A35" w:rsidRDefault="00BD4A35" w:rsidP="00BD4A35">
      <w:r>
        <w:separator/>
      </w:r>
    </w:p>
  </w:footnote>
  <w:footnote w:type="continuationSeparator" w:id="0">
    <w:p w:rsidR="00BD4A35" w:rsidRDefault="00BD4A35" w:rsidP="00BD4A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4A35" w:rsidRDefault="00BD4A3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4A35" w:rsidRDefault="00BD4A3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4A35" w:rsidRDefault="00BD4A3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81748B"/>
    <w:multiLevelType w:val="hybridMultilevel"/>
    <w:tmpl w:val="5428DD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5E8E"/>
    <w:rsid w:val="0000068A"/>
    <w:rsid w:val="0001257F"/>
    <w:rsid w:val="00022459"/>
    <w:rsid w:val="000267D6"/>
    <w:rsid w:val="00035F1E"/>
    <w:rsid w:val="00041DBB"/>
    <w:rsid w:val="00044856"/>
    <w:rsid w:val="00052D1C"/>
    <w:rsid w:val="0005649A"/>
    <w:rsid w:val="0006247A"/>
    <w:rsid w:val="00075878"/>
    <w:rsid w:val="00095483"/>
    <w:rsid w:val="000A5B7F"/>
    <w:rsid w:val="000C6CA6"/>
    <w:rsid w:val="000E75A8"/>
    <w:rsid w:val="000E7E69"/>
    <w:rsid w:val="001013BA"/>
    <w:rsid w:val="001158DA"/>
    <w:rsid w:val="00124897"/>
    <w:rsid w:val="00134A2F"/>
    <w:rsid w:val="00144CB6"/>
    <w:rsid w:val="001524D6"/>
    <w:rsid w:val="0016644F"/>
    <w:rsid w:val="00170EB1"/>
    <w:rsid w:val="00196474"/>
    <w:rsid w:val="00196ACA"/>
    <w:rsid w:val="001A04BB"/>
    <w:rsid w:val="001B0D16"/>
    <w:rsid w:val="001B579E"/>
    <w:rsid w:val="001D1CB5"/>
    <w:rsid w:val="001D35AC"/>
    <w:rsid w:val="001D6601"/>
    <w:rsid w:val="001E1A6C"/>
    <w:rsid w:val="001F0339"/>
    <w:rsid w:val="001F21D4"/>
    <w:rsid w:val="001F62BB"/>
    <w:rsid w:val="00202604"/>
    <w:rsid w:val="00221753"/>
    <w:rsid w:val="00223ECD"/>
    <w:rsid w:val="00234C9D"/>
    <w:rsid w:val="002573B1"/>
    <w:rsid w:val="002838BF"/>
    <w:rsid w:val="00290330"/>
    <w:rsid w:val="002B740F"/>
    <w:rsid w:val="002C44A0"/>
    <w:rsid w:val="002C7AD3"/>
    <w:rsid w:val="002D2905"/>
    <w:rsid w:val="002E4305"/>
    <w:rsid w:val="002E6012"/>
    <w:rsid w:val="00300A22"/>
    <w:rsid w:val="003065D6"/>
    <w:rsid w:val="00306AF3"/>
    <w:rsid w:val="00311E08"/>
    <w:rsid w:val="0031233D"/>
    <w:rsid w:val="00313741"/>
    <w:rsid w:val="003262B6"/>
    <w:rsid w:val="00330C7A"/>
    <w:rsid w:val="00340132"/>
    <w:rsid w:val="00345A5D"/>
    <w:rsid w:val="003465C5"/>
    <w:rsid w:val="0034688B"/>
    <w:rsid w:val="0034706B"/>
    <w:rsid w:val="003476B1"/>
    <w:rsid w:val="00360FB9"/>
    <w:rsid w:val="00361CE6"/>
    <w:rsid w:val="0037272C"/>
    <w:rsid w:val="00373B40"/>
    <w:rsid w:val="003A2324"/>
    <w:rsid w:val="003B3967"/>
    <w:rsid w:val="003B4773"/>
    <w:rsid w:val="003C03B7"/>
    <w:rsid w:val="003C130C"/>
    <w:rsid w:val="003D4F95"/>
    <w:rsid w:val="003D537A"/>
    <w:rsid w:val="003E68BB"/>
    <w:rsid w:val="003E6E4E"/>
    <w:rsid w:val="003F4D04"/>
    <w:rsid w:val="003F53FB"/>
    <w:rsid w:val="00412789"/>
    <w:rsid w:val="00417C57"/>
    <w:rsid w:val="004344B8"/>
    <w:rsid w:val="00440838"/>
    <w:rsid w:val="00446AAC"/>
    <w:rsid w:val="00447811"/>
    <w:rsid w:val="00450169"/>
    <w:rsid w:val="00485874"/>
    <w:rsid w:val="004934AC"/>
    <w:rsid w:val="004B003B"/>
    <w:rsid w:val="004B0647"/>
    <w:rsid w:val="004B4461"/>
    <w:rsid w:val="004B5AFB"/>
    <w:rsid w:val="004C6028"/>
    <w:rsid w:val="004D1863"/>
    <w:rsid w:val="004D5E8E"/>
    <w:rsid w:val="004E3968"/>
    <w:rsid w:val="004F0971"/>
    <w:rsid w:val="004F2566"/>
    <w:rsid w:val="005048C2"/>
    <w:rsid w:val="00507AB2"/>
    <w:rsid w:val="00510136"/>
    <w:rsid w:val="0051353B"/>
    <w:rsid w:val="00530F63"/>
    <w:rsid w:val="00534534"/>
    <w:rsid w:val="00543FB4"/>
    <w:rsid w:val="00544765"/>
    <w:rsid w:val="00550689"/>
    <w:rsid w:val="0055499F"/>
    <w:rsid w:val="00587F87"/>
    <w:rsid w:val="005A1580"/>
    <w:rsid w:val="005A286F"/>
    <w:rsid w:val="005C40E6"/>
    <w:rsid w:val="005C579B"/>
    <w:rsid w:val="005C7D1B"/>
    <w:rsid w:val="005D14D0"/>
    <w:rsid w:val="005D2D6B"/>
    <w:rsid w:val="005F3E76"/>
    <w:rsid w:val="006108A8"/>
    <w:rsid w:val="0063564E"/>
    <w:rsid w:val="006474A0"/>
    <w:rsid w:val="00653621"/>
    <w:rsid w:val="00657EEC"/>
    <w:rsid w:val="00663633"/>
    <w:rsid w:val="006705D5"/>
    <w:rsid w:val="006736E3"/>
    <w:rsid w:val="00674BEF"/>
    <w:rsid w:val="0067770F"/>
    <w:rsid w:val="006A4C90"/>
    <w:rsid w:val="006B4367"/>
    <w:rsid w:val="006B4F82"/>
    <w:rsid w:val="006C02AB"/>
    <w:rsid w:val="006E544C"/>
    <w:rsid w:val="006F630B"/>
    <w:rsid w:val="00705FCD"/>
    <w:rsid w:val="00745844"/>
    <w:rsid w:val="00760D89"/>
    <w:rsid w:val="007646D8"/>
    <w:rsid w:val="0077259B"/>
    <w:rsid w:val="00785EFC"/>
    <w:rsid w:val="007C28C0"/>
    <w:rsid w:val="007D3933"/>
    <w:rsid w:val="007D4137"/>
    <w:rsid w:val="007E33B3"/>
    <w:rsid w:val="007E4CBF"/>
    <w:rsid w:val="00811EB2"/>
    <w:rsid w:val="00822F6C"/>
    <w:rsid w:val="008334E8"/>
    <w:rsid w:val="00833E94"/>
    <w:rsid w:val="008342FC"/>
    <w:rsid w:val="008363A6"/>
    <w:rsid w:val="008417E5"/>
    <w:rsid w:val="00860085"/>
    <w:rsid w:val="008657B1"/>
    <w:rsid w:val="008A080F"/>
    <w:rsid w:val="008C1C68"/>
    <w:rsid w:val="008C7081"/>
    <w:rsid w:val="008C7A1F"/>
    <w:rsid w:val="008D2E87"/>
    <w:rsid w:val="008D7F5F"/>
    <w:rsid w:val="008E1EEC"/>
    <w:rsid w:val="008F159E"/>
    <w:rsid w:val="00907D7E"/>
    <w:rsid w:val="009135CA"/>
    <w:rsid w:val="009145B9"/>
    <w:rsid w:val="00920D86"/>
    <w:rsid w:val="009213B5"/>
    <w:rsid w:val="00923723"/>
    <w:rsid w:val="00932A5E"/>
    <w:rsid w:val="00933827"/>
    <w:rsid w:val="00937A0D"/>
    <w:rsid w:val="009545B7"/>
    <w:rsid w:val="00962797"/>
    <w:rsid w:val="009661A3"/>
    <w:rsid w:val="00967356"/>
    <w:rsid w:val="00973B25"/>
    <w:rsid w:val="00985136"/>
    <w:rsid w:val="009860F8"/>
    <w:rsid w:val="009877B6"/>
    <w:rsid w:val="009912C3"/>
    <w:rsid w:val="009B3123"/>
    <w:rsid w:val="009D016A"/>
    <w:rsid w:val="009D2454"/>
    <w:rsid w:val="009D3E42"/>
    <w:rsid w:val="009E0AF9"/>
    <w:rsid w:val="009E1A5B"/>
    <w:rsid w:val="009E2EAB"/>
    <w:rsid w:val="009E476E"/>
    <w:rsid w:val="009F3264"/>
    <w:rsid w:val="009F5BEA"/>
    <w:rsid w:val="009F6833"/>
    <w:rsid w:val="00A152A3"/>
    <w:rsid w:val="00A15E12"/>
    <w:rsid w:val="00A22ED7"/>
    <w:rsid w:val="00A42A85"/>
    <w:rsid w:val="00A51C20"/>
    <w:rsid w:val="00A75ACB"/>
    <w:rsid w:val="00A7790F"/>
    <w:rsid w:val="00A81825"/>
    <w:rsid w:val="00A926A8"/>
    <w:rsid w:val="00AA14CB"/>
    <w:rsid w:val="00AB03CA"/>
    <w:rsid w:val="00AB207F"/>
    <w:rsid w:val="00AC018A"/>
    <w:rsid w:val="00AC3DAD"/>
    <w:rsid w:val="00AC46D5"/>
    <w:rsid w:val="00AC66C7"/>
    <w:rsid w:val="00AD6552"/>
    <w:rsid w:val="00AE2BC3"/>
    <w:rsid w:val="00AF01D9"/>
    <w:rsid w:val="00AF0E17"/>
    <w:rsid w:val="00AF3BAD"/>
    <w:rsid w:val="00AF7106"/>
    <w:rsid w:val="00B231F8"/>
    <w:rsid w:val="00B25B58"/>
    <w:rsid w:val="00B307BF"/>
    <w:rsid w:val="00B4335D"/>
    <w:rsid w:val="00B61EAE"/>
    <w:rsid w:val="00B64392"/>
    <w:rsid w:val="00B77CAD"/>
    <w:rsid w:val="00B77DE4"/>
    <w:rsid w:val="00B87F3C"/>
    <w:rsid w:val="00B934BC"/>
    <w:rsid w:val="00BA266B"/>
    <w:rsid w:val="00BA4DF0"/>
    <w:rsid w:val="00BA55D9"/>
    <w:rsid w:val="00BB2FBE"/>
    <w:rsid w:val="00BB6DE2"/>
    <w:rsid w:val="00BC7CF3"/>
    <w:rsid w:val="00BD1F91"/>
    <w:rsid w:val="00BD2709"/>
    <w:rsid w:val="00BD451F"/>
    <w:rsid w:val="00BD4A35"/>
    <w:rsid w:val="00C51B83"/>
    <w:rsid w:val="00C7044A"/>
    <w:rsid w:val="00C721F4"/>
    <w:rsid w:val="00C74977"/>
    <w:rsid w:val="00C761BF"/>
    <w:rsid w:val="00C81C7A"/>
    <w:rsid w:val="00C83A48"/>
    <w:rsid w:val="00C92163"/>
    <w:rsid w:val="00C96616"/>
    <w:rsid w:val="00CA2991"/>
    <w:rsid w:val="00CA6E6A"/>
    <w:rsid w:val="00CA7432"/>
    <w:rsid w:val="00CB2105"/>
    <w:rsid w:val="00CC2860"/>
    <w:rsid w:val="00CD015A"/>
    <w:rsid w:val="00CD0901"/>
    <w:rsid w:val="00CD0FF8"/>
    <w:rsid w:val="00CE3DDF"/>
    <w:rsid w:val="00CE459D"/>
    <w:rsid w:val="00D2737C"/>
    <w:rsid w:val="00D4634B"/>
    <w:rsid w:val="00D55F4F"/>
    <w:rsid w:val="00D74FA1"/>
    <w:rsid w:val="00D819CC"/>
    <w:rsid w:val="00D83713"/>
    <w:rsid w:val="00D872DD"/>
    <w:rsid w:val="00D9385F"/>
    <w:rsid w:val="00D97D14"/>
    <w:rsid w:val="00DB5AD9"/>
    <w:rsid w:val="00DC3EB4"/>
    <w:rsid w:val="00DE0EFD"/>
    <w:rsid w:val="00DF033F"/>
    <w:rsid w:val="00E07E6E"/>
    <w:rsid w:val="00E10816"/>
    <w:rsid w:val="00E1219F"/>
    <w:rsid w:val="00E156F4"/>
    <w:rsid w:val="00E2641E"/>
    <w:rsid w:val="00E3412F"/>
    <w:rsid w:val="00E44652"/>
    <w:rsid w:val="00E53D1E"/>
    <w:rsid w:val="00E61534"/>
    <w:rsid w:val="00E71965"/>
    <w:rsid w:val="00E759B3"/>
    <w:rsid w:val="00E76508"/>
    <w:rsid w:val="00E76DC3"/>
    <w:rsid w:val="00E90353"/>
    <w:rsid w:val="00E909F8"/>
    <w:rsid w:val="00E9225C"/>
    <w:rsid w:val="00EA33A5"/>
    <w:rsid w:val="00EA4E39"/>
    <w:rsid w:val="00EA4FA0"/>
    <w:rsid w:val="00EC45D0"/>
    <w:rsid w:val="00EC535F"/>
    <w:rsid w:val="00ED13A2"/>
    <w:rsid w:val="00ED3CD1"/>
    <w:rsid w:val="00EE32D5"/>
    <w:rsid w:val="00EF2C59"/>
    <w:rsid w:val="00F074D6"/>
    <w:rsid w:val="00F12E40"/>
    <w:rsid w:val="00F14848"/>
    <w:rsid w:val="00F22A13"/>
    <w:rsid w:val="00F25E92"/>
    <w:rsid w:val="00F34740"/>
    <w:rsid w:val="00F36395"/>
    <w:rsid w:val="00F40984"/>
    <w:rsid w:val="00F4448D"/>
    <w:rsid w:val="00F44FBF"/>
    <w:rsid w:val="00F7639F"/>
    <w:rsid w:val="00F82470"/>
    <w:rsid w:val="00F91D89"/>
    <w:rsid w:val="00FA50B9"/>
    <w:rsid w:val="00FA7803"/>
    <w:rsid w:val="00FB54A5"/>
    <w:rsid w:val="00FC5300"/>
    <w:rsid w:val="00FC7C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5E8E"/>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5E8E"/>
    <w:pPr>
      <w:ind w:left="720"/>
      <w:contextualSpacing/>
    </w:pPr>
  </w:style>
  <w:style w:type="paragraph" w:styleId="Header">
    <w:name w:val="header"/>
    <w:basedOn w:val="Normal"/>
    <w:link w:val="HeaderChar"/>
    <w:uiPriority w:val="99"/>
    <w:unhideWhenUsed/>
    <w:rsid w:val="00BD4A35"/>
    <w:pPr>
      <w:tabs>
        <w:tab w:val="center" w:pos="4513"/>
        <w:tab w:val="right" w:pos="9026"/>
      </w:tabs>
    </w:pPr>
  </w:style>
  <w:style w:type="character" w:customStyle="1" w:styleId="HeaderChar">
    <w:name w:val="Header Char"/>
    <w:basedOn w:val="DefaultParagraphFont"/>
    <w:link w:val="Header"/>
    <w:uiPriority w:val="99"/>
    <w:rsid w:val="00BD4A35"/>
    <w:rPr>
      <w:sz w:val="24"/>
      <w:szCs w:val="24"/>
      <w:lang w:eastAsia="en-US"/>
    </w:rPr>
  </w:style>
  <w:style w:type="paragraph" w:styleId="Footer">
    <w:name w:val="footer"/>
    <w:basedOn w:val="Normal"/>
    <w:link w:val="FooterChar"/>
    <w:uiPriority w:val="99"/>
    <w:unhideWhenUsed/>
    <w:rsid w:val="00BD4A35"/>
    <w:pPr>
      <w:tabs>
        <w:tab w:val="center" w:pos="4513"/>
        <w:tab w:val="right" w:pos="9026"/>
      </w:tabs>
    </w:pPr>
  </w:style>
  <w:style w:type="character" w:customStyle="1" w:styleId="FooterChar">
    <w:name w:val="Footer Char"/>
    <w:basedOn w:val="DefaultParagraphFont"/>
    <w:link w:val="Footer"/>
    <w:uiPriority w:val="99"/>
    <w:rsid w:val="00BD4A35"/>
    <w:rPr>
      <w:sz w:val="24"/>
      <w:szCs w:val="24"/>
      <w:lang w:eastAsia="en-US"/>
    </w:rPr>
  </w:style>
  <w:style w:type="paragraph" w:styleId="BalloonText">
    <w:name w:val="Balloon Text"/>
    <w:basedOn w:val="Normal"/>
    <w:link w:val="BalloonTextChar"/>
    <w:uiPriority w:val="99"/>
    <w:semiHidden/>
    <w:unhideWhenUsed/>
    <w:rsid w:val="00CA6E6A"/>
    <w:rPr>
      <w:rFonts w:ascii="Tahoma" w:hAnsi="Tahoma" w:cs="Tahoma"/>
      <w:sz w:val="16"/>
      <w:szCs w:val="16"/>
    </w:rPr>
  </w:style>
  <w:style w:type="character" w:customStyle="1" w:styleId="BalloonTextChar">
    <w:name w:val="Balloon Text Char"/>
    <w:basedOn w:val="DefaultParagraphFont"/>
    <w:link w:val="BalloonText"/>
    <w:uiPriority w:val="99"/>
    <w:semiHidden/>
    <w:rsid w:val="00CA6E6A"/>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5E8E"/>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5E8E"/>
    <w:pPr>
      <w:ind w:left="720"/>
      <w:contextualSpacing/>
    </w:pPr>
  </w:style>
  <w:style w:type="paragraph" w:styleId="Header">
    <w:name w:val="header"/>
    <w:basedOn w:val="Normal"/>
    <w:link w:val="HeaderChar"/>
    <w:uiPriority w:val="99"/>
    <w:unhideWhenUsed/>
    <w:rsid w:val="00BD4A35"/>
    <w:pPr>
      <w:tabs>
        <w:tab w:val="center" w:pos="4513"/>
        <w:tab w:val="right" w:pos="9026"/>
      </w:tabs>
    </w:pPr>
  </w:style>
  <w:style w:type="character" w:customStyle="1" w:styleId="HeaderChar">
    <w:name w:val="Header Char"/>
    <w:basedOn w:val="DefaultParagraphFont"/>
    <w:link w:val="Header"/>
    <w:uiPriority w:val="99"/>
    <w:rsid w:val="00BD4A35"/>
    <w:rPr>
      <w:sz w:val="24"/>
      <w:szCs w:val="24"/>
      <w:lang w:eastAsia="en-US"/>
    </w:rPr>
  </w:style>
  <w:style w:type="paragraph" w:styleId="Footer">
    <w:name w:val="footer"/>
    <w:basedOn w:val="Normal"/>
    <w:link w:val="FooterChar"/>
    <w:uiPriority w:val="99"/>
    <w:unhideWhenUsed/>
    <w:rsid w:val="00BD4A35"/>
    <w:pPr>
      <w:tabs>
        <w:tab w:val="center" w:pos="4513"/>
        <w:tab w:val="right" w:pos="9026"/>
      </w:tabs>
    </w:pPr>
  </w:style>
  <w:style w:type="character" w:customStyle="1" w:styleId="FooterChar">
    <w:name w:val="Footer Char"/>
    <w:basedOn w:val="DefaultParagraphFont"/>
    <w:link w:val="Footer"/>
    <w:uiPriority w:val="99"/>
    <w:rsid w:val="00BD4A35"/>
    <w:rPr>
      <w:sz w:val="24"/>
      <w:szCs w:val="24"/>
      <w:lang w:eastAsia="en-US"/>
    </w:rPr>
  </w:style>
  <w:style w:type="paragraph" w:styleId="BalloonText">
    <w:name w:val="Balloon Text"/>
    <w:basedOn w:val="Normal"/>
    <w:link w:val="BalloonTextChar"/>
    <w:uiPriority w:val="99"/>
    <w:semiHidden/>
    <w:unhideWhenUsed/>
    <w:rsid w:val="00CA6E6A"/>
    <w:rPr>
      <w:rFonts w:ascii="Tahoma" w:hAnsi="Tahoma" w:cs="Tahoma"/>
      <w:sz w:val="16"/>
      <w:szCs w:val="16"/>
    </w:rPr>
  </w:style>
  <w:style w:type="character" w:customStyle="1" w:styleId="BalloonTextChar">
    <w:name w:val="Balloon Text Char"/>
    <w:basedOn w:val="DefaultParagraphFont"/>
    <w:link w:val="BalloonText"/>
    <w:uiPriority w:val="99"/>
    <w:semiHidden/>
    <w:rsid w:val="00CA6E6A"/>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241</TotalTime>
  <Pages>4</Pages>
  <Words>977</Words>
  <Characters>5535</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Eatough, Richard</dc:creator>
  <cp:lastModifiedBy>Eatough, Richard</cp:lastModifiedBy>
  <cp:revision>13</cp:revision>
  <dcterms:created xsi:type="dcterms:W3CDTF">2017-11-07T15:18:00Z</dcterms:created>
  <dcterms:modified xsi:type="dcterms:W3CDTF">2017-11-27T14:09:00Z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RBC\EatoRic</vt:lpwstr>
  </property>
  <property fmtid="{D5CDD505-2E9C-101B-9397-08002B2CF9AE}" pid="5" name="ClassificationMadeExternally">
    <vt:lpwstr>No</vt:lpwstr>
  </property>
  <property fmtid="{D5CDD505-2E9C-101B-9397-08002B2CF9AE}" pid="6" name="ClassificationMadeOn">
    <vt:filetime>2017-06-28T11:40:50Z</vt:filetime>
  </property>
</Properties>
</file>