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B0B79" w:rsidRPr="00790719" w:rsidRDefault="00AB0B79" w:rsidP="00AB0B79">
      <w:pPr>
        <w:rPr>
          <w:rFonts w:cs="Courier New"/>
          <w:b/>
          <w:color w:val="000000"/>
          <w:szCs w:val="24"/>
          <w:lang w:eastAsia="en-GB"/>
        </w:rPr>
      </w:pPr>
      <w:r w:rsidRPr="00790719">
        <w:rPr>
          <w:rFonts w:cs="Courier New"/>
          <w:b/>
          <w:color w:val="000000"/>
          <w:szCs w:val="24"/>
          <w:lang w:eastAsia="en-GB"/>
        </w:rPr>
        <w:t xml:space="preserve">DELEGATED APPLICATION REPORT </w:t>
      </w:r>
      <w:r w:rsidRPr="00790719">
        <w:rPr>
          <w:rFonts w:cs="Courier New"/>
          <w:b/>
          <w:color w:val="000000"/>
          <w:szCs w:val="24"/>
          <w:lang w:eastAsia="en-GB"/>
        </w:rPr>
        <w:tab/>
      </w:r>
      <w:r w:rsidRPr="00790719">
        <w:rPr>
          <w:rFonts w:cs="Courier New"/>
          <w:b/>
          <w:color w:val="000000"/>
          <w:szCs w:val="24"/>
          <w:lang w:eastAsia="en-GB"/>
        </w:rPr>
        <w:tab/>
      </w:r>
      <w:r w:rsidRPr="00790719">
        <w:rPr>
          <w:rFonts w:cs="Courier New"/>
          <w:b/>
          <w:color w:val="000000"/>
          <w:szCs w:val="24"/>
          <w:lang w:eastAsia="en-GB"/>
        </w:rPr>
        <w:tab/>
        <w:t xml:space="preserve">Target Date: </w:t>
      </w:r>
      <w:r w:rsidRPr="00AB0B79">
        <w:rPr>
          <w:rFonts w:cs="Courier New"/>
          <w:color w:val="000000"/>
          <w:szCs w:val="24"/>
          <w:lang w:eastAsia="en-GB"/>
        </w:rPr>
        <w:t>04/09/2017</w:t>
      </w:r>
    </w:p>
    <w:p w:rsidR="00AB0B79" w:rsidRDefault="00AB0B79" w:rsidP="00AB0B79">
      <w:pPr>
        <w:rPr>
          <w:rFonts w:cs="Courier New"/>
          <w:b/>
          <w:color w:val="000000"/>
          <w:szCs w:val="24"/>
          <w:lang w:eastAsia="en-GB"/>
        </w:rPr>
      </w:pPr>
    </w:p>
    <w:p w:rsidR="00AB0B79" w:rsidRPr="00790719" w:rsidRDefault="00AB0B79" w:rsidP="00AB0B79">
      <w:pPr>
        <w:rPr>
          <w:rFonts w:cs="Courier New"/>
          <w:b/>
          <w:color w:val="000000"/>
          <w:szCs w:val="24"/>
          <w:lang w:eastAsia="en-GB"/>
        </w:rPr>
      </w:pPr>
    </w:p>
    <w:p w:rsidR="00AB0B79" w:rsidRPr="00790719" w:rsidRDefault="00AB0B79" w:rsidP="00AB0B79">
      <w:pPr>
        <w:rPr>
          <w:rFonts w:cs="Courier New"/>
          <w:color w:val="000000"/>
          <w:szCs w:val="24"/>
          <w:lang w:eastAsia="en-GB"/>
        </w:rPr>
      </w:pPr>
      <w:r w:rsidRPr="00790719">
        <w:rPr>
          <w:rFonts w:cs="Courier New"/>
          <w:b/>
          <w:color w:val="000000"/>
          <w:szCs w:val="24"/>
          <w:lang w:eastAsia="en-GB"/>
        </w:rPr>
        <w:t>Application No:</w:t>
      </w:r>
      <w:r>
        <w:rPr>
          <w:rFonts w:cs="Courier New"/>
          <w:b/>
          <w:color w:val="000000"/>
          <w:szCs w:val="24"/>
          <w:lang w:eastAsia="en-GB"/>
        </w:rPr>
        <w:t xml:space="preserve"> </w:t>
      </w:r>
      <w:r w:rsidRPr="00AB0B79">
        <w:rPr>
          <w:rFonts w:cs="Courier New"/>
          <w:color w:val="000000"/>
          <w:szCs w:val="24"/>
          <w:lang w:eastAsia="en-GB"/>
        </w:rPr>
        <w:t>171249/HPA</w:t>
      </w:r>
      <w:r w:rsidRPr="00790719">
        <w:rPr>
          <w:rFonts w:cs="Courier New"/>
          <w:color w:val="000000"/>
          <w:szCs w:val="24"/>
          <w:lang w:eastAsia="en-GB"/>
        </w:rPr>
        <w:tab/>
      </w:r>
      <w:r w:rsidRPr="00790719">
        <w:rPr>
          <w:rFonts w:cs="Courier New"/>
          <w:color w:val="000000"/>
          <w:szCs w:val="24"/>
          <w:lang w:eastAsia="en-GB"/>
        </w:rPr>
        <w:tab/>
      </w:r>
      <w:r w:rsidRPr="00790719">
        <w:rPr>
          <w:rFonts w:cs="Courier New"/>
          <w:color w:val="000000"/>
          <w:szCs w:val="24"/>
          <w:lang w:eastAsia="en-GB"/>
        </w:rPr>
        <w:tab/>
      </w:r>
      <w:r w:rsidRPr="00790719">
        <w:rPr>
          <w:rFonts w:cs="Courier New"/>
          <w:color w:val="000000"/>
          <w:szCs w:val="24"/>
          <w:lang w:eastAsia="en-GB"/>
        </w:rPr>
        <w:tab/>
      </w:r>
    </w:p>
    <w:p w:rsidR="00AB0B79" w:rsidRPr="00790719" w:rsidRDefault="00AB0B79" w:rsidP="00AB0B79">
      <w:pPr>
        <w:rPr>
          <w:rFonts w:cs="Courier New"/>
          <w:color w:val="000000"/>
          <w:szCs w:val="24"/>
          <w:lang w:eastAsia="en-GB"/>
        </w:rPr>
      </w:pPr>
      <w:r w:rsidRPr="00790719">
        <w:rPr>
          <w:rFonts w:cs="Courier New"/>
          <w:b/>
          <w:color w:val="000000"/>
          <w:szCs w:val="24"/>
          <w:lang w:eastAsia="en-GB"/>
        </w:rPr>
        <w:t xml:space="preserve">Address: </w:t>
      </w:r>
      <w:r w:rsidRPr="00AB0B79">
        <w:rPr>
          <w:rFonts w:cs="Courier New"/>
          <w:color w:val="000000"/>
          <w:szCs w:val="24"/>
          <w:lang w:eastAsia="en-GB"/>
        </w:rPr>
        <w:t>260 Henley Road</w:t>
      </w:r>
    </w:p>
    <w:p w:rsidR="00AB0B79" w:rsidRDefault="00AB0B79" w:rsidP="00AB0B79">
      <w:pPr>
        <w:rPr>
          <w:rFonts w:cs="Courier New"/>
          <w:color w:val="000000"/>
          <w:szCs w:val="24"/>
          <w:lang w:eastAsia="en-GB"/>
        </w:rPr>
      </w:pPr>
      <w:r w:rsidRPr="00790719">
        <w:rPr>
          <w:rFonts w:cs="Courier New"/>
          <w:b/>
          <w:color w:val="000000"/>
          <w:szCs w:val="24"/>
          <w:lang w:eastAsia="en-GB"/>
        </w:rPr>
        <w:t>Proposal:</w:t>
      </w:r>
      <w:r w:rsidRPr="002533F1">
        <w:rPr>
          <w:rFonts w:cs="Courier New"/>
          <w:color w:val="000000"/>
          <w:szCs w:val="24"/>
          <w:lang w:eastAsia="en-GB"/>
        </w:rPr>
        <w:t xml:space="preserve"> </w:t>
      </w:r>
      <w:r>
        <w:rPr>
          <w:rFonts w:cs="Courier New"/>
          <w:color w:val="000000"/>
          <w:szCs w:val="24"/>
          <w:lang w:eastAsia="en-GB"/>
        </w:rPr>
        <w:t>Single storey rear extension</w:t>
      </w:r>
    </w:p>
    <w:p w:rsidR="00AB0B79" w:rsidRPr="00790719" w:rsidRDefault="00AB0B79" w:rsidP="00AB0B79">
      <w:pPr>
        <w:rPr>
          <w:rFonts w:cs="Courier New"/>
          <w:color w:val="000000"/>
          <w:szCs w:val="24"/>
          <w:lang w:eastAsia="en-GB"/>
        </w:rPr>
      </w:pPr>
      <w:r w:rsidRPr="00790719">
        <w:rPr>
          <w:rFonts w:cs="Courier New"/>
          <w:b/>
          <w:color w:val="000000"/>
          <w:szCs w:val="24"/>
          <w:lang w:eastAsia="en-GB"/>
        </w:rPr>
        <w:t xml:space="preserve">Case officer: </w:t>
      </w:r>
      <w:r>
        <w:rPr>
          <w:rFonts w:cs="Courier New"/>
          <w:color w:val="000000"/>
          <w:szCs w:val="24"/>
          <w:lang w:eastAsia="en-GB"/>
        </w:rPr>
        <w:t>Heather Banks</w:t>
      </w:r>
    </w:p>
    <w:p w:rsidR="00AB0B79" w:rsidRPr="00790719" w:rsidRDefault="00AB0B79" w:rsidP="00AB0B79">
      <w:pPr>
        <w:pStyle w:val="Heading3"/>
        <w:rPr>
          <w:color w:val="000000"/>
          <w:sz w:val="24"/>
          <w:szCs w:val="24"/>
        </w:rPr>
      </w:pPr>
    </w:p>
    <w:p w:rsidR="00AB0B79" w:rsidRPr="00790719" w:rsidRDefault="00AB0B79" w:rsidP="00AB0B79">
      <w:pPr>
        <w:rPr>
          <w:color w:val="000000"/>
          <w:szCs w:val="24"/>
        </w:rPr>
      </w:pPr>
    </w:p>
    <w:p w:rsidR="00AB0B79" w:rsidRPr="003220C9" w:rsidRDefault="00AB0B79" w:rsidP="00AB0B79">
      <w:pPr>
        <w:pStyle w:val="Heading3"/>
        <w:rPr>
          <w:color w:val="000000"/>
          <w:sz w:val="24"/>
          <w:szCs w:val="24"/>
          <w:u w:val="single"/>
        </w:rPr>
      </w:pPr>
      <w:r w:rsidRPr="003220C9">
        <w:rPr>
          <w:color w:val="000000"/>
          <w:sz w:val="24"/>
          <w:szCs w:val="24"/>
          <w:u w:val="single"/>
        </w:rPr>
        <w:t>INTRODUCTION</w:t>
      </w:r>
    </w:p>
    <w:p w:rsidR="00AB0B79" w:rsidRDefault="00AB0B79" w:rsidP="00AB0B79">
      <w:pPr>
        <w:jc w:val="both"/>
        <w:rPr>
          <w:szCs w:val="24"/>
        </w:rPr>
      </w:pPr>
    </w:p>
    <w:p w:rsidR="00AB0B79" w:rsidRPr="00654758" w:rsidRDefault="00AB0B79" w:rsidP="00AB0B79">
      <w:pPr>
        <w:spacing w:after="120"/>
        <w:jc w:val="both"/>
        <w:rPr>
          <w:szCs w:val="24"/>
        </w:rPr>
      </w:pPr>
      <w:r w:rsidRPr="00654758">
        <w:rPr>
          <w:szCs w:val="24"/>
        </w:rPr>
        <w:t xml:space="preserve">Under Class </w:t>
      </w:r>
      <w:proofErr w:type="gramStart"/>
      <w:r w:rsidRPr="00654758">
        <w:rPr>
          <w:szCs w:val="24"/>
        </w:rPr>
        <w:t>A</w:t>
      </w:r>
      <w:r>
        <w:rPr>
          <w:szCs w:val="24"/>
        </w:rPr>
        <w:t>(</w:t>
      </w:r>
      <w:proofErr w:type="gramEnd"/>
      <w:r>
        <w:rPr>
          <w:szCs w:val="24"/>
        </w:rPr>
        <w:t>g)</w:t>
      </w:r>
      <w:r w:rsidRPr="00654758">
        <w:rPr>
          <w:szCs w:val="24"/>
        </w:rPr>
        <w:t>, Part 1, of Schedule 2 to the Town and Country Planning (General Permitted Development) (England) Order 2015</w:t>
      </w:r>
      <w:r>
        <w:rPr>
          <w:szCs w:val="24"/>
        </w:rPr>
        <w:t xml:space="preserve"> (“the 2015 Order”)</w:t>
      </w:r>
      <w:r w:rsidR="00101D05">
        <w:rPr>
          <w:szCs w:val="24"/>
        </w:rPr>
        <w:t xml:space="preserve"> as amended</w:t>
      </w:r>
      <w:r w:rsidRPr="00654758">
        <w:rPr>
          <w:szCs w:val="24"/>
        </w:rPr>
        <w:t xml:space="preserve"> the following is allowed:</w:t>
      </w:r>
    </w:p>
    <w:p w:rsidR="00AB0B79" w:rsidRPr="00DF56C8" w:rsidRDefault="00AB0B79" w:rsidP="00AB0B79">
      <w:pPr>
        <w:spacing w:after="120"/>
        <w:jc w:val="both"/>
        <w:rPr>
          <w:i/>
          <w:color w:val="000000"/>
          <w:szCs w:val="24"/>
        </w:rPr>
      </w:pPr>
      <w:proofErr w:type="gramStart"/>
      <w:r w:rsidRPr="00DF56C8">
        <w:rPr>
          <w:i/>
          <w:color w:val="000000"/>
          <w:szCs w:val="24"/>
        </w:rPr>
        <w:t xml:space="preserve">A single storey extension, beyond the rear wall of a </w:t>
      </w:r>
      <w:r>
        <w:rPr>
          <w:i/>
          <w:color w:val="000000"/>
          <w:szCs w:val="24"/>
        </w:rPr>
        <w:t xml:space="preserve">semi-detached </w:t>
      </w:r>
      <w:r w:rsidRPr="00DF56C8">
        <w:rPr>
          <w:i/>
          <w:color w:val="000000"/>
          <w:szCs w:val="24"/>
        </w:rPr>
        <w:t>house, between 3m and 6m in depth, and up to 4m in height.</w:t>
      </w:r>
      <w:proofErr w:type="gramEnd"/>
    </w:p>
    <w:p w:rsidR="00AB0B79" w:rsidRDefault="00AB0B79" w:rsidP="00AB0B79">
      <w:pPr>
        <w:jc w:val="both"/>
        <w:rPr>
          <w:color w:val="000000"/>
          <w:szCs w:val="24"/>
        </w:rPr>
      </w:pPr>
      <w:proofErr w:type="gramStart"/>
      <w:r>
        <w:rPr>
          <w:color w:val="000000"/>
          <w:szCs w:val="24"/>
        </w:rPr>
        <w:t>provided</w:t>
      </w:r>
      <w:proofErr w:type="gramEnd"/>
      <w:r>
        <w:rPr>
          <w:color w:val="000000"/>
          <w:szCs w:val="24"/>
        </w:rPr>
        <w:t xml:space="preserve"> the development is not excluded by virtue of the criteria in Paragraph A.1 of the 2015 Order. </w:t>
      </w:r>
    </w:p>
    <w:p w:rsidR="00AB0B79" w:rsidRDefault="00AB0B79" w:rsidP="00AB0B79">
      <w:pPr>
        <w:jc w:val="both"/>
        <w:rPr>
          <w:color w:val="000000"/>
          <w:szCs w:val="24"/>
        </w:rPr>
      </w:pPr>
    </w:p>
    <w:p w:rsidR="00AB0B79" w:rsidRPr="009E5D15" w:rsidRDefault="00AB0B79" w:rsidP="00AB0B79">
      <w:pPr>
        <w:autoSpaceDE w:val="0"/>
        <w:autoSpaceDN w:val="0"/>
        <w:adjustRightInd w:val="0"/>
        <w:rPr>
          <w:color w:val="000000"/>
          <w:szCs w:val="24"/>
        </w:rPr>
      </w:pPr>
      <w:r w:rsidRPr="009E5D15">
        <w:rPr>
          <w:color w:val="000000"/>
          <w:szCs w:val="24"/>
        </w:rPr>
        <w:t>Under Paragraph A1 (</w:t>
      </w:r>
      <w:proofErr w:type="spellStart"/>
      <w:r w:rsidRPr="009E5D15">
        <w:rPr>
          <w:color w:val="000000"/>
          <w:szCs w:val="24"/>
        </w:rPr>
        <w:t>j.iii</w:t>
      </w:r>
      <w:proofErr w:type="spellEnd"/>
      <w:r w:rsidRPr="009E5D15">
        <w:rPr>
          <w:color w:val="000000"/>
          <w:szCs w:val="24"/>
        </w:rPr>
        <w:t xml:space="preserve">) development Permitted Development is excluded where: </w:t>
      </w:r>
    </w:p>
    <w:p w:rsidR="00AB0B79" w:rsidRPr="009E5D15" w:rsidRDefault="00AB0B79" w:rsidP="00AB0B79">
      <w:pPr>
        <w:autoSpaceDE w:val="0"/>
        <w:autoSpaceDN w:val="0"/>
        <w:adjustRightInd w:val="0"/>
        <w:rPr>
          <w:color w:val="000000"/>
          <w:szCs w:val="24"/>
          <w:highlight w:val="yellow"/>
        </w:rPr>
      </w:pPr>
    </w:p>
    <w:p w:rsidR="00AB0B79" w:rsidRPr="009E5D15" w:rsidRDefault="009E5D15" w:rsidP="009E5D15">
      <w:pPr>
        <w:autoSpaceDE w:val="0"/>
        <w:autoSpaceDN w:val="0"/>
        <w:adjustRightInd w:val="0"/>
        <w:rPr>
          <w:rFonts w:eastAsiaTheme="minorHAnsi" w:cs="Times-Roman"/>
          <w:i/>
          <w:szCs w:val="24"/>
        </w:rPr>
      </w:pPr>
      <w:r w:rsidRPr="009E5D15">
        <w:rPr>
          <w:rFonts w:eastAsiaTheme="minorHAnsi" w:cs="Times-Roman"/>
          <w:i/>
          <w:szCs w:val="24"/>
        </w:rPr>
        <w:t xml:space="preserve">the enlarged part of the </w:t>
      </w:r>
      <w:proofErr w:type="spellStart"/>
      <w:r w:rsidRPr="009E5D15">
        <w:rPr>
          <w:rFonts w:eastAsiaTheme="minorHAnsi" w:cs="Times-Roman"/>
          <w:i/>
          <w:szCs w:val="24"/>
        </w:rPr>
        <w:t>dwellinghouse</w:t>
      </w:r>
      <w:proofErr w:type="spellEnd"/>
      <w:r w:rsidRPr="009E5D15">
        <w:rPr>
          <w:rFonts w:eastAsiaTheme="minorHAnsi" w:cs="Times-Roman"/>
          <w:i/>
          <w:szCs w:val="24"/>
        </w:rPr>
        <w:t xml:space="preserve"> would extend beyond a wall forming a side elevation of the original </w:t>
      </w:r>
      <w:proofErr w:type="spellStart"/>
      <w:r w:rsidRPr="009E5D15">
        <w:rPr>
          <w:rFonts w:eastAsiaTheme="minorHAnsi" w:cs="Times-Roman"/>
          <w:i/>
          <w:szCs w:val="24"/>
        </w:rPr>
        <w:t>dwellinghouse</w:t>
      </w:r>
      <w:proofErr w:type="spellEnd"/>
      <w:r w:rsidRPr="009E5D15">
        <w:rPr>
          <w:rFonts w:eastAsiaTheme="minorHAnsi" w:cs="Times-Roman"/>
          <w:i/>
          <w:szCs w:val="24"/>
        </w:rPr>
        <w:t xml:space="preserve">, and would— have a width greater than half the width of the original </w:t>
      </w:r>
      <w:proofErr w:type="spellStart"/>
      <w:r w:rsidRPr="009E5D15">
        <w:rPr>
          <w:rFonts w:eastAsiaTheme="minorHAnsi" w:cs="Times-Roman"/>
          <w:i/>
          <w:szCs w:val="24"/>
        </w:rPr>
        <w:t>dwellinghouse</w:t>
      </w:r>
      <w:proofErr w:type="spellEnd"/>
      <w:r w:rsidRPr="009E5D15">
        <w:rPr>
          <w:rFonts w:eastAsiaTheme="minorHAnsi" w:cs="Times-Roman"/>
          <w:i/>
          <w:szCs w:val="24"/>
        </w:rPr>
        <w:t>;</w:t>
      </w:r>
    </w:p>
    <w:p w:rsidR="009E5D15" w:rsidRPr="009E5D15" w:rsidRDefault="009E5D15" w:rsidP="009E5D15">
      <w:pPr>
        <w:jc w:val="both"/>
        <w:rPr>
          <w:color w:val="000000"/>
          <w:szCs w:val="24"/>
        </w:rPr>
      </w:pPr>
    </w:p>
    <w:p w:rsidR="00AB0B79" w:rsidRPr="005B7EFA" w:rsidRDefault="00AB0B79" w:rsidP="00AB0B79">
      <w:pPr>
        <w:jc w:val="both"/>
        <w:rPr>
          <w:color w:val="4F81BD"/>
          <w:szCs w:val="24"/>
        </w:rPr>
      </w:pPr>
      <w:r w:rsidRPr="00294B73">
        <w:rPr>
          <w:color w:val="000000"/>
          <w:szCs w:val="24"/>
        </w:rPr>
        <w:t>The application site is not within a Conservation Area nor have PD rights been withdrawn or restricted by way of a direction made under Article 4 or condition attached to an express planning permission.</w:t>
      </w:r>
      <w:r w:rsidRPr="005B7EFA">
        <w:rPr>
          <w:color w:val="4F81BD"/>
          <w:szCs w:val="24"/>
        </w:rPr>
        <w:t xml:space="preserve">  </w:t>
      </w:r>
    </w:p>
    <w:p w:rsidR="00AB0B79" w:rsidRDefault="00AB0B79" w:rsidP="00AB0B79"/>
    <w:p w:rsidR="00AB0B79" w:rsidRPr="003220C9" w:rsidRDefault="00AB0B79" w:rsidP="00AB0B79">
      <w:pPr>
        <w:rPr>
          <w:u w:val="single"/>
        </w:rPr>
      </w:pPr>
      <w:r w:rsidRPr="003220C9">
        <w:rPr>
          <w:b/>
          <w:u w:val="single"/>
        </w:rPr>
        <w:t>PROPOSAL</w:t>
      </w:r>
    </w:p>
    <w:p w:rsidR="00AB0B79" w:rsidRDefault="00AB0B79" w:rsidP="00AB0B79">
      <w:pPr>
        <w:jc w:val="both"/>
        <w:rPr>
          <w:color w:val="000000"/>
          <w:szCs w:val="24"/>
        </w:rPr>
      </w:pPr>
    </w:p>
    <w:p w:rsidR="00AB0B79" w:rsidRPr="005B6F17" w:rsidRDefault="00AB0B79" w:rsidP="00AB0B79">
      <w:r>
        <w:t>The proposal falls to be considered under Paragraph A.1 (g) and accordingly Condition A4 applies.</w:t>
      </w:r>
    </w:p>
    <w:p w:rsidR="00AB0B79" w:rsidRDefault="00AB0B79" w:rsidP="00AB0B79">
      <w:pPr>
        <w:jc w:val="both"/>
        <w:rPr>
          <w:color w:val="000000"/>
          <w:szCs w:val="24"/>
        </w:rPr>
      </w:pPr>
    </w:p>
    <w:p w:rsidR="00AB0B79" w:rsidRPr="00790719" w:rsidRDefault="00AB0B79" w:rsidP="00AB0B79">
      <w:pPr>
        <w:jc w:val="both"/>
        <w:rPr>
          <w:color w:val="000000"/>
          <w:szCs w:val="24"/>
        </w:rPr>
      </w:pPr>
      <w:r w:rsidRPr="00790719">
        <w:rPr>
          <w:color w:val="000000"/>
          <w:szCs w:val="24"/>
        </w:rPr>
        <w:t>The agent has provided information on the proposed rear extension.  The extension would:</w:t>
      </w:r>
    </w:p>
    <w:p w:rsidR="00AB0B79" w:rsidRPr="009E5D15" w:rsidRDefault="00AB0B79" w:rsidP="00AB0B79">
      <w:pPr>
        <w:pStyle w:val="ListParagraph"/>
        <w:numPr>
          <w:ilvl w:val="0"/>
          <w:numId w:val="1"/>
        </w:numPr>
      </w:pPr>
      <w:r w:rsidRPr="002533F1">
        <w:rPr>
          <w:color w:val="000000"/>
          <w:szCs w:val="24"/>
        </w:rPr>
        <w:t xml:space="preserve">Extend beyond the rear </w:t>
      </w:r>
      <w:r w:rsidRPr="009E5D15">
        <w:rPr>
          <w:color w:val="000000"/>
          <w:szCs w:val="24"/>
        </w:rPr>
        <w:t xml:space="preserve">wall of the original dwelling by </w:t>
      </w:r>
      <w:r w:rsidR="009E5D15" w:rsidRPr="009E5D15">
        <w:rPr>
          <w:color w:val="000000"/>
          <w:szCs w:val="24"/>
        </w:rPr>
        <w:t>6m</w:t>
      </w:r>
    </w:p>
    <w:p w:rsidR="00AB0B79" w:rsidRPr="009E5D15" w:rsidRDefault="00AB0B79" w:rsidP="00AB0B79">
      <w:pPr>
        <w:pStyle w:val="ListParagraph"/>
        <w:numPr>
          <w:ilvl w:val="0"/>
          <w:numId w:val="1"/>
        </w:numPr>
      </w:pPr>
      <w:r w:rsidRPr="009E5D15">
        <w:rPr>
          <w:color w:val="000000"/>
          <w:szCs w:val="24"/>
        </w:rPr>
        <w:t xml:space="preserve">Have a maximum height of </w:t>
      </w:r>
      <w:r w:rsidR="009E5D15" w:rsidRPr="009E5D15">
        <w:rPr>
          <w:color w:val="000000"/>
          <w:szCs w:val="24"/>
        </w:rPr>
        <w:t>4</w:t>
      </w:r>
      <w:r w:rsidRPr="009E5D15">
        <w:rPr>
          <w:color w:val="000000"/>
          <w:szCs w:val="24"/>
        </w:rPr>
        <w:t>m</w:t>
      </w:r>
    </w:p>
    <w:p w:rsidR="00AB0B79" w:rsidRDefault="00AB0B79" w:rsidP="00AB0B79">
      <w:pPr>
        <w:pStyle w:val="ListParagraph"/>
        <w:numPr>
          <w:ilvl w:val="0"/>
          <w:numId w:val="1"/>
        </w:numPr>
      </w:pPr>
      <w:r w:rsidRPr="009E5D15">
        <w:rPr>
          <w:color w:val="000000"/>
          <w:szCs w:val="24"/>
        </w:rPr>
        <w:t xml:space="preserve">Have an eaves height of </w:t>
      </w:r>
      <w:r w:rsidR="009E5D15" w:rsidRPr="009E5D15">
        <w:rPr>
          <w:color w:val="000000"/>
          <w:szCs w:val="24"/>
        </w:rPr>
        <w:t>4</w:t>
      </w:r>
      <w:r w:rsidRPr="009E5D15">
        <w:rPr>
          <w:color w:val="000000"/>
          <w:szCs w:val="24"/>
        </w:rPr>
        <w:t>m</w:t>
      </w:r>
    </w:p>
    <w:p w:rsidR="00AB0B79" w:rsidRDefault="00101D05" w:rsidP="00C87B58">
      <w:pPr>
        <w:spacing w:before="240"/>
      </w:pPr>
      <w:r>
        <w:t xml:space="preserve">To facilitate the proposed extension a single storey rear projection, which was original to the property, has been </w:t>
      </w:r>
      <w:r w:rsidRPr="0014640D">
        <w:t>demolished</w:t>
      </w:r>
      <w:r w:rsidR="00C87B58" w:rsidRPr="0014640D">
        <w:t xml:space="preserve"> (it was present at the time of the officer site visit for application 170234 on 06/03/17)</w:t>
      </w:r>
      <w:r w:rsidRPr="0014640D">
        <w:t xml:space="preserve">. </w:t>
      </w:r>
      <w:r w:rsidR="00AB0B79" w:rsidRPr="0014640D">
        <w:t>The</w:t>
      </w:r>
      <w:r w:rsidR="00AB0B79">
        <w:t xml:space="preserve"> proposal would have </w:t>
      </w:r>
      <w:r w:rsidR="009E5D15">
        <w:t>glazed sliding doors across the whole rear elevation of the extension and a large glazed roof lantern on the roof. To the rear of the extension there will be steps running the full width of the extension to allow access to external ground level.</w:t>
      </w:r>
    </w:p>
    <w:p w:rsidR="00AB0B79" w:rsidRDefault="00AB0B79" w:rsidP="00AB0B79"/>
    <w:p w:rsidR="00AB0B79" w:rsidRPr="003220C9" w:rsidRDefault="00AB0B79" w:rsidP="00AB0B79">
      <w:pPr>
        <w:rPr>
          <w:b/>
          <w:u w:val="single"/>
        </w:rPr>
      </w:pPr>
      <w:r w:rsidRPr="003220C9">
        <w:rPr>
          <w:b/>
          <w:u w:val="single"/>
        </w:rPr>
        <w:t>PLANS SUBMITTED</w:t>
      </w:r>
    </w:p>
    <w:p w:rsidR="00AB0B79" w:rsidRDefault="00AB0B79" w:rsidP="00AB0B79">
      <w:pPr>
        <w:jc w:val="both"/>
        <w:rPr>
          <w:color w:val="000000"/>
          <w:szCs w:val="24"/>
        </w:rPr>
      </w:pPr>
    </w:p>
    <w:p w:rsidR="00AB0B79" w:rsidRDefault="00AB0B79" w:rsidP="00AB0B79">
      <w:pPr>
        <w:jc w:val="both"/>
        <w:rPr>
          <w:color w:val="000000"/>
          <w:szCs w:val="24"/>
        </w:rPr>
      </w:pPr>
      <w:r w:rsidRPr="00790719">
        <w:rPr>
          <w:color w:val="000000"/>
          <w:szCs w:val="24"/>
        </w:rPr>
        <w:t>The agent submitted the following drawing received on</w:t>
      </w:r>
      <w:r>
        <w:rPr>
          <w:color w:val="000000"/>
          <w:szCs w:val="24"/>
        </w:rPr>
        <w:t xml:space="preserve"> </w:t>
      </w:r>
      <w:r w:rsidR="006C40A7">
        <w:rPr>
          <w:color w:val="000000"/>
          <w:szCs w:val="24"/>
        </w:rPr>
        <w:t>25</w:t>
      </w:r>
      <w:r w:rsidR="006C40A7" w:rsidRPr="006C40A7">
        <w:rPr>
          <w:color w:val="000000"/>
          <w:szCs w:val="24"/>
          <w:vertAlign w:val="superscript"/>
        </w:rPr>
        <w:t>th</w:t>
      </w:r>
      <w:r w:rsidR="006C40A7">
        <w:rPr>
          <w:color w:val="000000"/>
          <w:szCs w:val="24"/>
        </w:rPr>
        <w:t xml:space="preserve"> July 2017:</w:t>
      </w:r>
    </w:p>
    <w:p w:rsidR="006C40A7" w:rsidRDefault="006C40A7" w:rsidP="00AB0B79">
      <w:pPr>
        <w:jc w:val="both"/>
        <w:rPr>
          <w:color w:val="000000"/>
          <w:szCs w:val="24"/>
        </w:rPr>
      </w:pPr>
      <w:r>
        <w:rPr>
          <w:color w:val="000000"/>
          <w:szCs w:val="24"/>
        </w:rPr>
        <w:t>Drawing No: 400_P-010 – OS Site Map, Existing Block Plan</w:t>
      </w:r>
    </w:p>
    <w:p w:rsidR="006C40A7" w:rsidRDefault="006C40A7" w:rsidP="00AB0B79">
      <w:pPr>
        <w:jc w:val="both"/>
        <w:rPr>
          <w:color w:val="000000"/>
          <w:szCs w:val="24"/>
        </w:rPr>
      </w:pPr>
      <w:r>
        <w:rPr>
          <w:color w:val="000000"/>
          <w:szCs w:val="24"/>
        </w:rPr>
        <w:t>Drawing No: 400_P-011 – Existing Floor Plans and Elevations</w:t>
      </w:r>
    </w:p>
    <w:p w:rsidR="006C40A7" w:rsidRDefault="006C40A7" w:rsidP="00AB0B79">
      <w:pPr>
        <w:jc w:val="both"/>
        <w:rPr>
          <w:color w:val="000000"/>
          <w:szCs w:val="24"/>
        </w:rPr>
      </w:pPr>
      <w:r>
        <w:rPr>
          <w:color w:val="000000"/>
          <w:szCs w:val="24"/>
        </w:rPr>
        <w:lastRenderedPageBreak/>
        <w:t>Drawing No: 400_P-012 – OS Site Map, Proposed Block Plan</w:t>
      </w:r>
    </w:p>
    <w:p w:rsidR="006C40A7" w:rsidRDefault="006C40A7" w:rsidP="00AB0B79">
      <w:pPr>
        <w:jc w:val="both"/>
      </w:pPr>
      <w:r>
        <w:rPr>
          <w:color w:val="000000"/>
          <w:szCs w:val="24"/>
        </w:rPr>
        <w:t>Drawing No: 400_P-013 – Proposed floor</w:t>
      </w:r>
    </w:p>
    <w:p w:rsidR="00AB0B79" w:rsidRDefault="00AB0B79" w:rsidP="00AB0B79"/>
    <w:p w:rsidR="00AB0B79" w:rsidRDefault="00AB0B79" w:rsidP="00AB0B79">
      <w:pPr>
        <w:jc w:val="both"/>
        <w:rPr>
          <w:b/>
          <w:bCs/>
          <w:color w:val="000000"/>
          <w:szCs w:val="24"/>
          <w:u w:val="single"/>
        </w:rPr>
      </w:pPr>
      <w:r w:rsidRPr="005B6F17">
        <w:rPr>
          <w:b/>
          <w:bCs/>
          <w:color w:val="000000"/>
          <w:szCs w:val="24"/>
          <w:u w:val="single"/>
        </w:rPr>
        <w:t>PLANNING HISTORY</w:t>
      </w:r>
    </w:p>
    <w:p w:rsidR="00AB0B79" w:rsidRDefault="006C40A7" w:rsidP="006C40A7">
      <w:pPr>
        <w:jc w:val="both"/>
        <w:rPr>
          <w:bCs/>
          <w:color w:val="000000"/>
          <w:szCs w:val="24"/>
        </w:rPr>
      </w:pPr>
      <w:r>
        <w:rPr>
          <w:bCs/>
          <w:color w:val="000000"/>
          <w:szCs w:val="24"/>
        </w:rPr>
        <w:t xml:space="preserve">170234/HOU - </w:t>
      </w:r>
      <w:r w:rsidRPr="006C40A7">
        <w:rPr>
          <w:bCs/>
          <w:color w:val="000000"/>
          <w:szCs w:val="24"/>
        </w:rPr>
        <w:t>Demolition of existing side garage and conservatory to be replaced by</w:t>
      </w:r>
      <w:r>
        <w:rPr>
          <w:bCs/>
          <w:color w:val="000000"/>
          <w:szCs w:val="24"/>
        </w:rPr>
        <w:t xml:space="preserve"> </w:t>
      </w:r>
      <w:r w:rsidRPr="006C40A7">
        <w:rPr>
          <w:bCs/>
          <w:color w:val="000000"/>
          <w:szCs w:val="24"/>
        </w:rPr>
        <w:t>two storey side extension, loft conversion and rear dormer extension.</w:t>
      </w:r>
      <w:r>
        <w:rPr>
          <w:bCs/>
          <w:color w:val="000000"/>
          <w:szCs w:val="24"/>
        </w:rPr>
        <w:t xml:space="preserve"> Permitted 13/04/2017</w:t>
      </w:r>
    </w:p>
    <w:p w:rsidR="006C40A7" w:rsidRPr="006C40A7" w:rsidRDefault="006C40A7" w:rsidP="006C40A7">
      <w:pPr>
        <w:jc w:val="both"/>
        <w:rPr>
          <w:bCs/>
          <w:color w:val="000000"/>
          <w:szCs w:val="24"/>
        </w:rPr>
      </w:pPr>
      <w:r>
        <w:rPr>
          <w:bCs/>
          <w:color w:val="000000"/>
          <w:szCs w:val="24"/>
        </w:rPr>
        <w:t xml:space="preserve">171351/HOU – Single storey rear extension. </w:t>
      </w:r>
      <w:r w:rsidRPr="006C40A7">
        <w:rPr>
          <w:bCs/>
          <w:i/>
          <w:color w:val="000000"/>
          <w:szCs w:val="24"/>
        </w:rPr>
        <w:t>Under consideration</w:t>
      </w:r>
    </w:p>
    <w:p w:rsidR="00AB0B79" w:rsidRDefault="00AB0B79" w:rsidP="00AB0B79">
      <w:pPr>
        <w:jc w:val="both"/>
        <w:rPr>
          <w:b/>
          <w:color w:val="000000"/>
          <w:szCs w:val="24"/>
        </w:rPr>
      </w:pPr>
    </w:p>
    <w:p w:rsidR="00AB0B79" w:rsidRPr="00574A38" w:rsidRDefault="00AB0B79" w:rsidP="00AB0B79">
      <w:pPr>
        <w:jc w:val="both"/>
        <w:rPr>
          <w:b/>
          <w:color w:val="000000"/>
          <w:szCs w:val="24"/>
          <w:u w:val="single"/>
        </w:rPr>
      </w:pPr>
      <w:r w:rsidRPr="00574A38">
        <w:rPr>
          <w:b/>
          <w:color w:val="000000"/>
          <w:szCs w:val="24"/>
          <w:u w:val="single"/>
        </w:rPr>
        <w:t>RESPONSE TO PUBLICITY (REPRESENTATIONS RECEIVED)</w:t>
      </w:r>
    </w:p>
    <w:p w:rsidR="00AB0B79" w:rsidRPr="005B7EFA" w:rsidRDefault="00AB0B79" w:rsidP="00AB0B79">
      <w:pPr>
        <w:jc w:val="both"/>
        <w:rPr>
          <w:b/>
          <w:color w:val="000000"/>
          <w:szCs w:val="24"/>
        </w:rPr>
      </w:pPr>
    </w:p>
    <w:p w:rsidR="00AB0B79" w:rsidRDefault="00AB0B79" w:rsidP="00AB0B79">
      <w:pPr>
        <w:jc w:val="both"/>
        <w:rPr>
          <w:color w:val="000000"/>
          <w:szCs w:val="24"/>
        </w:rPr>
      </w:pPr>
      <w:r w:rsidRPr="003B5F4E">
        <w:rPr>
          <w:color w:val="000000"/>
          <w:szCs w:val="24"/>
        </w:rPr>
        <w:t>In accordance with the relevant provision of the GPDO 2015 Order, the LPA notified</w:t>
      </w:r>
      <w:r>
        <w:rPr>
          <w:color w:val="000000"/>
          <w:szCs w:val="24"/>
        </w:rPr>
        <w:t xml:space="preserve"> </w:t>
      </w:r>
      <w:r w:rsidRPr="00AB7F9E">
        <w:rPr>
          <w:szCs w:val="24"/>
        </w:rPr>
        <w:t xml:space="preserve">on </w:t>
      </w:r>
      <w:r>
        <w:rPr>
          <w:szCs w:val="24"/>
        </w:rPr>
        <w:t>27</w:t>
      </w:r>
      <w:r w:rsidRPr="00AB0B79">
        <w:rPr>
          <w:szCs w:val="24"/>
          <w:vertAlign w:val="superscript"/>
        </w:rPr>
        <w:t>th</w:t>
      </w:r>
      <w:r>
        <w:rPr>
          <w:szCs w:val="24"/>
        </w:rPr>
        <w:t xml:space="preserve"> July 2017</w:t>
      </w:r>
      <w:r w:rsidRPr="00AB7F9E">
        <w:rPr>
          <w:szCs w:val="24"/>
        </w:rPr>
        <w:t xml:space="preserve"> the adjoining owners and occupiers</w:t>
      </w:r>
      <w:r>
        <w:rPr>
          <w:color w:val="FF0000"/>
          <w:szCs w:val="24"/>
        </w:rPr>
        <w:t xml:space="preserve"> </w:t>
      </w:r>
      <w:r w:rsidRPr="005B7EFA">
        <w:rPr>
          <w:color w:val="000000"/>
          <w:szCs w:val="24"/>
        </w:rPr>
        <w:t xml:space="preserve">at </w:t>
      </w:r>
      <w:r>
        <w:rPr>
          <w:color w:val="000000"/>
          <w:szCs w:val="24"/>
        </w:rPr>
        <w:t>258 and 262 Henley Road and 2B Hawthorne Road</w:t>
      </w:r>
      <w:r w:rsidRPr="00790719">
        <w:rPr>
          <w:color w:val="000000"/>
          <w:szCs w:val="24"/>
        </w:rPr>
        <w:t xml:space="preserve"> </w:t>
      </w:r>
      <w:r w:rsidRPr="00AB7F9E">
        <w:rPr>
          <w:szCs w:val="24"/>
        </w:rPr>
        <w:t xml:space="preserve">providing a period of 21-days for representations to be made. </w:t>
      </w:r>
      <w:r w:rsidRPr="005B7EFA">
        <w:rPr>
          <w:color w:val="000000"/>
          <w:szCs w:val="24"/>
        </w:rPr>
        <w:t xml:space="preserve">The 21 day </w:t>
      </w:r>
      <w:r>
        <w:rPr>
          <w:color w:val="000000"/>
          <w:szCs w:val="24"/>
        </w:rPr>
        <w:t>consultation period expired on 17</w:t>
      </w:r>
      <w:r w:rsidRPr="00AB0B79">
        <w:rPr>
          <w:color w:val="000000"/>
          <w:szCs w:val="24"/>
          <w:vertAlign w:val="superscript"/>
        </w:rPr>
        <w:t>th</w:t>
      </w:r>
      <w:r>
        <w:rPr>
          <w:color w:val="000000"/>
          <w:szCs w:val="24"/>
        </w:rPr>
        <w:t xml:space="preserve"> August 2017</w:t>
      </w:r>
      <w:r w:rsidRPr="005B7EFA">
        <w:rPr>
          <w:color w:val="000000"/>
          <w:szCs w:val="24"/>
        </w:rPr>
        <w:t>.</w:t>
      </w:r>
      <w:r>
        <w:rPr>
          <w:color w:val="000000"/>
          <w:szCs w:val="24"/>
        </w:rPr>
        <w:t xml:space="preserve"> </w:t>
      </w:r>
      <w:r w:rsidRPr="00E87998">
        <w:rPr>
          <w:color w:val="000000"/>
          <w:szCs w:val="24"/>
        </w:rPr>
        <w:t>No letters of representation have been received.</w:t>
      </w:r>
    </w:p>
    <w:p w:rsidR="00B507DF" w:rsidRDefault="00B507DF" w:rsidP="00AB0B79">
      <w:pPr>
        <w:jc w:val="both"/>
        <w:rPr>
          <w:color w:val="000000"/>
          <w:szCs w:val="24"/>
        </w:rPr>
      </w:pPr>
    </w:p>
    <w:p w:rsidR="00B507DF" w:rsidRPr="00F40464" w:rsidRDefault="00B507DF" w:rsidP="00AB0B79">
      <w:pPr>
        <w:jc w:val="both"/>
        <w:rPr>
          <w:b/>
          <w:color w:val="000000"/>
          <w:szCs w:val="24"/>
          <w:u w:val="single"/>
        </w:rPr>
      </w:pPr>
      <w:r w:rsidRPr="00F40464">
        <w:rPr>
          <w:b/>
          <w:color w:val="000000"/>
          <w:szCs w:val="24"/>
          <w:u w:val="single"/>
        </w:rPr>
        <w:t>DISCUSSIONS WITH APPLICANT</w:t>
      </w:r>
    </w:p>
    <w:p w:rsidR="00AB0B79" w:rsidRPr="00F40464" w:rsidRDefault="00AB0B79" w:rsidP="00AB0B79">
      <w:pPr>
        <w:jc w:val="both"/>
        <w:rPr>
          <w:color w:val="FF0000"/>
          <w:szCs w:val="24"/>
        </w:rPr>
      </w:pPr>
      <w:r w:rsidRPr="00F40464">
        <w:rPr>
          <w:color w:val="FF0000"/>
          <w:szCs w:val="24"/>
        </w:rPr>
        <w:t xml:space="preserve"> </w:t>
      </w:r>
    </w:p>
    <w:p w:rsidR="0014640D" w:rsidRDefault="0014640D" w:rsidP="00AB0B79">
      <w:pPr>
        <w:jc w:val="both"/>
        <w:rPr>
          <w:szCs w:val="24"/>
        </w:rPr>
      </w:pPr>
      <w:r w:rsidRPr="00F40464">
        <w:rPr>
          <w:color w:val="000000" w:themeColor="text1"/>
          <w:szCs w:val="24"/>
        </w:rPr>
        <w:t>The agent was emailed on the 24</w:t>
      </w:r>
      <w:r w:rsidRPr="00F40464">
        <w:rPr>
          <w:color w:val="000000" w:themeColor="text1"/>
          <w:szCs w:val="24"/>
          <w:vertAlign w:val="superscript"/>
        </w:rPr>
        <w:t>th</w:t>
      </w:r>
      <w:r w:rsidRPr="00F40464">
        <w:rPr>
          <w:color w:val="000000" w:themeColor="text1"/>
          <w:szCs w:val="24"/>
        </w:rPr>
        <w:t xml:space="preserve"> August and advised that</w:t>
      </w:r>
      <w:r w:rsidRPr="00F40464">
        <w:rPr>
          <w:color w:val="FF0000"/>
          <w:szCs w:val="24"/>
        </w:rPr>
        <w:t xml:space="preserve"> </w:t>
      </w:r>
      <w:r w:rsidRPr="00F40464">
        <w:rPr>
          <w:szCs w:val="24"/>
        </w:rPr>
        <w:t>the proposed extension would not be considered to be permitted development as it</w:t>
      </w:r>
      <w:r>
        <w:rPr>
          <w:szCs w:val="24"/>
        </w:rPr>
        <w:t xml:space="preserve"> does not comply with paragraph A.1 (</w:t>
      </w:r>
      <w:proofErr w:type="spellStart"/>
      <w:r>
        <w:rPr>
          <w:szCs w:val="24"/>
        </w:rPr>
        <w:t>j.iii</w:t>
      </w:r>
      <w:proofErr w:type="spellEnd"/>
      <w:r>
        <w:rPr>
          <w:szCs w:val="24"/>
        </w:rPr>
        <w:t xml:space="preserve">) of Part 1, Schedule 2 of the General Permitted Development Order 2015 (as amended). The agent was advised to withdraw the application. </w:t>
      </w:r>
    </w:p>
    <w:p w:rsidR="00F40464" w:rsidRDefault="00F40464" w:rsidP="00AB0B79">
      <w:pPr>
        <w:jc w:val="both"/>
        <w:rPr>
          <w:szCs w:val="24"/>
        </w:rPr>
      </w:pPr>
    </w:p>
    <w:p w:rsidR="00F40464" w:rsidRDefault="00F40464" w:rsidP="00AB0B79">
      <w:pPr>
        <w:jc w:val="both"/>
        <w:rPr>
          <w:szCs w:val="24"/>
        </w:rPr>
      </w:pPr>
      <w:r>
        <w:rPr>
          <w:szCs w:val="24"/>
        </w:rPr>
        <w:t>The agent responded to this email stating that they strongly disagreed with the Case Officer’s interpretation of paragraph A.1 (</w:t>
      </w:r>
      <w:proofErr w:type="spellStart"/>
      <w:r>
        <w:rPr>
          <w:szCs w:val="24"/>
        </w:rPr>
        <w:t>j.iii</w:t>
      </w:r>
      <w:proofErr w:type="spellEnd"/>
      <w:r>
        <w:rPr>
          <w:szCs w:val="24"/>
        </w:rPr>
        <w:t>) and that given the single storey rear projection has been demolished it would not be considered as a side elevation of the original house, past which the proposal would extend. The agent stated that they would appeal a refusal of this application.</w:t>
      </w:r>
    </w:p>
    <w:p w:rsidR="0014640D" w:rsidRDefault="0014640D" w:rsidP="00AB0B79">
      <w:pPr>
        <w:jc w:val="both"/>
        <w:rPr>
          <w:szCs w:val="24"/>
        </w:rPr>
      </w:pPr>
    </w:p>
    <w:p w:rsidR="00B507DF" w:rsidRDefault="0014640D" w:rsidP="00AB0B79">
      <w:pPr>
        <w:jc w:val="both"/>
        <w:rPr>
          <w:color w:val="FF0000"/>
          <w:szCs w:val="24"/>
        </w:rPr>
      </w:pPr>
      <w:r>
        <w:rPr>
          <w:szCs w:val="24"/>
        </w:rPr>
        <w:t>The applicant had been previously advised under the application for planning permission 170234 that a rear extension of this depth would be considered to harm the amenity of the neighbouring properties and should be reduced in size. The agent was advised that they could look into submitting a larger home extension prior approval application. The rear extension was removed from the 170234 application and permission was granted for the other works. The agent contacted the Case Officer in Jun</w:t>
      </w:r>
      <w:r w:rsidR="00F40464">
        <w:rPr>
          <w:szCs w:val="24"/>
        </w:rPr>
        <w:t>e</w:t>
      </w:r>
      <w:r>
        <w:rPr>
          <w:szCs w:val="24"/>
        </w:rPr>
        <w:t xml:space="preserve"> </w:t>
      </w:r>
      <w:r w:rsidR="00F40464">
        <w:rPr>
          <w:szCs w:val="24"/>
        </w:rPr>
        <w:t>r</w:t>
      </w:r>
      <w:r>
        <w:rPr>
          <w:szCs w:val="24"/>
        </w:rPr>
        <w:t>egarding the potential submission of a prior approval application. After further considering the site the Case Officer advised against submitting a Prior Approval application</w:t>
      </w:r>
      <w:r w:rsidR="00F40464">
        <w:rPr>
          <w:szCs w:val="24"/>
        </w:rPr>
        <w:t>, via email on the 21</w:t>
      </w:r>
      <w:r w:rsidR="00F40464" w:rsidRPr="00F40464">
        <w:rPr>
          <w:szCs w:val="24"/>
          <w:vertAlign w:val="superscript"/>
        </w:rPr>
        <w:t>st</w:t>
      </w:r>
      <w:r w:rsidR="00F40464">
        <w:rPr>
          <w:szCs w:val="24"/>
        </w:rPr>
        <w:t xml:space="preserve"> June,</w:t>
      </w:r>
      <w:r>
        <w:rPr>
          <w:szCs w:val="24"/>
        </w:rPr>
        <w:t xml:space="preserve"> as the proposal would not comply with paragraph A.1 (</w:t>
      </w:r>
      <w:proofErr w:type="spellStart"/>
      <w:r>
        <w:rPr>
          <w:szCs w:val="24"/>
        </w:rPr>
        <w:t>j.iii</w:t>
      </w:r>
      <w:proofErr w:type="spellEnd"/>
      <w:r>
        <w:rPr>
          <w:szCs w:val="24"/>
        </w:rPr>
        <w:t xml:space="preserve">) of Part 1, Schedule 2 of the General Permitted Development Order 2015 (as amended) due to the original single storey projection to the rear of the property. The agent was advised to instead submit a planning application for a </w:t>
      </w:r>
      <w:r w:rsidR="00F40464">
        <w:rPr>
          <w:szCs w:val="24"/>
        </w:rPr>
        <w:t>rear extension of reduced size.</w:t>
      </w:r>
    </w:p>
    <w:p w:rsidR="00B507DF" w:rsidRDefault="00B507DF" w:rsidP="00AB0B79">
      <w:pPr>
        <w:jc w:val="both"/>
        <w:rPr>
          <w:color w:val="FF0000"/>
          <w:szCs w:val="24"/>
        </w:rPr>
      </w:pPr>
    </w:p>
    <w:p w:rsidR="00AB0B79" w:rsidRPr="00574A38" w:rsidRDefault="00AB0B79" w:rsidP="00AB0B79">
      <w:pPr>
        <w:jc w:val="both"/>
        <w:rPr>
          <w:b/>
          <w:szCs w:val="24"/>
          <w:u w:val="single"/>
        </w:rPr>
      </w:pPr>
      <w:r w:rsidRPr="00574A38">
        <w:rPr>
          <w:b/>
          <w:szCs w:val="24"/>
          <w:u w:val="single"/>
        </w:rPr>
        <w:t>ASSESSMENT</w:t>
      </w:r>
    </w:p>
    <w:p w:rsidR="00AB0B79" w:rsidRPr="00574A38" w:rsidRDefault="00AB0B79" w:rsidP="00AB0B79">
      <w:pPr>
        <w:jc w:val="both"/>
        <w:rPr>
          <w:szCs w:val="24"/>
        </w:rPr>
      </w:pPr>
    </w:p>
    <w:p w:rsidR="00F40464" w:rsidRDefault="00101D05" w:rsidP="00101D05">
      <w:pPr>
        <w:autoSpaceDE w:val="0"/>
        <w:autoSpaceDN w:val="0"/>
        <w:adjustRightInd w:val="0"/>
      </w:pPr>
      <w:r>
        <w:t>To faci</w:t>
      </w:r>
      <w:r w:rsidR="00F40464">
        <w:t xml:space="preserve">litate the proposed extension the agent has stated that the </w:t>
      </w:r>
      <w:r>
        <w:t>single storey rear projection, which was original to the property</w:t>
      </w:r>
      <w:r w:rsidR="00F40464">
        <w:t xml:space="preserve"> and present when the Case Officer made a visit to the site on 3</w:t>
      </w:r>
      <w:r w:rsidR="00F40464" w:rsidRPr="00F40464">
        <w:rPr>
          <w:vertAlign w:val="superscript"/>
        </w:rPr>
        <w:t>rd</w:t>
      </w:r>
      <w:r w:rsidR="00F40464">
        <w:t xml:space="preserve"> March 2017 under application 170234</w:t>
      </w:r>
      <w:r>
        <w:t>, has been demolished.</w:t>
      </w:r>
      <w:r w:rsidR="00F40464">
        <w:t xml:space="preserve"> The projection, however, is still visible on the block plan submitted with this application. </w:t>
      </w:r>
      <w:r w:rsidR="00A54B5F">
        <w:t xml:space="preserve">This element was located to the north eastern rear corner of the original property with a width that only extended across part of the rear elevation of the property. </w:t>
      </w:r>
      <w:r w:rsidR="00F40464">
        <w:t xml:space="preserve">It is considered that this element is original to the property given that it is clearly visible </w:t>
      </w:r>
      <w:r w:rsidR="00A54B5F">
        <w:t>on the 1950 Ordnance Survey map, see below (the application property is marked with a pointer):</w:t>
      </w:r>
    </w:p>
    <w:p w:rsidR="00A54B5F" w:rsidRDefault="00887801" w:rsidP="00101D05">
      <w:pPr>
        <w:autoSpaceDE w:val="0"/>
        <w:autoSpaceDN w:val="0"/>
        <w:adjustRightInd w:val="0"/>
      </w:pPr>
      <w:r>
        <w:rPr>
          <w:noProof/>
        </w:rPr>
        <w:lastRenderedPageBrea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margin-left:-16.8pt;margin-top:-25.5pt;width:490.45pt;height:694.1pt;z-index:251659264;mso-position-horizontal-relative:text;mso-position-vertical-relative:text">
            <v:imagedata r:id="rId8" o:title=""/>
            <w10:wrap type="square"/>
          </v:shape>
          <o:OLEObject Type="Embed" ProgID="AcroExch.Document.11" ShapeID="_x0000_s1026" DrawAspect="Content" ObjectID="_1566736223" r:id="rId9"/>
        </w:pict>
      </w:r>
    </w:p>
    <w:p w:rsidR="00E65B0F" w:rsidRDefault="00A54B5F" w:rsidP="00101D05">
      <w:pPr>
        <w:autoSpaceDE w:val="0"/>
        <w:autoSpaceDN w:val="0"/>
        <w:adjustRightInd w:val="0"/>
        <w:rPr>
          <w:szCs w:val="24"/>
        </w:rPr>
      </w:pPr>
      <w:r>
        <w:t>There</w:t>
      </w:r>
      <w:r>
        <w:rPr>
          <w:szCs w:val="24"/>
        </w:rPr>
        <w:t xml:space="preserve"> have been a number of appeal decisions in recent years which consider</w:t>
      </w:r>
      <w:r w:rsidR="004A5A33">
        <w:rPr>
          <w:szCs w:val="24"/>
        </w:rPr>
        <w:t xml:space="preserve"> </w:t>
      </w:r>
      <w:r>
        <w:rPr>
          <w:szCs w:val="24"/>
        </w:rPr>
        <w:t xml:space="preserve">what constitutes a wall forming the side elevation of the original dwelling house and whether or not the side elevation of a demolished element must also be taken into account here. </w:t>
      </w:r>
      <w:r w:rsidR="004A5A33">
        <w:rPr>
          <w:szCs w:val="24"/>
        </w:rPr>
        <w:t xml:space="preserve">The </w:t>
      </w:r>
      <w:r w:rsidR="00E65B0F">
        <w:rPr>
          <w:szCs w:val="24"/>
        </w:rPr>
        <w:t xml:space="preserve">following recent appeal decision support </w:t>
      </w:r>
      <w:r w:rsidR="003F1A2F">
        <w:rPr>
          <w:szCs w:val="24"/>
        </w:rPr>
        <w:t xml:space="preserve">the </w:t>
      </w:r>
      <w:r w:rsidR="00E65B0F">
        <w:rPr>
          <w:szCs w:val="24"/>
        </w:rPr>
        <w:t xml:space="preserve">conclusion that the side elevations of </w:t>
      </w:r>
      <w:r w:rsidR="00E65B0F">
        <w:rPr>
          <w:szCs w:val="24"/>
        </w:rPr>
        <w:lastRenderedPageBreak/>
        <w:t>an original part width</w:t>
      </w:r>
      <w:r w:rsidR="003F1A2F">
        <w:rPr>
          <w:szCs w:val="24"/>
        </w:rPr>
        <w:t>, single storey</w:t>
      </w:r>
      <w:r w:rsidR="00E65B0F">
        <w:rPr>
          <w:szCs w:val="24"/>
        </w:rPr>
        <w:t xml:space="preserve"> rear projection</w:t>
      </w:r>
      <w:r w:rsidR="004A5A33">
        <w:rPr>
          <w:szCs w:val="24"/>
        </w:rPr>
        <w:t xml:space="preserve"> </w:t>
      </w:r>
      <w:r w:rsidR="00E65B0F">
        <w:rPr>
          <w:szCs w:val="24"/>
        </w:rPr>
        <w:t>should be considered as a side elevation of the original property:</w:t>
      </w:r>
    </w:p>
    <w:tbl>
      <w:tblPr>
        <w:tblW w:w="10072" w:type="dxa"/>
        <w:tblBorders>
          <w:top w:val="nil"/>
          <w:left w:val="nil"/>
          <w:bottom w:val="nil"/>
          <w:right w:val="nil"/>
        </w:tblBorders>
        <w:tblLayout w:type="fixed"/>
        <w:tblLook w:val="0000" w:firstRow="0" w:lastRow="0" w:firstColumn="0" w:lastColumn="0" w:noHBand="0" w:noVBand="0"/>
      </w:tblPr>
      <w:tblGrid>
        <w:gridCol w:w="10072"/>
      </w:tblGrid>
      <w:tr w:rsidR="00CA7F6D" w:rsidRPr="00DA0CF7" w:rsidTr="00A0220C">
        <w:trPr>
          <w:trHeight w:val="256"/>
        </w:trPr>
        <w:tc>
          <w:tcPr>
            <w:tcW w:w="10072" w:type="dxa"/>
          </w:tcPr>
          <w:p w:rsidR="00CA7F6D" w:rsidRPr="00DA0CF7" w:rsidRDefault="00CA7F6D">
            <w:pPr>
              <w:pStyle w:val="Default"/>
              <w:rPr>
                <w:rFonts w:ascii="Trebuchet MS" w:hAnsi="Trebuchet MS"/>
                <w:b/>
                <w:i/>
                <w:sz w:val="22"/>
                <w:szCs w:val="22"/>
              </w:rPr>
            </w:pPr>
            <w:r w:rsidRPr="00DA0CF7">
              <w:rPr>
                <w:rFonts w:ascii="Trebuchet MS" w:hAnsi="Trebuchet MS"/>
                <w:b/>
                <w:bCs/>
                <w:i/>
                <w:sz w:val="22"/>
                <w:szCs w:val="22"/>
              </w:rPr>
              <w:t xml:space="preserve">Appeal Ref: APP/L5240/X/16/3143801 </w:t>
            </w:r>
          </w:p>
          <w:p w:rsidR="00CA7F6D" w:rsidRPr="00DA0CF7" w:rsidRDefault="00CA7F6D">
            <w:pPr>
              <w:pStyle w:val="Default"/>
              <w:rPr>
                <w:rFonts w:ascii="Trebuchet MS" w:hAnsi="Trebuchet MS"/>
                <w:b/>
                <w:bCs/>
                <w:i/>
                <w:sz w:val="22"/>
                <w:szCs w:val="22"/>
              </w:rPr>
            </w:pPr>
            <w:r w:rsidRPr="00DA0CF7">
              <w:rPr>
                <w:rFonts w:ascii="Trebuchet MS" w:hAnsi="Trebuchet MS"/>
                <w:b/>
                <w:bCs/>
                <w:i/>
                <w:sz w:val="22"/>
                <w:szCs w:val="22"/>
              </w:rPr>
              <w:t>68 Hunter Road, Tho</w:t>
            </w:r>
            <w:r w:rsidR="00A0220C" w:rsidRPr="00DA0CF7">
              <w:rPr>
                <w:rFonts w:ascii="Trebuchet MS" w:hAnsi="Trebuchet MS"/>
                <w:b/>
                <w:bCs/>
                <w:i/>
                <w:sz w:val="22"/>
                <w:szCs w:val="22"/>
              </w:rPr>
              <w:t>rnton Heath, Greater London CR7</w:t>
            </w:r>
            <w:r w:rsidRPr="00DA0CF7">
              <w:rPr>
                <w:rFonts w:ascii="Trebuchet MS" w:hAnsi="Trebuchet MS"/>
                <w:b/>
                <w:bCs/>
                <w:i/>
                <w:sz w:val="22"/>
                <w:szCs w:val="22"/>
              </w:rPr>
              <w:t xml:space="preserve">8QG </w:t>
            </w:r>
          </w:p>
          <w:p w:rsidR="00A0220C" w:rsidRPr="00DA0CF7" w:rsidRDefault="00A0220C">
            <w:pPr>
              <w:pStyle w:val="Default"/>
              <w:rPr>
                <w:rFonts w:ascii="Trebuchet MS" w:hAnsi="Trebuchet MS"/>
                <w:i/>
                <w:sz w:val="22"/>
                <w:szCs w:val="22"/>
              </w:rPr>
            </w:pPr>
            <w:r w:rsidRPr="00DA0CF7">
              <w:rPr>
                <w:rFonts w:ascii="Trebuchet MS" w:hAnsi="Trebuchet MS"/>
                <w:b/>
                <w:bCs/>
                <w:i/>
                <w:sz w:val="22"/>
                <w:szCs w:val="22"/>
              </w:rPr>
              <w:t>Decision Made: 2</w:t>
            </w:r>
            <w:r w:rsidRPr="00DA0CF7">
              <w:rPr>
                <w:rFonts w:ascii="Trebuchet MS" w:hAnsi="Trebuchet MS"/>
                <w:b/>
                <w:bCs/>
                <w:i/>
                <w:sz w:val="22"/>
                <w:szCs w:val="22"/>
                <w:vertAlign w:val="superscript"/>
              </w:rPr>
              <w:t>nd</w:t>
            </w:r>
            <w:r w:rsidRPr="00DA0CF7">
              <w:rPr>
                <w:rFonts w:ascii="Trebuchet MS" w:hAnsi="Trebuchet MS"/>
                <w:b/>
                <w:bCs/>
                <w:i/>
                <w:sz w:val="22"/>
                <w:szCs w:val="22"/>
              </w:rPr>
              <w:t xml:space="preserve"> December 2016</w:t>
            </w:r>
          </w:p>
        </w:tc>
      </w:tr>
    </w:tbl>
    <w:p w:rsidR="00A0220C" w:rsidRPr="00DA0CF7" w:rsidRDefault="00A0220C" w:rsidP="00A0220C">
      <w:pPr>
        <w:pStyle w:val="Default"/>
        <w:rPr>
          <w:rFonts w:ascii="Trebuchet MS" w:hAnsi="Trebuchet MS"/>
          <w:i/>
        </w:rPr>
      </w:pPr>
    </w:p>
    <w:tbl>
      <w:tblPr>
        <w:tblW w:w="0" w:type="auto"/>
        <w:tblBorders>
          <w:top w:val="nil"/>
          <w:left w:val="nil"/>
          <w:bottom w:val="nil"/>
          <w:right w:val="nil"/>
        </w:tblBorders>
        <w:tblLayout w:type="fixed"/>
        <w:tblLook w:val="0000" w:firstRow="0" w:lastRow="0" w:firstColumn="0" w:lastColumn="0" w:noHBand="0" w:noVBand="0"/>
      </w:tblPr>
      <w:tblGrid>
        <w:gridCol w:w="7256"/>
        <w:gridCol w:w="871"/>
      </w:tblGrid>
      <w:tr w:rsidR="00A0220C" w:rsidRPr="00DA0CF7" w:rsidTr="00A0220C">
        <w:trPr>
          <w:gridAfter w:val="1"/>
          <w:wAfter w:w="871" w:type="dxa"/>
          <w:trHeight w:val="237"/>
        </w:trPr>
        <w:tc>
          <w:tcPr>
            <w:tcW w:w="7256" w:type="dxa"/>
          </w:tcPr>
          <w:p w:rsidR="00A0220C" w:rsidRPr="00DA0CF7" w:rsidRDefault="00A0220C">
            <w:pPr>
              <w:pStyle w:val="Default"/>
              <w:rPr>
                <w:rFonts w:ascii="Trebuchet MS" w:hAnsi="Trebuchet MS"/>
                <w:i/>
                <w:sz w:val="22"/>
                <w:szCs w:val="22"/>
              </w:rPr>
            </w:pPr>
            <w:r w:rsidRPr="00DA0CF7">
              <w:rPr>
                <w:rFonts w:ascii="Trebuchet MS" w:hAnsi="Trebuchet MS"/>
                <w:b/>
                <w:bCs/>
                <w:i/>
                <w:sz w:val="22"/>
                <w:szCs w:val="22"/>
              </w:rPr>
              <w:t xml:space="preserve">Appeal Ref: APP/T0355/X/15/3143755 </w:t>
            </w:r>
          </w:p>
          <w:p w:rsidR="00A0220C" w:rsidRPr="00DA0CF7" w:rsidRDefault="00A0220C">
            <w:pPr>
              <w:pStyle w:val="Default"/>
              <w:rPr>
                <w:rFonts w:ascii="Trebuchet MS" w:hAnsi="Trebuchet MS"/>
                <w:b/>
                <w:bCs/>
                <w:i/>
                <w:sz w:val="22"/>
                <w:szCs w:val="22"/>
              </w:rPr>
            </w:pPr>
            <w:r w:rsidRPr="00DA0CF7">
              <w:rPr>
                <w:rFonts w:ascii="Trebuchet MS" w:hAnsi="Trebuchet MS"/>
                <w:b/>
                <w:bCs/>
                <w:i/>
                <w:sz w:val="22"/>
                <w:szCs w:val="22"/>
              </w:rPr>
              <w:t xml:space="preserve">62 </w:t>
            </w:r>
            <w:proofErr w:type="spellStart"/>
            <w:r w:rsidRPr="00DA0CF7">
              <w:rPr>
                <w:rFonts w:ascii="Trebuchet MS" w:hAnsi="Trebuchet MS"/>
                <w:b/>
                <w:bCs/>
                <w:i/>
                <w:sz w:val="22"/>
                <w:szCs w:val="22"/>
              </w:rPr>
              <w:t>Portlock</w:t>
            </w:r>
            <w:proofErr w:type="spellEnd"/>
            <w:r w:rsidRPr="00DA0CF7">
              <w:rPr>
                <w:rFonts w:ascii="Trebuchet MS" w:hAnsi="Trebuchet MS"/>
                <w:b/>
                <w:bCs/>
                <w:i/>
                <w:sz w:val="22"/>
                <w:szCs w:val="22"/>
              </w:rPr>
              <w:t xml:space="preserve"> Road, Maidenhead, Berkshire SL6 6DZ </w:t>
            </w:r>
          </w:p>
          <w:p w:rsidR="00A0220C" w:rsidRPr="00DA0CF7" w:rsidRDefault="00A0220C">
            <w:pPr>
              <w:pStyle w:val="Default"/>
              <w:rPr>
                <w:rFonts w:ascii="Trebuchet MS" w:hAnsi="Trebuchet MS"/>
                <w:b/>
                <w:bCs/>
                <w:i/>
                <w:sz w:val="22"/>
                <w:szCs w:val="22"/>
              </w:rPr>
            </w:pPr>
            <w:r w:rsidRPr="00DA0CF7">
              <w:rPr>
                <w:rFonts w:ascii="Trebuchet MS" w:hAnsi="Trebuchet MS"/>
                <w:b/>
                <w:bCs/>
                <w:i/>
                <w:sz w:val="22"/>
                <w:szCs w:val="22"/>
              </w:rPr>
              <w:t>Decision Made: 6</w:t>
            </w:r>
            <w:r w:rsidRPr="00DA0CF7">
              <w:rPr>
                <w:rFonts w:ascii="Trebuchet MS" w:hAnsi="Trebuchet MS"/>
                <w:b/>
                <w:bCs/>
                <w:i/>
                <w:sz w:val="22"/>
                <w:szCs w:val="22"/>
                <w:vertAlign w:val="superscript"/>
              </w:rPr>
              <w:t>th</w:t>
            </w:r>
            <w:r w:rsidRPr="00DA0CF7">
              <w:rPr>
                <w:rFonts w:ascii="Trebuchet MS" w:hAnsi="Trebuchet MS"/>
                <w:b/>
                <w:bCs/>
                <w:i/>
                <w:sz w:val="22"/>
                <w:szCs w:val="22"/>
              </w:rPr>
              <w:t xml:space="preserve"> September 2016</w:t>
            </w:r>
          </w:p>
          <w:p w:rsidR="00A0220C" w:rsidRPr="00DA0CF7" w:rsidRDefault="00A0220C">
            <w:pPr>
              <w:pStyle w:val="Default"/>
              <w:rPr>
                <w:rFonts w:ascii="Trebuchet MS" w:hAnsi="Trebuchet MS"/>
                <w:i/>
                <w:sz w:val="22"/>
                <w:szCs w:val="22"/>
              </w:rPr>
            </w:pPr>
          </w:p>
        </w:tc>
      </w:tr>
      <w:tr w:rsidR="00A0220C" w:rsidRPr="00DA0CF7" w:rsidTr="00A0220C">
        <w:trPr>
          <w:trHeight w:val="279"/>
        </w:trPr>
        <w:tc>
          <w:tcPr>
            <w:tcW w:w="8127" w:type="dxa"/>
            <w:gridSpan w:val="2"/>
          </w:tcPr>
          <w:p w:rsidR="00A0220C" w:rsidRPr="00DA0CF7" w:rsidRDefault="00A0220C">
            <w:pPr>
              <w:pStyle w:val="Default"/>
              <w:rPr>
                <w:rFonts w:ascii="Trebuchet MS" w:hAnsi="Trebuchet MS"/>
                <w:i/>
                <w:sz w:val="22"/>
                <w:szCs w:val="22"/>
              </w:rPr>
            </w:pPr>
            <w:r w:rsidRPr="00DA0CF7">
              <w:rPr>
                <w:rFonts w:ascii="Trebuchet MS" w:hAnsi="Trebuchet MS"/>
                <w:b/>
                <w:bCs/>
                <w:i/>
                <w:sz w:val="22"/>
                <w:szCs w:val="22"/>
              </w:rPr>
              <w:t xml:space="preserve">Appeal ref: APP/B9506/X/15/3022061 </w:t>
            </w:r>
          </w:p>
          <w:p w:rsidR="00A0220C" w:rsidRPr="00DA0CF7" w:rsidRDefault="00A0220C">
            <w:pPr>
              <w:pStyle w:val="Default"/>
              <w:rPr>
                <w:rFonts w:ascii="Trebuchet MS" w:hAnsi="Trebuchet MS"/>
                <w:b/>
                <w:bCs/>
                <w:i/>
                <w:sz w:val="22"/>
                <w:szCs w:val="22"/>
              </w:rPr>
            </w:pPr>
            <w:proofErr w:type="spellStart"/>
            <w:r w:rsidRPr="00DA0CF7">
              <w:rPr>
                <w:rFonts w:ascii="Trebuchet MS" w:hAnsi="Trebuchet MS"/>
                <w:b/>
                <w:bCs/>
                <w:i/>
                <w:sz w:val="22"/>
                <w:szCs w:val="22"/>
              </w:rPr>
              <w:t>Wildcroft</w:t>
            </w:r>
            <w:proofErr w:type="spellEnd"/>
            <w:r w:rsidRPr="00DA0CF7">
              <w:rPr>
                <w:rFonts w:ascii="Trebuchet MS" w:hAnsi="Trebuchet MS"/>
                <w:b/>
                <w:bCs/>
                <w:i/>
                <w:sz w:val="22"/>
                <w:szCs w:val="22"/>
              </w:rPr>
              <w:t xml:space="preserve">, </w:t>
            </w:r>
            <w:proofErr w:type="spellStart"/>
            <w:r w:rsidRPr="00DA0CF7">
              <w:rPr>
                <w:rFonts w:ascii="Trebuchet MS" w:hAnsi="Trebuchet MS"/>
                <w:b/>
                <w:bCs/>
                <w:i/>
                <w:sz w:val="22"/>
                <w:szCs w:val="22"/>
              </w:rPr>
              <w:t>Badminston</w:t>
            </w:r>
            <w:proofErr w:type="spellEnd"/>
            <w:r w:rsidRPr="00DA0CF7">
              <w:rPr>
                <w:rFonts w:ascii="Trebuchet MS" w:hAnsi="Trebuchet MS"/>
                <w:b/>
                <w:bCs/>
                <w:i/>
                <w:sz w:val="22"/>
                <w:szCs w:val="22"/>
              </w:rPr>
              <w:t xml:space="preserve"> Drove, </w:t>
            </w:r>
            <w:proofErr w:type="spellStart"/>
            <w:r w:rsidRPr="00DA0CF7">
              <w:rPr>
                <w:rFonts w:ascii="Trebuchet MS" w:hAnsi="Trebuchet MS"/>
                <w:b/>
                <w:bCs/>
                <w:i/>
                <w:sz w:val="22"/>
                <w:szCs w:val="22"/>
              </w:rPr>
              <w:t>Fawley</w:t>
            </w:r>
            <w:proofErr w:type="spellEnd"/>
            <w:r w:rsidRPr="00DA0CF7">
              <w:rPr>
                <w:rFonts w:ascii="Trebuchet MS" w:hAnsi="Trebuchet MS"/>
                <w:b/>
                <w:bCs/>
                <w:i/>
                <w:sz w:val="22"/>
                <w:szCs w:val="22"/>
              </w:rPr>
              <w:t xml:space="preserve">, Southampton SO45 1BW </w:t>
            </w:r>
          </w:p>
          <w:p w:rsidR="00A0220C" w:rsidRPr="00DA0CF7" w:rsidRDefault="00A0220C">
            <w:pPr>
              <w:pStyle w:val="Default"/>
              <w:rPr>
                <w:rFonts w:ascii="Trebuchet MS" w:hAnsi="Trebuchet MS"/>
                <w:i/>
                <w:sz w:val="22"/>
                <w:szCs w:val="22"/>
              </w:rPr>
            </w:pPr>
            <w:r w:rsidRPr="00DA0CF7">
              <w:rPr>
                <w:rFonts w:ascii="Trebuchet MS" w:hAnsi="Trebuchet MS"/>
                <w:b/>
                <w:bCs/>
                <w:i/>
                <w:sz w:val="22"/>
                <w:szCs w:val="22"/>
              </w:rPr>
              <w:t>Decision Made: 1</w:t>
            </w:r>
            <w:r w:rsidRPr="00DA0CF7">
              <w:rPr>
                <w:rFonts w:ascii="Trebuchet MS" w:hAnsi="Trebuchet MS"/>
                <w:b/>
                <w:bCs/>
                <w:i/>
                <w:sz w:val="22"/>
                <w:szCs w:val="22"/>
                <w:vertAlign w:val="superscript"/>
              </w:rPr>
              <w:t>st</w:t>
            </w:r>
            <w:r w:rsidRPr="00DA0CF7">
              <w:rPr>
                <w:rFonts w:ascii="Trebuchet MS" w:hAnsi="Trebuchet MS"/>
                <w:b/>
                <w:bCs/>
                <w:i/>
                <w:sz w:val="22"/>
                <w:szCs w:val="22"/>
              </w:rPr>
              <w:t xml:space="preserve"> February 2016</w:t>
            </w:r>
          </w:p>
        </w:tc>
      </w:tr>
    </w:tbl>
    <w:p w:rsidR="00A0220C" w:rsidRDefault="00A0220C" w:rsidP="00101D05">
      <w:pPr>
        <w:autoSpaceDE w:val="0"/>
        <w:autoSpaceDN w:val="0"/>
        <w:adjustRightInd w:val="0"/>
        <w:rPr>
          <w:szCs w:val="24"/>
        </w:rPr>
      </w:pPr>
    </w:p>
    <w:p w:rsidR="00F40464" w:rsidRDefault="003F1A2F" w:rsidP="00101D05">
      <w:pPr>
        <w:autoSpaceDE w:val="0"/>
        <w:autoSpaceDN w:val="0"/>
        <w:adjustRightInd w:val="0"/>
        <w:rPr>
          <w:szCs w:val="24"/>
        </w:rPr>
      </w:pPr>
      <w:r>
        <w:rPr>
          <w:szCs w:val="24"/>
        </w:rPr>
        <w:t>In addition, t</w:t>
      </w:r>
      <w:r w:rsidR="00E65B0F" w:rsidRPr="00E65B0F">
        <w:rPr>
          <w:szCs w:val="24"/>
        </w:rPr>
        <w:t xml:space="preserve">he following recent appeal decisions </w:t>
      </w:r>
      <w:r w:rsidR="00DA0CF7">
        <w:rPr>
          <w:szCs w:val="24"/>
        </w:rPr>
        <w:t xml:space="preserve">(some of which are the same as stated above) </w:t>
      </w:r>
      <w:r w:rsidR="00E65B0F" w:rsidRPr="00E65B0F">
        <w:rPr>
          <w:szCs w:val="24"/>
        </w:rPr>
        <w:t>support the conclusion that</w:t>
      </w:r>
      <w:r w:rsidR="00E65B0F" w:rsidRPr="00E65B0F">
        <w:t xml:space="preserve"> </w:t>
      </w:r>
      <w:r w:rsidR="00E65B0F" w:rsidRPr="00E65B0F">
        <w:rPr>
          <w:rFonts w:cstheme="minorBidi"/>
          <w:szCs w:val="22"/>
        </w:rPr>
        <w:t xml:space="preserve">where an original side wall has been (entirely) removed it still constitutes “a wall forming the side elevation of the original </w:t>
      </w:r>
      <w:proofErr w:type="spellStart"/>
      <w:r w:rsidR="00E65B0F" w:rsidRPr="00E65B0F">
        <w:rPr>
          <w:rFonts w:cstheme="minorBidi"/>
          <w:szCs w:val="22"/>
        </w:rPr>
        <w:t>dwellinghouse</w:t>
      </w:r>
      <w:proofErr w:type="spellEnd"/>
      <w:r w:rsidR="00E65B0F" w:rsidRPr="00E65B0F">
        <w:rPr>
          <w:rFonts w:cstheme="minorBidi"/>
          <w:szCs w:val="22"/>
        </w:rPr>
        <w:t>”:</w:t>
      </w:r>
    </w:p>
    <w:tbl>
      <w:tblPr>
        <w:tblW w:w="0" w:type="auto"/>
        <w:tblBorders>
          <w:top w:val="nil"/>
          <w:left w:val="nil"/>
          <w:bottom w:val="nil"/>
          <w:right w:val="nil"/>
        </w:tblBorders>
        <w:tblLayout w:type="fixed"/>
        <w:tblLook w:val="0000" w:firstRow="0" w:lastRow="0" w:firstColumn="0" w:lastColumn="0" w:noHBand="0" w:noVBand="0"/>
      </w:tblPr>
      <w:tblGrid>
        <w:gridCol w:w="8475"/>
      </w:tblGrid>
      <w:tr w:rsidR="003F1A2F" w:rsidRPr="003F1A2F" w:rsidTr="00DA0CF7">
        <w:tblPrEx>
          <w:tblCellMar>
            <w:top w:w="0" w:type="dxa"/>
            <w:bottom w:w="0" w:type="dxa"/>
          </w:tblCellMar>
        </w:tblPrEx>
        <w:trPr>
          <w:trHeight w:val="221"/>
        </w:trPr>
        <w:tc>
          <w:tcPr>
            <w:tcW w:w="8475" w:type="dxa"/>
          </w:tcPr>
          <w:p w:rsidR="00DA0CF7" w:rsidRPr="003F1A2F" w:rsidRDefault="00DA0CF7" w:rsidP="003F1A2F">
            <w:pPr>
              <w:autoSpaceDE w:val="0"/>
              <w:autoSpaceDN w:val="0"/>
              <w:adjustRightInd w:val="0"/>
              <w:rPr>
                <w:rFonts w:ascii="Verdana" w:eastAsiaTheme="minorHAnsi" w:hAnsi="Verdana" w:cs="Verdana"/>
                <w:color w:val="000000"/>
                <w:sz w:val="22"/>
                <w:szCs w:val="22"/>
              </w:rPr>
            </w:pPr>
          </w:p>
        </w:tc>
      </w:tr>
    </w:tbl>
    <w:p w:rsidR="00DA0CF7" w:rsidRPr="00DA0CF7" w:rsidRDefault="00DA0CF7" w:rsidP="00DA0CF7">
      <w:pPr>
        <w:pStyle w:val="Default"/>
        <w:rPr>
          <w:rFonts w:ascii="Trebuchet MS" w:hAnsi="Trebuchet MS"/>
          <w:i/>
          <w:sz w:val="22"/>
          <w:szCs w:val="22"/>
        </w:rPr>
      </w:pPr>
      <w:r w:rsidRPr="00DA0CF7">
        <w:rPr>
          <w:rFonts w:ascii="Trebuchet MS" w:hAnsi="Trebuchet MS"/>
          <w:b/>
          <w:bCs/>
          <w:i/>
          <w:sz w:val="22"/>
          <w:szCs w:val="22"/>
        </w:rPr>
        <w:t xml:space="preserve">Appeal Ref: APP/T0355/X/15/3143755 </w:t>
      </w:r>
    </w:p>
    <w:p w:rsidR="00DA0CF7" w:rsidRPr="00DA0CF7" w:rsidRDefault="00DA0CF7" w:rsidP="00DA0CF7">
      <w:pPr>
        <w:pStyle w:val="Default"/>
        <w:rPr>
          <w:rFonts w:ascii="Trebuchet MS" w:hAnsi="Trebuchet MS"/>
          <w:b/>
          <w:bCs/>
          <w:i/>
          <w:sz w:val="22"/>
          <w:szCs w:val="22"/>
        </w:rPr>
      </w:pPr>
      <w:r w:rsidRPr="00DA0CF7">
        <w:rPr>
          <w:rFonts w:ascii="Trebuchet MS" w:hAnsi="Trebuchet MS"/>
          <w:b/>
          <w:bCs/>
          <w:i/>
          <w:sz w:val="22"/>
          <w:szCs w:val="22"/>
        </w:rPr>
        <w:t xml:space="preserve">62 </w:t>
      </w:r>
      <w:proofErr w:type="spellStart"/>
      <w:r w:rsidRPr="00DA0CF7">
        <w:rPr>
          <w:rFonts w:ascii="Trebuchet MS" w:hAnsi="Trebuchet MS"/>
          <w:b/>
          <w:bCs/>
          <w:i/>
          <w:sz w:val="22"/>
          <w:szCs w:val="22"/>
        </w:rPr>
        <w:t>Portlock</w:t>
      </w:r>
      <w:proofErr w:type="spellEnd"/>
      <w:r w:rsidRPr="00DA0CF7">
        <w:rPr>
          <w:rFonts w:ascii="Trebuchet MS" w:hAnsi="Trebuchet MS"/>
          <w:b/>
          <w:bCs/>
          <w:i/>
          <w:sz w:val="22"/>
          <w:szCs w:val="22"/>
        </w:rPr>
        <w:t xml:space="preserve"> Road, Maidenhead, Berkshire SL6 6DZ </w:t>
      </w:r>
    </w:p>
    <w:p w:rsidR="00DA0CF7" w:rsidRPr="00DA0CF7" w:rsidRDefault="00DA0CF7" w:rsidP="00DA0CF7">
      <w:pPr>
        <w:pStyle w:val="Default"/>
        <w:rPr>
          <w:rFonts w:ascii="Trebuchet MS" w:hAnsi="Trebuchet MS"/>
          <w:b/>
          <w:bCs/>
          <w:i/>
          <w:sz w:val="22"/>
          <w:szCs w:val="22"/>
        </w:rPr>
      </w:pPr>
      <w:r w:rsidRPr="00DA0CF7">
        <w:rPr>
          <w:rFonts w:ascii="Trebuchet MS" w:hAnsi="Trebuchet MS"/>
          <w:b/>
          <w:bCs/>
          <w:i/>
          <w:sz w:val="22"/>
          <w:szCs w:val="22"/>
        </w:rPr>
        <w:t>Decision Made: 6</w:t>
      </w:r>
      <w:r w:rsidRPr="00DA0CF7">
        <w:rPr>
          <w:rFonts w:ascii="Trebuchet MS" w:hAnsi="Trebuchet MS"/>
          <w:b/>
          <w:bCs/>
          <w:i/>
          <w:sz w:val="22"/>
          <w:szCs w:val="22"/>
          <w:vertAlign w:val="superscript"/>
        </w:rPr>
        <w:t>th</w:t>
      </w:r>
      <w:r w:rsidRPr="00DA0CF7">
        <w:rPr>
          <w:rFonts w:ascii="Trebuchet MS" w:hAnsi="Trebuchet MS"/>
          <w:b/>
          <w:bCs/>
          <w:i/>
          <w:sz w:val="22"/>
          <w:szCs w:val="22"/>
        </w:rPr>
        <w:t xml:space="preserve"> September 2016</w:t>
      </w:r>
    </w:p>
    <w:p w:rsidR="003F1A2F" w:rsidRDefault="003F1A2F" w:rsidP="004A5A33">
      <w:pPr>
        <w:autoSpaceDE w:val="0"/>
        <w:autoSpaceDN w:val="0"/>
        <w:adjustRightInd w:val="0"/>
        <w:rPr>
          <w:szCs w:val="24"/>
        </w:rPr>
      </w:pPr>
    </w:p>
    <w:p w:rsidR="00DA0CF7" w:rsidRPr="00DA0CF7" w:rsidRDefault="00DA0CF7" w:rsidP="00DA0CF7">
      <w:pPr>
        <w:pStyle w:val="Default"/>
        <w:rPr>
          <w:rFonts w:ascii="Trebuchet MS" w:hAnsi="Trebuchet MS"/>
          <w:i/>
          <w:sz w:val="22"/>
          <w:szCs w:val="22"/>
        </w:rPr>
      </w:pPr>
      <w:r w:rsidRPr="00DA0CF7">
        <w:rPr>
          <w:rFonts w:ascii="Trebuchet MS" w:hAnsi="Trebuchet MS"/>
          <w:b/>
          <w:bCs/>
          <w:i/>
          <w:sz w:val="22"/>
          <w:szCs w:val="22"/>
        </w:rPr>
        <w:t xml:space="preserve">Appeal ref: APP/B9506/X/15/3022061 </w:t>
      </w:r>
    </w:p>
    <w:p w:rsidR="00DA0CF7" w:rsidRPr="00DA0CF7" w:rsidRDefault="00DA0CF7" w:rsidP="00DA0CF7">
      <w:pPr>
        <w:pStyle w:val="Default"/>
        <w:rPr>
          <w:rFonts w:ascii="Trebuchet MS" w:hAnsi="Trebuchet MS"/>
          <w:b/>
          <w:bCs/>
          <w:i/>
          <w:sz w:val="22"/>
          <w:szCs w:val="22"/>
        </w:rPr>
      </w:pPr>
      <w:proofErr w:type="spellStart"/>
      <w:r w:rsidRPr="00DA0CF7">
        <w:rPr>
          <w:rFonts w:ascii="Trebuchet MS" w:hAnsi="Trebuchet MS"/>
          <w:b/>
          <w:bCs/>
          <w:i/>
          <w:sz w:val="22"/>
          <w:szCs w:val="22"/>
        </w:rPr>
        <w:t>Wildcroft</w:t>
      </w:r>
      <w:proofErr w:type="spellEnd"/>
      <w:r w:rsidRPr="00DA0CF7">
        <w:rPr>
          <w:rFonts w:ascii="Trebuchet MS" w:hAnsi="Trebuchet MS"/>
          <w:b/>
          <w:bCs/>
          <w:i/>
          <w:sz w:val="22"/>
          <w:szCs w:val="22"/>
        </w:rPr>
        <w:t xml:space="preserve">, </w:t>
      </w:r>
      <w:proofErr w:type="spellStart"/>
      <w:r w:rsidRPr="00DA0CF7">
        <w:rPr>
          <w:rFonts w:ascii="Trebuchet MS" w:hAnsi="Trebuchet MS"/>
          <w:b/>
          <w:bCs/>
          <w:i/>
          <w:sz w:val="22"/>
          <w:szCs w:val="22"/>
        </w:rPr>
        <w:t>Badminston</w:t>
      </w:r>
      <w:proofErr w:type="spellEnd"/>
      <w:r w:rsidRPr="00DA0CF7">
        <w:rPr>
          <w:rFonts w:ascii="Trebuchet MS" w:hAnsi="Trebuchet MS"/>
          <w:b/>
          <w:bCs/>
          <w:i/>
          <w:sz w:val="22"/>
          <w:szCs w:val="22"/>
        </w:rPr>
        <w:t xml:space="preserve"> Drove, </w:t>
      </w:r>
      <w:proofErr w:type="spellStart"/>
      <w:r w:rsidRPr="00DA0CF7">
        <w:rPr>
          <w:rFonts w:ascii="Trebuchet MS" w:hAnsi="Trebuchet MS"/>
          <w:b/>
          <w:bCs/>
          <w:i/>
          <w:sz w:val="22"/>
          <w:szCs w:val="22"/>
        </w:rPr>
        <w:t>Fawley</w:t>
      </w:r>
      <w:proofErr w:type="spellEnd"/>
      <w:r w:rsidRPr="00DA0CF7">
        <w:rPr>
          <w:rFonts w:ascii="Trebuchet MS" w:hAnsi="Trebuchet MS"/>
          <w:b/>
          <w:bCs/>
          <w:i/>
          <w:sz w:val="22"/>
          <w:szCs w:val="22"/>
        </w:rPr>
        <w:t xml:space="preserve">, Southampton SO45 1BW </w:t>
      </w:r>
    </w:p>
    <w:p w:rsidR="00DA0CF7" w:rsidRDefault="00DA0CF7" w:rsidP="00DA0CF7">
      <w:pPr>
        <w:autoSpaceDE w:val="0"/>
        <w:autoSpaceDN w:val="0"/>
        <w:adjustRightInd w:val="0"/>
        <w:rPr>
          <w:b/>
          <w:bCs/>
          <w:i/>
          <w:sz w:val="22"/>
          <w:szCs w:val="22"/>
        </w:rPr>
      </w:pPr>
      <w:r w:rsidRPr="00DA0CF7">
        <w:rPr>
          <w:b/>
          <w:bCs/>
          <w:i/>
          <w:sz w:val="22"/>
          <w:szCs w:val="22"/>
        </w:rPr>
        <w:t>Decision Made: 1</w:t>
      </w:r>
      <w:r w:rsidRPr="00DA0CF7">
        <w:rPr>
          <w:b/>
          <w:bCs/>
          <w:i/>
          <w:sz w:val="22"/>
          <w:szCs w:val="22"/>
          <w:vertAlign w:val="superscript"/>
        </w:rPr>
        <w:t>st</w:t>
      </w:r>
      <w:r w:rsidRPr="00DA0CF7">
        <w:rPr>
          <w:b/>
          <w:bCs/>
          <w:i/>
          <w:sz w:val="22"/>
          <w:szCs w:val="22"/>
        </w:rPr>
        <w:t xml:space="preserve"> February 2016</w:t>
      </w:r>
    </w:p>
    <w:p w:rsidR="00DA0CF7" w:rsidRDefault="00DA0CF7" w:rsidP="00DA0CF7">
      <w:pPr>
        <w:autoSpaceDE w:val="0"/>
        <w:autoSpaceDN w:val="0"/>
        <w:adjustRightInd w:val="0"/>
        <w:rPr>
          <w:b/>
          <w:bCs/>
          <w:i/>
          <w:sz w:val="22"/>
          <w:szCs w:val="22"/>
        </w:rPr>
      </w:pPr>
    </w:p>
    <w:p w:rsidR="00DA0CF7" w:rsidRPr="003F1A2F" w:rsidRDefault="00DA0CF7" w:rsidP="00DA0CF7">
      <w:pPr>
        <w:autoSpaceDE w:val="0"/>
        <w:autoSpaceDN w:val="0"/>
        <w:adjustRightInd w:val="0"/>
        <w:rPr>
          <w:rFonts w:eastAsiaTheme="minorHAnsi" w:cs="Verdana"/>
          <w:i/>
          <w:color w:val="000000"/>
          <w:sz w:val="22"/>
          <w:szCs w:val="22"/>
        </w:rPr>
      </w:pPr>
      <w:r w:rsidRPr="003F1A2F">
        <w:rPr>
          <w:rFonts w:eastAsiaTheme="minorHAnsi" w:cs="Verdana"/>
          <w:b/>
          <w:bCs/>
          <w:i/>
          <w:color w:val="000000"/>
          <w:sz w:val="22"/>
          <w:szCs w:val="22"/>
        </w:rPr>
        <w:t xml:space="preserve">Appeal Ref: APP/G5180/X/14/2220683 </w:t>
      </w:r>
    </w:p>
    <w:p w:rsidR="00DA0CF7" w:rsidRPr="00DA0CF7" w:rsidRDefault="00DA0CF7" w:rsidP="00DA0CF7">
      <w:pPr>
        <w:autoSpaceDE w:val="0"/>
        <w:autoSpaceDN w:val="0"/>
        <w:adjustRightInd w:val="0"/>
        <w:rPr>
          <w:rFonts w:eastAsiaTheme="minorHAnsi" w:cs="Verdana"/>
          <w:b/>
          <w:bCs/>
          <w:i/>
          <w:color w:val="000000"/>
          <w:sz w:val="22"/>
          <w:szCs w:val="22"/>
        </w:rPr>
      </w:pPr>
      <w:r w:rsidRPr="003F1A2F">
        <w:rPr>
          <w:rFonts w:eastAsiaTheme="minorHAnsi" w:cs="Verdana"/>
          <w:b/>
          <w:bCs/>
          <w:i/>
          <w:color w:val="000000"/>
          <w:sz w:val="22"/>
          <w:szCs w:val="22"/>
        </w:rPr>
        <w:t xml:space="preserve">Brickyard Farm, Jail Lane, </w:t>
      </w:r>
      <w:proofErr w:type="spellStart"/>
      <w:r w:rsidRPr="003F1A2F">
        <w:rPr>
          <w:rFonts w:eastAsiaTheme="minorHAnsi" w:cs="Verdana"/>
          <w:b/>
          <w:bCs/>
          <w:i/>
          <w:color w:val="000000"/>
          <w:sz w:val="22"/>
          <w:szCs w:val="22"/>
        </w:rPr>
        <w:t>Biggin</w:t>
      </w:r>
      <w:proofErr w:type="spellEnd"/>
      <w:r w:rsidRPr="003F1A2F">
        <w:rPr>
          <w:rFonts w:eastAsiaTheme="minorHAnsi" w:cs="Verdana"/>
          <w:b/>
          <w:bCs/>
          <w:i/>
          <w:color w:val="000000"/>
          <w:sz w:val="22"/>
          <w:szCs w:val="22"/>
        </w:rPr>
        <w:t xml:space="preserve"> Hill, </w:t>
      </w:r>
      <w:proofErr w:type="spellStart"/>
      <w:r w:rsidRPr="003F1A2F">
        <w:rPr>
          <w:rFonts w:eastAsiaTheme="minorHAnsi" w:cs="Verdana"/>
          <w:b/>
          <w:bCs/>
          <w:i/>
          <w:color w:val="000000"/>
          <w:sz w:val="22"/>
          <w:szCs w:val="22"/>
        </w:rPr>
        <w:t>Westerham</w:t>
      </w:r>
      <w:proofErr w:type="spellEnd"/>
      <w:r w:rsidRPr="003F1A2F">
        <w:rPr>
          <w:rFonts w:eastAsiaTheme="minorHAnsi" w:cs="Verdana"/>
          <w:b/>
          <w:bCs/>
          <w:i/>
          <w:color w:val="000000"/>
          <w:sz w:val="22"/>
          <w:szCs w:val="22"/>
        </w:rPr>
        <w:t xml:space="preserve">, Kent TN16 </w:t>
      </w:r>
      <w:r w:rsidRPr="00DA0CF7">
        <w:rPr>
          <w:rFonts w:eastAsiaTheme="minorHAnsi" w:cs="Verdana"/>
          <w:b/>
          <w:bCs/>
          <w:i/>
          <w:color w:val="000000"/>
          <w:sz w:val="22"/>
          <w:szCs w:val="22"/>
        </w:rPr>
        <w:t>3</w:t>
      </w:r>
      <w:r w:rsidRPr="003F1A2F">
        <w:rPr>
          <w:rFonts w:eastAsiaTheme="minorHAnsi" w:cs="Verdana"/>
          <w:b/>
          <w:bCs/>
          <w:i/>
          <w:color w:val="000000"/>
          <w:sz w:val="22"/>
          <w:szCs w:val="22"/>
        </w:rPr>
        <w:t xml:space="preserve">AU </w:t>
      </w:r>
    </w:p>
    <w:p w:rsidR="00DA0CF7" w:rsidRDefault="00DA0CF7" w:rsidP="00DA0CF7">
      <w:pPr>
        <w:autoSpaceDE w:val="0"/>
        <w:autoSpaceDN w:val="0"/>
        <w:adjustRightInd w:val="0"/>
        <w:rPr>
          <w:szCs w:val="24"/>
        </w:rPr>
      </w:pPr>
      <w:r w:rsidRPr="00DA0CF7">
        <w:rPr>
          <w:rFonts w:eastAsiaTheme="minorHAnsi" w:cs="Verdana"/>
          <w:b/>
          <w:bCs/>
          <w:i/>
          <w:color w:val="000000"/>
          <w:sz w:val="22"/>
          <w:szCs w:val="22"/>
        </w:rPr>
        <w:t>Decision Made: 18</w:t>
      </w:r>
      <w:r w:rsidRPr="00DA0CF7">
        <w:rPr>
          <w:rFonts w:eastAsiaTheme="minorHAnsi" w:cs="Verdana"/>
          <w:b/>
          <w:bCs/>
          <w:i/>
          <w:color w:val="000000"/>
          <w:sz w:val="22"/>
          <w:szCs w:val="22"/>
          <w:vertAlign w:val="superscript"/>
        </w:rPr>
        <w:t>th</w:t>
      </w:r>
      <w:r w:rsidRPr="00DA0CF7">
        <w:rPr>
          <w:rFonts w:eastAsiaTheme="minorHAnsi" w:cs="Verdana"/>
          <w:b/>
          <w:bCs/>
          <w:i/>
          <w:color w:val="000000"/>
          <w:sz w:val="22"/>
          <w:szCs w:val="22"/>
        </w:rPr>
        <w:t xml:space="preserve"> June 2015</w:t>
      </w:r>
    </w:p>
    <w:p w:rsidR="003F1A2F" w:rsidRDefault="003F1A2F" w:rsidP="004A5A33">
      <w:pPr>
        <w:autoSpaceDE w:val="0"/>
        <w:autoSpaceDN w:val="0"/>
        <w:adjustRightInd w:val="0"/>
        <w:rPr>
          <w:szCs w:val="24"/>
        </w:rPr>
      </w:pPr>
    </w:p>
    <w:p w:rsidR="00DA0CF7" w:rsidRPr="00DA0CF7" w:rsidRDefault="00DA0CF7" w:rsidP="00DA0CF7">
      <w:pPr>
        <w:autoSpaceDE w:val="0"/>
        <w:autoSpaceDN w:val="0"/>
        <w:adjustRightInd w:val="0"/>
        <w:rPr>
          <w:rFonts w:eastAsiaTheme="minorHAnsi" w:cs="Verdana,Bold"/>
          <w:b/>
          <w:bCs/>
          <w:i/>
          <w:sz w:val="22"/>
          <w:szCs w:val="22"/>
        </w:rPr>
      </w:pPr>
      <w:r w:rsidRPr="00DA0CF7">
        <w:rPr>
          <w:rFonts w:eastAsiaTheme="minorHAnsi" w:cs="Verdana,Bold"/>
          <w:b/>
          <w:bCs/>
          <w:i/>
          <w:sz w:val="22"/>
          <w:szCs w:val="22"/>
        </w:rPr>
        <w:t>Appeal Ref: APP/J0405/X/13/2206708</w:t>
      </w:r>
    </w:p>
    <w:p w:rsidR="00DA0CF7" w:rsidRPr="00DA0CF7" w:rsidRDefault="00DA0CF7" w:rsidP="00DA0CF7">
      <w:pPr>
        <w:autoSpaceDE w:val="0"/>
        <w:autoSpaceDN w:val="0"/>
        <w:adjustRightInd w:val="0"/>
        <w:rPr>
          <w:rFonts w:eastAsiaTheme="minorHAnsi" w:cs="Verdana,Bold"/>
          <w:b/>
          <w:bCs/>
          <w:i/>
          <w:sz w:val="22"/>
          <w:szCs w:val="22"/>
        </w:rPr>
      </w:pPr>
      <w:r w:rsidRPr="00DA0CF7">
        <w:rPr>
          <w:rFonts w:eastAsiaTheme="minorHAnsi" w:cs="Verdana,Bold"/>
          <w:b/>
          <w:bCs/>
          <w:i/>
          <w:sz w:val="22"/>
          <w:szCs w:val="22"/>
        </w:rPr>
        <w:t xml:space="preserve">Coppice Cottage, </w:t>
      </w:r>
      <w:proofErr w:type="spellStart"/>
      <w:r w:rsidRPr="00DA0CF7">
        <w:rPr>
          <w:rFonts w:eastAsiaTheme="minorHAnsi" w:cs="Verdana,Bold"/>
          <w:b/>
          <w:bCs/>
          <w:i/>
          <w:sz w:val="22"/>
          <w:szCs w:val="22"/>
        </w:rPr>
        <w:t>Ringshall</w:t>
      </w:r>
      <w:proofErr w:type="spellEnd"/>
      <w:r w:rsidRPr="00DA0CF7">
        <w:rPr>
          <w:rFonts w:eastAsiaTheme="minorHAnsi" w:cs="Verdana,Bold"/>
          <w:b/>
          <w:bCs/>
          <w:i/>
          <w:sz w:val="22"/>
          <w:szCs w:val="22"/>
        </w:rPr>
        <w:t xml:space="preserve">, </w:t>
      </w:r>
      <w:proofErr w:type="spellStart"/>
      <w:r w:rsidRPr="00DA0CF7">
        <w:rPr>
          <w:rFonts w:eastAsiaTheme="minorHAnsi" w:cs="Verdana,Bold"/>
          <w:b/>
          <w:bCs/>
          <w:i/>
          <w:sz w:val="22"/>
          <w:szCs w:val="22"/>
        </w:rPr>
        <w:t>Berkhamstead</w:t>
      </w:r>
      <w:proofErr w:type="spellEnd"/>
      <w:r w:rsidRPr="00DA0CF7">
        <w:rPr>
          <w:rFonts w:eastAsiaTheme="minorHAnsi" w:cs="Verdana,Bold"/>
          <w:b/>
          <w:bCs/>
          <w:i/>
          <w:sz w:val="22"/>
          <w:szCs w:val="22"/>
        </w:rPr>
        <w:t>, HP4 1ND</w:t>
      </w:r>
    </w:p>
    <w:p w:rsidR="00DA0CF7" w:rsidRPr="00DA0CF7" w:rsidRDefault="00DA0CF7" w:rsidP="00DA0CF7">
      <w:pPr>
        <w:autoSpaceDE w:val="0"/>
        <w:autoSpaceDN w:val="0"/>
        <w:adjustRightInd w:val="0"/>
        <w:rPr>
          <w:rFonts w:eastAsiaTheme="minorHAnsi" w:cs="Verdana"/>
          <w:i/>
          <w:color w:val="000000"/>
          <w:szCs w:val="24"/>
        </w:rPr>
      </w:pPr>
      <w:r w:rsidRPr="00DA0CF7">
        <w:rPr>
          <w:rFonts w:eastAsiaTheme="minorHAnsi" w:cs="Verdana,Bold"/>
          <w:b/>
          <w:bCs/>
          <w:i/>
          <w:sz w:val="22"/>
          <w:szCs w:val="22"/>
        </w:rPr>
        <w:t>Decision Made: 1</w:t>
      </w:r>
      <w:r w:rsidRPr="00DA0CF7">
        <w:rPr>
          <w:rFonts w:eastAsiaTheme="minorHAnsi" w:cs="Verdana,Bold"/>
          <w:b/>
          <w:bCs/>
          <w:i/>
          <w:sz w:val="22"/>
          <w:szCs w:val="22"/>
          <w:vertAlign w:val="superscript"/>
        </w:rPr>
        <w:t>st</w:t>
      </w:r>
      <w:r w:rsidRPr="00DA0CF7">
        <w:rPr>
          <w:rFonts w:eastAsiaTheme="minorHAnsi" w:cs="Verdana,Bold"/>
          <w:b/>
          <w:bCs/>
          <w:i/>
          <w:sz w:val="22"/>
          <w:szCs w:val="22"/>
        </w:rPr>
        <w:t xml:space="preserve"> April 2014</w:t>
      </w:r>
    </w:p>
    <w:p w:rsidR="00E65B0F" w:rsidRDefault="00E65B0F" w:rsidP="004A5A33">
      <w:pPr>
        <w:autoSpaceDE w:val="0"/>
        <w:autoSpaceDN w:val="0"/>
        <w:adjustRightInd w:val="0"/>
        <w:rPr>
          <w:szCs w:val="24"/>
        </w:rPr>
      </w:pPr>
    </w:p>
    <w:p w:rsidR="002A6ED9" w:rsidRPr="003455F1" w:rsidRDefault="002A6ED9" w:rsidP="002A6ED9">
      <w:pPr>
        <w:autoSpaceDE w:val="0"/>
        <w:autoSpaceDN w:val="0"/>
        <w:adjustRightInd w:val="0"/>
        <w:rPr>
          <w:szCs w:val="24"/>
        </w:rPr>
      </w:pPr>
      <w:r w:rsidRPr="003455F1">
        <w:rPr>
          <w:szCs w:val="24"/>
        </w:rPr>
        <w:t xml:space="preserve">The following conclusions have therefore been reached. Firstly, </w:t>
      </w:r>
      <w:r w:rsidR="00B507DF" w:rsidRPr="003455F1">
        <w:rPr>
          <w:szCs w:val="24"/>
        </w:rPr>
        <w:t xml:space="preserve">recent appeal decisions indicate that </w:t>
      </w:r>
      <w:r w:rsidRPr="003455F1">
        <w:rPr>
          <w:rFonts w:cstheme="minorBidi"/>
          <w:szCs w:val="24"/>
        </w:rPr>
        <w:t>where an original side wall</w:t>
      </w:r>
      <w:r w:rsidR="00B507DF" w:rsidRPr="003455F1">
        <w:rPr>
          <w:rFonts w:cstheme="minorBidi"/>
          <w:szCs w:val="24"/>
        </w:rPr>
        <w:t xml:space="preserve"> has been (entirely) removed </w:t>
      </w:r>
      <w:r w:rsidRPr="003455F1">
        <w:rPr>
          <w:rFonts w:cstheme="minorBidi"/>
          <w:szCs w:val="24"/>
        </w:rPr>
        <w:t xml:space="preserve">it </w:t>
      </w:r>
      <w:r w:rsidR="00B507DF" w:rsidRPr="003455F1">
        <w:rPr>
          <w:rFonts w:cstheme="minorBidi"/>
          <w:szCs w:val="24"/>
        </w:rPr>
        <w:t xml:space="preserve">still constitutes “a wall forming the side elevation of the original </w:t>
      </w:r>
      <w:proofErr w:type="spellStart"/>
      <w:r w:rsidR="00B507DF" w:rsidRPr="003455F1">
        <w:rPr>
          <w:rFonts w:cstheme="minorBidi"/>
          <w:szCs w:val="24"/>
        </w:rPr>
        <w:t>dwellinghouse</w:t>
      </w:r>
      <w:proofErr w:type="spellEnd"/>
      <w:r w:rsidR="00B507DF" w:rsidRPr="003455F1">
        <w:rPr>
          <w:rFonts w:cstheme="minorBidi"/>
          <w:szCs w:val="24"/>
        </w:rPr>
        <w:t>”</w:t>
      </w:r>
      <w:r w:rsidRPr="003455F1">
        <w:rPr>
          <w:rFonts w:cstheme="minorBidi"/>
          <w:szCs w:val="24"/>
        </w:rPr>
        <w:t xml:space="preserve">. Secondly, recent appeal decisions also indicate that the side elevations of a part width, single storey, rear projection, original to the </w:t>
      </w:r>
      <w:proofErr w:type="spellStart"/>
      <w:r w:rsidRPr="003455F1">
        <w:rPr>
          <w:rFonts w:cstheme="minorBidi"/>
          <w:szCs w:val="24"/>
        </w:rPr>
        <w:t>dwellinghouse</w:t>
      </w:r>
      <w:proofErr w:type="spellEnd"/>
      <w:r w:rsidR="00B507DF" w:rsidRPr="003455F1">
        <w:rPr>
          <w:rFonts w:cstheme="minorBidi"/>
          <w:szCs w:val="24"/>
        </w:rPr>
        <w:t>,</w:t>
      </w:r>
      <w:r w:rsidRPr="003455F1">
        <w:rPr>
          <w:rFonts w:cstheme="minorBidi"/>
          <w:szCs w:val="24"/>
        </w:rPr>
        <w:t xml:space="preserve"> are considered to constitute “a wall forming the side elevation of the original </w:t>
      </w:r>
      <w:proofErr w:type="spellStart"/>
      <w:r w:rsidRPr="003455F1">
        <w:rPr>
          <w:rFonts w:cstheme="minorBidi"/>
          <w:szCs w:val="24"/>
        </w:rPr>
        <w:t>dwellinghouse</w:t>
      </w:r>
      <w:proofErr w:type="spellEnd"/>
      <w:r w:rsidRPr="003455F1">
        <w:rPr>
          <w:rFonts w:cstheme="minorBidi"/>
          <w:szCs w:val="24"/>
        </w:rPr>
        <w:t xml:space="preserve">”. Finally </w:t>
      </w:r>
      <w:r w:rsidRPr="003455F1">
        <w:rPr>
          <w:szCs w:val="24"/>
        </w:rPr>
        <w:t xml:space="preserve">the Town and Country Planning (General Permitted Development) (England) Order 2015 (“the 2015 Order”) as amended states that the term ‘original’ is interpreted </w:t>
      </w:r>
      <w:r w:rsidR="003455F1" w:rsidRPr="003455F1">
        <w:rPr>
          <w:szCs w:val="24"/>
        </w:rPr>
        <w:t>as meaning:</w:t>
      </w:r>
    </w:p>
    <w:p w:rsidR="002A6ED9" w:rsidRPr="003455F1" w:rsidRDefault="002A6ED9" w:rsidP="002A6ED9">
      <w:pPr>
        <w:autoSpaceDE w:val="0"/>
        <w:autoSpaceDN w:val="0"/>
        <w:adjustRightInd w:val="0"/>
        <w:rPr>
          <w:rFonts w:eastAsiaTheme="minorHAnsi" w:cs="Times-Roman"/>
          <w:i/>
          <w:szCs w:val="24"/>
        </w:rPr>
      </w:pPr>
      <w:r w:rsidRPr="003455F1">
        <w:rPr>
          <w:rFonts w:eastAsiaTheme="minorHAnsi" w:cs="Times-Roman"/>
          <w:i/>
          <w:szCs w:val="24"/>
        </w:rPr>
        <w:t>(</w:t>
      </w:r>
      <w:proofErr w:type="gramStart"/>
      <w:r w:rsidRPr="003455F1">
        <w:rPr>
          <w:rFonts w:eastAsiaTheme="minorHAnsi" w:cs="Times-Roman"/>
          <w:i/>
          <w:szCs w:val="24"/>
        </w:rPr>
        <w:t>a</w:t>
      </w:r>
      <w:proofErr w:type="gramEnd"/>
      <w:r w:rsidRPr="003455F1">
        <w:rPr>
          <w:rFonts w:eastAsiaTheme="minorHAnsi" w:cs="Times-Roman"/>
          <w:i/>
          <w:szCs w:val="24"/>
        </w:rPr>
        <w:t>) in relation to a building, other than a building which is Crown land, existing on 1st July</w:t>
      </w:r>
      <w:r w:rsidR="003455F1" w:rsidRPr="003455F1">
        <w:rPr>
          <w:rFonts w:eastAsiaTheme="minorHAnsi" w:cs="Times-Roman"/>
          <w:i/>
          <w:szCs w:val="24"/>
        </w:rPr>
        <w:t xml:space="preserve"> </w:t>
      </w:r>
      <w:r w:rsidRPr="003455F1">
        <w:rPr>
          <w:rFonts w:eastAsiaTheme="minorHAnsi" w:cs="Times-Roman"/>
          <w:i/>
          <w:szCs w:val="24"/>
        </w:rPr>
        <w:t>1948, as existing on that date;</w:t>
      </w:r>
    </w:p>
    <w:p w:rsidR="002A6ED9" w:rsidRPr="003455F1" w:rsidRDefault="002A6ED9" w:rsidP="002A6ED9">
      <w:pPr>
        <w:autoSpaceDE w:val="0"/>
        <w:autoSpaceDN w:val="0"/>
        <w:adjustRightInd w:val="0"/>
        <w:rPr>
          <w:rFonts w:cstheme="minorBidi"/>
          <w:i/>
          <w:szCs w:val="24"/>
        </w:rPr>
      </w:pPr>
      <w:r w:rsidRPr="003455F1">
        <w:rPr>
          <w:rFonts w:eastAsiaTheme="minorHAnsi" w:cs="Times-Roman"/>
          <w:i/>
          <w:szCs w:val="24"/>
        </w:rPr>
        <w:t xml:space="preserve">(b) </w:t>
      </w:r>
      <w:proofErr w:type="gramStart"/>
      <w:r w:rsidRPr="003455F1">
        <w:rPr>
          <w:rFonts w:eastAsiaTheme="minorHAnsi" w:cs="Times-Roman"/>
          <w:i/>
          <w:szCs w:val="24"/>
        </w:rPr>
        <w:t>in</w:t>
      </w:r>
      <w:proofErr w:type="gramEnd"/>
      <w:r w:rsidRPr="003455F1">
        <w:rPr>
          <w:rFonts w:eastAsiaTheme="minorHAnsi" w:cs="Times-Roman"/>
          <w:i/>
          <w:szCs w:val="24"/>
        </w:rPr>
        <w:t xml:space="preserve"> relation to a building, other than a building which is Crown land, built on or after 1</w:t>
      </w:r>
      <w:r w:rsidRPr="003455F1">
        <w:rPr>
          <w:rFonts w:eastAsiaTheme="minorHAnsi" w:cs="Times-Roman"/>
          <w:i/>
          <w:szCs w:val="24"/>
          <w:vertAlign w:val="superscript"/>
        </w:rPr>
        <w:t>st</w:t>
      </w:r>
      <w:r w:rsidR="003455F1" w:rsidRPr="003455F1">
        <w:rPr>
          <w:rFonts w:eastAsiaTheme="minorHAnsi" w:cs="Times-Roman"/>
          <w:i/>
          <w:szCs w:val="24"/>
        </w:rPr>
        <w:t xml:space="preserve"> </w:t>
      </w:r>
      <w:r w:rsidRPr="003455F1">
        <w:rPr>
          <w:rFonts w:eastAsiaTheme="minorHAnsi" w:cs="Times-Roman"/>
          <w:i/>
          <w:szCs w:val="24"/>
        </w:rPr>
        <w:t>July 1948, as so built;</w:t>
      </w:r>
    </w:p>
    <w:p w:rsidR="00DA0CF7" w:rsidRDefault="003455F1" w:rsidP="00101D05">
      <w:pPr>
        <w:autoSpaceDE w:val="0"/>
        <w:autoSpaceDN w:val="0"/>
        <w:adjustRightInd w:val="0"/>
        <w:rPr>
          <w:rFonts w:cstheme="minorBidi"/>
          <w:szCs w:val="24"/>
        </w:rPr>
      </w:pPr>
      <w:r w:rsidRPr="003455F1">
        <w:rPr>
          <w:rFonts w:cstheme="minorBidi"/>
          <w:szCs w:val="24"/>
        </w:rPr>
        <w:t>(</w:t>
      </w:r>
      <w:proofErr w:type="gramStart"/>
      <w:r w:rsidRPr="003455F1">
        <w:rPr>
          <w:rFonts w:cstheme="minorBidi"/>
          <w:szCs w:val="24"/>
        </w:rPr>
        <w:t>as</w:t>
      </w:r>
      <w:proofErr w:type="gramEnd"/>
      <w:r w:rsidRPr="003455F1">
        <w:rPr>
          <w:rFonts w:cstheme="minorBidi"/>
          <w:szCs w:val="24"/>
        </w:rPr>
        <w:t xml:space="preserve"> the property in question is not Crown land points (c) and (d) are not relevant here.) </w:t>
      </w:r>
    </w:p>
    <w:p w:rsidR="00DA0CF7" w:rsidRDefault="00DA0CF7" w:rsidP="00101D05">
      <w:pPr>
        <w:autoSpaceDE w:val="0"/>
        <w:autoSpaceDN w:val="0"/>
        <w:adjustRightInd w:val="0"/>
        <w:rPr>
          <w:rFonts w:cstheme="minorBidi"/>
          <w:szCs w:val="24"/>
        </w:rPr>
      </w:pPr>
    </w:p>
    <w:p w:rsidR="00101D05" w:rsidRPr="00B507DF" w:rsidRDefault="003455F1" w:rsidP="00101D05">
      <w:pPr>
        <w:autoSpaceDE w:val="0"/>
        <w:autoSpaceDN w:val="0"/>
        <w:adjustRightInd w:val="0"/>
      </w:pPr>
      <w:r w:rsidRPr="003455F1">
        <w:rPr>
          <w:rFonts w:cstheme="minorBidi"/>
          <w:szCs w:val="24"/>
        </w:rPr>
        <w:t>Given that the application property is shown on the 1950 Ordnance Survey as having the rear projection (see map above) and the property is not shown at all on the 1930 Ordnance Survey Map, it is considered likely that the property was constructed between 1930 and 1950 and the rear projection element would likely have been original to the property or in place by 1948.</w:t>
      </w:r>
      <w:r w:rsidR="00DA0CF7">
        <w:rPr>
          <w:rFonts w:cstheme="minorBidi"/>
          <w:szCs w:val="24"/>
        </w:rPr>
        <w:t xml:space="preserve"> Also, given that it is proposed to have the extension span the full width of the property, it will extend past the </w:t>
      </w:r>
      <w:r w:rsidR="00887801">
        <w:rPr>
          <w:rFonts w:cstheme="minorBidi"/>
          <w:szCs w:val="24"/>
        </w:rPr>
        <w:t xml:space="preserve">location of the </w:t>
      </w:r>
      <w:r w:rsidR="00DA0CF7">
        <w:rPr>
          <w:rFonts w:cstheme="minorBidi"/>
          <w:szCs w:val="24"/>
        </w:rPr>
        <w:t xml:space="preserve">west facing side </w:t>
      </w:r>
      <w:r w:rsidR="00DA0CF7">
        <w:rPr>
          <w:rFonts w:cstheme="minorBidi"/>
          <w:szCs w:val="24"/>
        </w:rPr>
        <w:lastRenderedPageBreak/>
        <w:t>elevation of the original single storey rear projection</w:t>
      </w:r>
      <w:r w:rsidR="00887801">
        <w:rPr>
          <w:rFonts w:cstheme="minorBidi"/>
          <w:szCs w:val="24"/>
        </w:rPr>
        <w:t xml:space="preserve"> and will be greater than half the width of the original house. </w:t>
      </w:r>
      <w:bookmarkStart w:id="0" w:name="_GoBack"/>
      <w:bookmarkEnd w:id="0"/>
      <w:r>
        <w:rPr>
          <w:rFonts w:cstheme="minorBidi"/>
          <w:szCs w:val="22"/>
        </w:rPr>
        <w:t xml:space="preserve">It </w:t>
      </w:r>
      <w:r w:rsidR="00101D05">
        <w:t xml:space="preserve">is therefore </w:t>
      </w:r>
      <w:r w:rsidR="00101D05" w:rsidRPr="00101D05">
        <w:t>considered that t</w:t>
      </w:r>
      <w:r w:rsidR="00101D05" w:rsidRPr="00101D05">
        <w:rPr>
          <w:szCs w:val="24"/>
        </w:rPr>
        <w:t>he proposed development</w:t>
      </w:r>
      <w:r w:rsidR="00AB0B79" w:rsidRPr="00101D05">
        <w:rPr>
          <w:szCs w:val="24"/>
        </w:rPr>
        <w:t xml:space="preserve"> does not meet the Permitted Development criteria as stated under Class A.1(</w:t>
      </w:r>
      <w:proofErr w:type="spellStart"/>
      <w:r w:rsidR="00101D05" w:rsidRPr="00101D05">
        <w:rPr>
          <w:szCs w:val="24"/>
        </w:rPr>
        <w:t>j.iii</w:t>
      </w:r>
      <w:proofErr w:type="spellEnd"/>
      <w:r w:rsidR="00AB0B79" w:rsidRPr="00101D05">
        <w:rPr>
          <w:szCs w:val="24"/>
        </w:rPr>
        <w:t>), Part 1, of Schedule 2 to the Town and Country Planning (General Permitted Development) (England) Order 2015 (“the 2015 Order”)</w:t>
      </w:r>
      <w:r w:rsidR="00101D05">
        <w:rPr>
          <w:szCs w:val="24"/>
        </w:rPr>
        <w:t xml:space="preserve"> as amended</w:t>
      </w:r>
      <w:r w:rsidR="00101D05" w:rsidRPr="00101D05">
        <w:rPr>
          <w:szCs w:val="24"/>
        </w:rPr>
        <w:t>.</w:t>
      </w:r>
      <w:r w:rsidR="00101D05">
        <w:rPr>
          <w:szCs w:val="24"/>
        </w:rPr>
        <w:t xml:space="preserve"> The proposed development </w:t>
      </w:r>
      <w:r w:rsidR="00101D05" w:rsidRPr="00101D05">
        <w:rPr>
          <w:szCs w:val="24"/>
        </w:rPr>
        <w:t xml:space="preserve">will </w:t>
      </w:r>
      <w:r w:rsidR="00101D05" w:rsidRPr="00101D05">
        <w:rPr>
          <w:rFonts w:eastAsiaTheme="minorHAnsi" w:cs="Times-Roman"/>
          <w:szCs w:val="24"/>
        </w:rPr>
        <w:t xml:space="preserve">extend beyond </w:t>
      </w:r>
      <w:r w:rsidR="00101D05">
        <w:rPr>
          <w:rFonts w:eastAsiaTheme="minorHAnsi" w:cs="Times-Roman"/>
          <w:szCs w:val="24"/>
        </w:rPr>
        <w:t>the location of a wall which formed a</w:t>
      </w:r>
      <w:r w:rsidR="00101D05" w:rsidRPr="00101D05">
        <w:rPr>
          <w:rFonts w:eastAsiaTheme="minorHAnsi" w:cs="Times-Roman"/>
          <w:szCs w:val="24"/>
        </w:rPr>
        <w:t xml:space="preserve"> side elevation of the original </w:t>
      </w:r>
      <w:proofErr w:type="spellStart"/>
      <w:r w:rsidR="00101D05" w:rsidRPr="00101D05">
        <w:rPr>
          <w:rFonts w:eastAsiaTheme="minorHAnsi" w:cs="Times-Roman"/>
          <w:szCs w:val="24"/>
        </w:rPr>
        <w:t>dwellinghouse</w:t>
      </w:r>
      <w:proofErr w:type="spellEnd"/>
      <w:r w:rsidR="00101D05" w:rsidRPr="00101D05">
        <w:rPr>
          <w:rFonts w:eastAsiaTheme="minorHAnsi" w:cs="Times-Roman"/>
          <w:szCs w:val="24"/>
        </w:rPr>
        <w:t xml:space="preserve">, and </w:t>
      </w:r>
      <w:r w:rsidR="00101D05">
        <w:rPr>
          <w:rFonts w:eastAsiaTheme="minorHAnsi" w:cs="Times-Roman"/>
          <w:szCs w:val="24"/>
        </w:rPr>
        <w:t xml:space="preserve">will </w:t>
      </w:r>
      <w:r w:rsidR="00101D05" w:rsidRPr="00101D05">
        <w:rPr>
          <w:rFonts w:eastAsiaTheme="minorHAnsi" w:cs="Times-Roman"/>
          <w:szCs w:val="24"/>
        </w:rPr>
        <w:t>have a width greater than half the widt</w:t>
      </w:r>
      <w:r w:rsidR="00B507DF">
        <w:rPr>
          <w:rFonts w:eastAsiaTheme="minorHAnsi" w:cs="Times-Roman"/>
          <w:szCs w:val="24"/>
        </w:rPr>
        <w:t xml:space="preserve">h of the original </w:t>
      </w:r>
      <w:proofErr w:type="spellStart"/>
      <w:r w:rsidR="00B507DF">
        <w:rPr>
          <w:rFonts w:eastAsiaTheme="minorHAnsi" w:cs="Times-Roman"/>
          <w:szCs w:val="24"/>
        </w:rPr>
        <w:t>dwellinghouse</w:t>
      </w:r>
      <w:proofErr w:type="spellEnd"/>
      <w:r w:rsidR="00B507DF">
        <w:rPr>
          <w:rFonts w:eastAsiaTheme="minorHAnsi" w:cs="Times-Roman"/>
          <w:szCs w:val="24"/>
        </w:rPr>
        <w:t>.</w:t>
      </w:r>
    </w:p>
    <w:p w:rsidR="00AB0B79" w:rsidRDefault="00AB0B79" w:rsidP="00AB0B79">
      <w:pPr>
        <w:jc w:val="both"/>
        <w:rPr>
          <w:szCs w:val="24"/>
          <w:highlight w:val="yellow"/>
        </w:rPr>
      </w:pPr>
    </w:p>
    <w:p w:rsidR="00AB0B79" w:rsidRPr="005B7EFA" w:rsidRDefault="00AB0B79" w:rsidP="00AB0B79">
      <w:pPr>
        <w:jc w:val="both"/>
        <w:rPr>
          <w:color w:val="000000"/>
          <w:szCs w:val="24"/>
          <w:u w:val="single"/>
        </w:rPr>
      </w:pPr>
      <w:r w:rsidRPr="005B7EFA">
        <w:rPr>
          <w:color w:val="000000"/>
          <w:szCs w:val="24"/>
          <w:u w:val="single"/>
        </w:rPr>
        <w:t>Equalities Impact</w:t>
      </w:r>
    </w:p>
    <w:p w:rsidR="00AB0B79" w:rsidRPr="005B7EFA" w:rsidRDefault="00AB0B79" w:rsidP="00AB0B79">
      <w:pPr>
        <w:jc w:val="both"/>
        <w:rPr>
          <w:color w:val="000000"/>
          <w:szCs w:val="24"/>
        </w:rPr>
      </w:pPr>
      <w:r w:rsidRPr="005B7EFA">
        <w:rPr>
          <w:color w:val="000000"/>
          <w:szCs w:val="24"/>
        </w:rPr>
        <w:t>In determining this application, the Local Planning Authority has had regard to its obligations under the Equality Act 2010.  The key equalities protected characteristics include age, disability, gender reassignment, marriage and civil partnership, pregnancy and maternity, race, religion or belief, gender, and sexual orientation.</w:t>
      </w:r>
    </w:p>
    <w:p w:rsidR="00AB0B79" w:rsidRPr="005B7EFA" w:rsidRDefault="00AB0B79" w:rsidP="00AB0B79">
      <w:pPr>
        <w:jc w:val="both"/>
        <w:rPr>
          <w:color w:val="000000"/>
          <w:szCs w:val="24"/>
        </w:rPr>
      </w:pPr>
    </w:p>
    <w:p w:rsidR="00AB0B79" w:rsidRPr="005B7EFA" w:rsidRDefault="00AB0B79" w:rsidP="00AB0B79">
      <w:pPr>
        <w:jc w:val="both"/>
        <w:rPr>
          <w:color w:val="000000"/>
          <w:szCs w:val="24"/>
        </w:rPr>
      </w:pPr>
      <w:r w:rsidRPr="005B7EFA">
        <w:rPr>
          <w:color w:val="000000"/>
          <w:szCs w:val="24"/>
        </w:rPr>
        <w:t>In terms of the key equalities protected characteristics it is considered there would be no significant adverse impacts as a result of the development.</w:t>
      </w:r>
    </w:p>
    <w:p w:rsidR="00AB0B79" w:rsidRPr="005B7EFA" w:rsidRDefault="00AB0B79" w:rsidP="00AB0B79">
      <w:pPr>
        <w:jc w:val="both"/>
        <w:rPr>
          <w:color w:val="000000"/>
          <w:szCs w:val="24"/>
        </w:rPr>
      </w:pPr>
    </w:p>
    <w:p w:rsidR="00AB0B79" w:rsidRDefault="00AB0B79" w:rsidP="00AB0B79">
      <w:pPr>
        <w:jc w:val="both"/>
        <w:rPr>
          <w:b/>
          <w:color w:val="000000"/>
          <w:szCs w:val="24"/>
          <w:u w:val="single"/>
        </w:rPr>
      </w:pPr>
      <w:r w:rsidRPr="00AB7F9E">
        <w:rPr>
          <w:b/>
          <w:color w:val="000000"/>
          <w:szCs w:val="24"/>
          <w:u w:val="single"/>
        </w:rPr>
        <w:t>REASON</w:t>
      </w:r>
    </w:p>
    <w:p w:rsidR="00AB0B79" w:rsidRDefault="00AB0B79" w:rsidP="00AB0B79"/>
    <w:p w:rsidR="00AB0B79" w:rsidRPr="00101D05" w:rsidRDefault="00AB0B79" w:rsidP="00AB0B79">
      <w:pPr>
        <w:jc w:val="both"/>
        <w:rPr>
          <w:szCs w:val="24"/>
        </w:rPr>
      </w:pPr>
      <w:r w:rsidRPr="00101D05">
        <w:rPr>
          <w:szCs w:val="24"/>
        </w:rPr>
        <w:t xml:space="preserve">As Class </w:t>
      </w:r>
      <w:proofErr w:type="gramStart"/>
      <w:r w:rsidRPr="00101D05">
        <w:rPr>
          <w:szCs w:val="24"/>
        </w:rPr>
        <w:t>A.1(</w:t>
      </w:r>
      <w:proofErr w:type="spellStart"/>
      <w:proofErr w:type="gramEnd"/>
      <w:r w:rsidR="00101D05" w:rsidRPr="00101D05">
        <w:rPr>
          <w:szCs w:val="24"/>
        </w:rPr>
        <w:t>j.iii</w:t>
      </w:r>
      <w:proofErr w:type="spellEnd"/>
      <w:r w:rsidRPr="00101D05">
        <w:rPr>
          <w:szCs w:val="24"/>
        </w:rPr>
        <w:t>), Part 1, of Schedule 2 to the Town and Country Planning (General Permitted Development) (England) Order 2015 (“the 2015 Order”)</w:t>
      </w:r>
      <w:r w:rsidR="00101D05" w:rsidRPr="00101D05">
        <w:rPr>
          <w:szCs w:val="24"/>
        </w:rPr>
        <w:t xml:space="preserve"> as amended</w:t>
      </w:r>
      <w:r w:rsidRPr="00101D05">
        <w:rPr>
          <w:szCs w:val="24"/>
        </w:rPr>
        <w:t xml:space="preserve"> states</w:t>
      </w:r>
      <w:r w:rsidR="00101D05" w:rsidRPr="00101D05">
        <w:rPr>
          <w:szCs w:val="24"/>
        </w:rPr>
        <w:t xml:space="preserve"> that development is not permitted by Class A if</w:t>
      </w:r>
      <w:r w:rsidRPr="00101D05">
        <w:rPr>
          <w:szCs w:val="24"/>
        </w:rPr>
        <w:t>:</w:t>
      </w:r>
    </w:p>
    <w:p w:rsidR="00AB0B79" w:rsidRPr="00101D05" w:rsidRDefault="00AB0B79" w:rsidP="00AB0B79">
      <w:pPr>
        <w:jc w:val="both"/>
        <w:rPr>
          <w:szCs w:val="24"/>
        </w:rPr>
      </w:pPr>
    </w:p>
    <w:p w:rsidR="00101D05" w:rsidRPr="00101D05" w:rsidRDefault="00101D05" w:rsidP="00101D05">
      <w:pPr>
        <w:autoSpaceDE w:val="0"/>
        <w:autoSpaceDN w:val="0"/>
        <w:adjustRightInd w:val="0"/>
        <w:rPr>
          <w:rFonts w:eastAsiaTheme="minorHAnsi" w:cs="Times-Roman"/>
          <w:i/>
          <w:szCs w:val="24"/>
        </w:rPr>
      </w:pPr>
      <w:r w:rsidRPr="00101D05">
        <w:rPr>
          <w:rFonts w:eastAsiaTheme="minorHAnsi" w:cs="Times-Roman"/>
          <w:i/>
          <w:szCs w:val="24"/>
        </w:rPr>
        <w:t xml:space="preserve">the enlarged part of the </w:t>
      </w:r>
      <w:proofErr w:type="spellStart"/>
      <w:r w:rsidRPr="00101D05">
        <w:rPr>
          <w:rFonts w:eastAsiaTheme="minorHAnsi" w:cs="Times-Roman"/>
          <w:i/>
          <w:szCs w:val="24"/>
        </w:rPr>
        <w:t>dwellinghouse</w:t>
      </w:r>
      <w:proofErr w:type="spellEnd"/>
      <w:r w:rsidRPr="00101D05">
        <w:rPr>
          <w:rFonts w:eastAsiaTheme="minorHAnsi" w:cs="Times-Roman"/>
          <w:i/>
          <w:szCs w:val="24"/>
        </w:rPr>
        <w:t xml:space="preserve"> would extend beyond a wall forming a side elevation of the original </w:t>
      </w:r>
      <w:proofErr w:type="spellStart"/>
      <w:r w:rsidRPr="00101D05">
        <w:rPr>
          <w:rFonts w:eastAsiaTheme="minorHAnsi" w:cs="Times-Roman"/>
          <w:i/>
          <w:szCs w:val="24"/>
        </w:rPr>
        <w:t>dwellinghouse</w:t>
      </w:r>
      <w:proofErr w:type="spellEnd"/>
      <w:r w:rsidRPr="00101D05">
        <w:rPr>
          <w:rFonts w:eastAsiaTheme="minorHAnsi" w:cs="Times-Roman"/>
          <w:i/>
          <w:szCs w:val="24"/>
        </w:rPr>
        <w:t xml:space="preserve">, and would— have a width greater than half the width of the original </w:t>
      </w:r>
      <w:proofErr w:type="spellStart"/>
      <w:r w:rsidRPr="00101D05">
        <w:rPr>
          <w:rFonts w:eastAsiaTheme="minorHAnsi" w:cs="Times-Roman"/>
          <w:i/>
          <w:szCs w:val="24"/>
        </w:rPr>
        <w:t>dwellinghouse</w:t>
      </w:r>
      <w:proofErr w:type="spellEnd"/>
      <w:r w:rsidRPr="00101D05">
        <w:rPr>
          <w:rFonts w:eastAsiaTheme="minorHAnsi" w:cs="Times-Roman"/>
          <w:i/>
          <w:szCs w:val="24"/>
        </w:rPr>
        <w:t>;</w:t>
      </w:r>
    </w:p>
    <w:p w:rsidR="00AB0B79" w:rsidRPr="00101D05" w:rsidRDefault="00AB0B79" w:rsidP="00AB0B79">
      <w:pPr>
        <w:jc w:val="both"/>
        <w:rPr>
          <w:szCs w:val="24"/>
        </w:rPr>
      </w:pPr>
    </w:p>
    <w:p w:rsidR="00AB0B79" w:rsidRDefault="00AB0B79" w:rsidP="00AB0B79">
      <w:pPr>
        <w:jc w:val="both"/>
        <w:rPr>
          <w:szCs w:val="24"/>
        </w:rPr>
      </w:pPr>
      <w:r w:rsidRPr="00101D05">
        <w:rPr>
          <w:szCs w:val="24"/>
        </w:rPr>
        <w:t>Prior Approval cannot be granted in this instance and i</w:t>
      </w:r>
      <w:r w:rsidR="00101D05" w:rsidRPr="00101D05">
        <w:rPr>
          <w:szCs w:val="24"/>
        </w:rPr>
        <w:t>s</w:t>
      </w:r>
      <w:r w:rsidRPr="00101D05">
        <w:rPr>
          <w:szCs w:val="24"/>
        </w:rPr>
        <w:t xml:space="preserve"> refused because the extension</w:t>
      </w:r>
      <w:r w:rsidR="00101D05" w:rsidRPr="00101D05">
        <w:rPr>
          <w:szCs w:val="24"/>
        </w:rPr>
        <w:t xml:space="preserve"> will extend past the side elevation of the original single storey rear projection, which has been removed to facilitate this </w:t>
      </w:r>
      <w:proofErr w:type="gramStart"/>
      <w:r w:rsidR="00101D05" w:rsidRPr="00101D05">
        <w:rPr>
          <w:szCs w:val="24"/>
        </w:rPr>
        <w:t>proposal</w:t>
      </w:r>
      <w:proofErr w:type="gramEnd"/>
      <w:r w:rsidR="00101D05" w:rsidRPr="00101D05">
        <w:rPr>
          <w:szCs w:val="24"/>
        </w:rPr>
        <w:t xml:space="preserve"> and was original to the property, and will have a width that is greater than half the width of the original property.</w:t>
      </w:r>
      <w:r w:rsidRPr="00101D05">
        <w:rPr>
          <w:szCs w:val="24"/>
        </w:rPr>
        <w:t xml:space="preserve"> The proposed extension therefore does not meet the Permitted Development criteria as stated under </w:t>
      </w:r>
      <w:r w:rsidR="00101D05" w:rsidRPr="00101D05">
        <w:rPr>
          <w:szCs w:val="24"/>
        </w:rPr>
        <w:t>Class A.1 (</w:t>
      </w:r>
      <w:proofErr w:type="spellStart"/>
      <w:r w:rsidR="00101D05" w:rsidRPr="00101D05">
        <w:rPr>
          <w:szCs w:val="24"/>
        </w:rPr>
        <w:t>j.iii</w:t>
      </w:r>
      <w:proofErr w:type="spellEnd"/>
      <w:r w:rsidR="00101D05" w:rsidRPr="00101D05">
        <w:rPr>
          <w:szCs w:val="24"/>
        </w:rPr>
        <w:t>)</w:t>
      </w:r>
      <w:r w:rsidRPr="00101D05">
        <w:rPr>
          <w:szCs w:val="24"/>
        </w:rPr>
        <w:t>, Part 1, of Schedule 2 to the Town and Country Planning (General Permitted Development) (England) Order 2015 (“the 2015 Order”)</w:t>
      </w:r>
      <w:r w:rsidR="00101D05" w:rsidRPr="00101D05">
        <w:rPr>
          <w:szCs w:val="24"/>
        </w:rPr>
        <w:t xml:space="preserve"> as amended</w:t>
      </w:r>
      <w:r w:rsidRPr="00101D05">
        <w:rPr>
          <w:szCs w:val="24"/>
        </w:rPr>
        <w:t>.</w:t>
      </w:r>
      <w:r w:rsidRPr="000742C6">
        <w:rPr>
          <w:szCs w:val="24"/>
        </w:rPr>
        <w:t xml:space="preserve"> </w:t>
      </w:r>
    </w:p>
    <w:p w:rsidR="00AB0B79" w:rsidRDefault="00AB0B79" w:rsidP="00AB0B79">
      <w:pPr>
        <w:jc w:val="both"/>
        <w:rPr>
          <w:szCs w:val="24"/>
        </w:rPr>
      </w:pPr>
    </w:p>
    <w:p w:rsidR="00AB0B79" w:rsidRPr="00CC1368" w:rsidRDefault="00AB0B79" w:rsidP="00AB0B79">
      <w:pPr>
        <w:jc w:val="both"/>
        <w:rPr>
          <w:b/>
          <w:szCs w:val="24"/>
        </w:rPr>
      </w:pPr>
      <w:proofErr w:type="spellStart"/>
      <w:r w:rsidRPr="00CC1368">
        <w:rPr>
          <w:b/>
          <w:szCs w:val="24"/>
        </w:rPr>
        <w:t>Informative</w:t>
      </w:r>
      <w:r w:rsidR="00B507DF">
        <w:rPr>
          <w:b/>
          <w:szCs w:val="24"/>
        </w:rPr>
        <w:t>s</w:t>
      </w:r>
      <w:proofErr w:type="spellEnd"/>
      <w:r w:rsidRPr="00CC1368">
        <w:rPr>
          <w:b/>
          <w:szCs w:val="24"/>
        </w:rPr>
        <w:t>:</w:t>
      </w:r>
    </w:p>
    <w:p w:rsidR="00B507DF" w:rsidRDefault="00B507DF" w:rsidP="00AB0B79">
      <w:pPr>
        <w:jc w:val="both"/>
        <w:rPr>
          <w:szCs w:val="24"/>
        </w:rPr>
      </w:pPr>
    </w:p>
    <w:p w:rsidR="00AB0B79" w:rsidRDefault="00AB0B79" w:rsidP="00B507DF">
      <w:pPr>
        <w:pStyle w:val="ListParagraph"/>
        <w:numPr>
          <w:ilvl w:val="0"/>
          <w:numId w:val="2"/>
        </w:numPr>
        <w:jc w:val="both"/>
        <w:rPr>
          <w:szCs w:val="24"/>
        </w:rPr>
      </w:pPr>
      <w:r w:rsidRPr="00B507DF">
        <w:rPr>
          <w:szCs w:val="24"/>
        </w:rPr>
        <w:t>Refused Plans</w:t>
      </w:r>
    </w:p>
    <w:p w:rsidR="00B507DF" w:rsidRPr="00B507DF" w:rsidRDefault="00B507DF" w:rsidP="00B507DF">
      <w:pPr>
        <w:pStyle w:val="ListParagraph"/>
        <w:numPr>
          <w:ilvl w:val="0"/>
          <w:numId w:val="2"/>
        </w:numPr>
        <w:jc w:val="both"/>
        <w:rPr>
          <w:szCs w:val="24"/>
        </w:rPr>
      </w:pPr>
      <w:r w:rsidRPr="00B507DF">
        <w:rPr>
          <w:szCs w:val="24"/>
        </w:rPr>
        <w:t xml:space="preserve">It is noted that drawing No: 400_P-010 – OS Site Map, Existing Block Plan shows a rear addition to the </w:t>
      </w:r>
      <w:proofErr w:type="spellStart"/>
      <w:r w:rsidRPr="00B507DF">
        <w:rPr>
          <w:szCs w:val="24"/>
        </w:rPr>
        <w:t>dwellinghouse</w:t>
      </w:r>
      <w:proofErr w:type="spellEnd"/>
      <w:r w:rsidRPr="00B507DF">
        <w:rPr>
          <w:szCs w:val="24"/>
        </w:rPr>
        <w:t xml:space="preserve">. However, this is not shown on Drawing No: 400_P-011 – Existing Floor Plans and Elevations. The applicant has explained that the single storey rear projection has been demolished. It is confirmed that the single storey rear projection was in place at the time of a separate application at the site earlier in 2017 (Ref 170234, as shown on drawing No: 400_P-002 </w:t>
      </w:r>
      <w:proofErr w:type="spellStart"/>
      <w:r w:rsidRPr="00B507DF">
        <w:rPr>
          <w:szCs w:val="24"/>
        </w:rPr>
        <w:t>rev.B</w:t>
      </w:r>
      <w:proofErr w:type="spellEnd"/>
      <w:r w:rsidRPr="00B507DF">
        <w:rPr>
          <w:szCs w:val="24"/>
        </w:rPr>
        <w:t xml:space="preserve"> – Existing Floor Plans and Elevations), as witnessed during an officer site visit on 06/03/2017.</w:t>
      </w:r>
    </w:p>
    <w:p w:rsidR="00AB0B79" w:rsidRPr="00DF56C8" w:rsidRDefault="00AB0B79" w:rsidP="00AB0B79"/>
    <w:p w:rsidR="00AB0B79" w:rsidRDefault="00AB0B79" w:rsidP="00AB0B79"/>
    <w:p w:rsidR="00AB0B79" w:rsidRDefault="00AB0B79" w:rsidP="00AB0B79"/>
    <w:p w:rsidR="004443B7" w:rsidRDefault="004443B7"/>
    <w:sectPr w:rsidR="004443B7" w:rsidSect="00387A93">
      <w:headerReference w:type="even" r:id="rId10"/>
      <w:headerReference w:type="default" r:id="rId11"/>
      <w:footerReference w:type="even" r:id="rId12"/>
      <w:footerReference w:type="default" r:id="rId13"/>
      <w:headerReference w:type="first" r:id="rId14"/>
      <w:footerReference w:type="first" r:id="rId15"/>
      <w:type w:val="continuous"/>
      <w:pgSz w:w="11906" w:h="16838" w:code="9"/>
      <w:pgMar w:top="709" w:right="992" w:bottom="284" w:left="1276" w:header="720" w:footer="720" w:gutter="0"/>
      <w:cols w:space="708"/>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B0B79" w:rsidRDefault="00AB0B79" w:rsidP="004E31E0">
      <w:r>
        <w:separator/>
      </w:r>
    </w:p>
  </w:endnote>
  <w:endnote w:type="continuationSeparator" w:id="0">
    <w:p w:rsidR="00AB0B79" w:rsidRDefault="00AB0B79" w:rsidP="004E31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altName w:val="Verdana"/>
    <w:panose1 w:val="020B0604030504040204"/>
    <w:charset w:val="00"/>
    <w:family w:val="swiss"/>
    <w:pitch w:val="variable"/>
    <w:sig w:usb0="A10006FF" w:usb1="4000205B" w:usb2="00000010" w:usb3="00000000" w:csb0="0000019F" w:csb1="00000000"/>
  </w:font>
  <w:font w:name="Times-Roman">
    <w:panose1 w:val="00000000000000000000"/>
    <w:charset w:val="00"/>
    <w:family w:val="auto"/>
    <w:notTrueType/>
    <w:pitch w:val="default"/>
    <w:sig w:usb0="00000003" w:usb1="00000000" w:usb2="00000000" w:usb3="00000000" w:csb0="00000001" w:csb1="00000000"/>
  </w:font>
  <w:font w:name="Verdana,Bold">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31E0" w:rsidRDefault="004E31E0">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31E0" w:rsidRDefault="004E31E0">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31E0" w:rsidRDefault="004E31E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B0B79" w:rsidRDefault="00AB0B79" w:rsidP="004E31E0">
      <w:r>
        <w:separator/>
      </w:r>
    </w:p>
  </w:footnote>
  <w:footnote w:type="continuationSeparator" w:id="0">
    <w:p w:rsidR="00AB0B79" w:rsidRDefault="00AB0B79" w:rsidP="004E31E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31E0" w:rsidRDefault="004E31E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31E0" w:rsidRDefault="004E31E0">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31E0" w:rsidRDefault="004E31E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203C01"/>
    <w:multiLevelType w:val="hybridMultilevel"/>
    <w:tmpl w:val="5798BF4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02B221ED"/>
    <w:multiLevelType w:val="hybridMultilevel"/>
    <w:tmpl w:val="B9488F0E"/>
    <w:lvl w:ilvl="0" w:tplc="7FDCBD2C">
      <w:numFmt w:val="bullet"/>
      <w:lvlText w:val="-"/>
      <w:lvlJc w:val="left"/>
      <w:pPr>
        <w:ind w:left="720" w:hanging="360"/>
      </w:pPr>
      <w:rPr>
        <w:rFonts w:ascii="Trebuchet MS" w:eastAsia="Times New Roman" w:hAnsi="Trebuchet MS"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20"/>
  <w:drawingGridVerticalSpacing w:val="163"/>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AB0B79"/>
    <w:rsid w:val="00002C5E"/>
    <w:rsid w:val="000121C8"/>
    <w:rsid w:val="000200B0"/>
    <w:rsid w:val="00033072"/>
    <w:rsid w:val="00037CA6"/>
    <w:rsid w:val="000510E2"/>
    <w:rsid w:val="000535AD"/>
    <w:rsid w:val="00066A32"/>
    <w:rsid w:val="00081C4D"/>
    <w:rsid w:val="00086765"/>
    <w:rsid w:val="000917B5"/>
    <w:rsid w:val="00097EA0"/>
    <w:rsid w:val="000A506E"/>
    <w:rsid w:val="000C51B5"/>
    <w:rsid w:val="000C75E1"/>
    <w:rsid w:val="000D706C"/>
    <w:rsid w:val="000E0A40"/>
    <w:rsid w:val="000F059F"/>
    <w:rsid w:val="000F1AD2"/>
    <w:rsid w:val="000F36B0"/>
    <w:rsid w:val="00101D05"/>
    <w:rsid w:val="001115A8"/>
    <w:rsid w:val="00123B5F"/>
    <w:rsid w:val="0014432F"/>
    <w:rsid w:val="0014640D"/>
    <w:rsid w:val="001677DF"/>
    <w:rsid w:val="00186AE1"/>
    <w:rsid w:val="001A3182"/>
    <w:rsid w:val="001A3621"/>
    <w:rsid w:val="001B206D"/>
    <w:rsid w:val="001B2C3C"/>
    <w:rsid w:val="001B64E6"/>
    <w:rsid w:val="001D058E"/>
    <w:rsid w:val="001D3B3E"/>
    <w:rsid w:val="001D668E"/>
    <w:rsid w:val="001E03B1"/>
    <w:rsid w:val="001E5862"/>
    <w:rsid w:val="001F4F82"/>
    <w:rsid w:val="001F594D"/>
    <w:rsid w:val="001F68CF"/>
    <w:rsid w:val="00205579"/>
    <w:rsid w:val="002070B1"/>
    <w:rsid w:val="00214DB5"/>
    <w:rsid w:val="00215EEB"/>
    <w:rsid w:val="002208C5"/>
    <w:rsid w:val="00243A26"/>
    <w:rsid w:val="002641DA"/>
    <w:rsid w:val="00265B73"/>
    <w:rsid w:val="0026697C"/>
    <w:rsid w:val="00266FC7"/>
    <w:rsid w:val="00271430"/>
    <w:rsid w:val="00271D48"/>
    <w:rsid w:val="002800C8"/>
    <w:rsid w:val="002A1872"/>
    <w:rsid w:val="002A6ED9"/>
    <w:rsid w:val="002B4AFE"/>
    <w:rsid w:val="002B4E76"/>
    <w:rsid w:val="002B537A"/>
    <w:rsid w:val="002D3877"/>
    <w:rsid w:val="002D5359"/>
    <w:rsid w:val="002E07C6"/>
    <w:rsid w:val="002E2C66"/>
    <w:rsid w:val="002E514C"/>
    <w:rsid w:val="002E6B84"/>
    <w:rsid w:val="002F288D"/>
    <w:rsid w:val="00303ADA"/>
    <w:rsid w:val="00307110"/>
    <w:rsid w:val="00323C05"/>
    <w:rsid w:val="003455F1"/>
    <w:rsid w:val="00345957"/>
    <w:rsid w:val="00352BB7"/>
    <w:rsid w:val="0035353F"/>
    <w:rsid w:val="00363B0E"/>
    <w:rsid w:val="00373401"/>
    <w:rsid w:val="003753CA"/>
    <w:rsid w:val="00387A93"/>
    <w:rsid w:val="00387F67"/>
    <w:rsid w:val="003927AD"/>
    <w:rsid w:val="00395B0C"/>
    <w:rsid w:val="00395BA3"/>
    <w:rsid w:val="0039743E"/>
    <w:rsid w:val="003A0D33"/>
    <w:rsid w:val="003A1A00"/>
    <w:rsid w:val="003B255D"/>
    <w:rsid w:val="003B5A57"/>
    <w:rsid w:val="003C7ABD"/>
    <w:rsid w:val="003E5C4D"/>
    <w:rsid w:val="003F1A2F"/>
    <w:rsid w:val="003F2FD3"/>
    <w:rsid w:val="00403969"/>
    <w:rsid w:val="00403FE7"/>
    <w:rsid w:val="004066F0"/>
    <w:rsid w:val="00407391"/>
    <w:rsid w:val="00407E21"/>
    <w:rsid w:val="00415104"/>
    <w:rsid w:val="00431FA2"/>
    <w:rsid w:val="00432D29"/>
    <w:rsid w:val="0043305B"/>
    <w:rsid w:val="004345A5"/>
    <w:rsid w:val="004443B7"/>
    <w:rsid w:val="00444DFD"/>
    <w:rsid w:val="00454CC0"/>
    <w:rsid w:val="004578EF"/>
    <w:rsid w:val="0045793E"/>
    <w:rsid w:val="00471F79"/>
    <w:rsid w:val="004741D3"/>
    <w:rsid w:val="00487B13"/>
    <w:rsid w:val="004A19F9"/>
    <w:rsid w:val="004A1B7E"/>
    <w:rsid w:val="004A5A33"/>
    <w:rsid w:val="004A6B7D"/>
    <w:rsid w:val="004B29B1"/>
    <w:rsid w:val="004D6927"/>
    <w:rsid w:val="004D7E14"/>
    <w:rsid w:val="004E31E0"/>
    <w:rsid w:val="004E7D94"/>
    <w:rsid w:val="004F3631"/>
    <w:rsid w:val="00505574"/>
    <w:rsid w:val="005070A5"/>
    <w:rsid w:val="005130F7"/>
    <w:rsid w:val="005456BA"/>
    <w:rsid w:val="00563012"/>
    <w:rsid w:val="00566087"/>
    <w:rsid w:val="00567D5A"/>
    <w:rsid w:val="00574BFD"/>
    <w:rsid w:val="00584242"/>
    <w:rsid w:val="00596D06"/>
    <w:rsid w:val="005A08BD"/>
    <w:rsid w:val="005A3777"/>
    <w:rsid w:val="005B0C4E"/>
    <w:rsid w:val="005B5DD8"/>
    <w:rsid w:val="005B6488"/>
    <w:rsid w:val="005C06C8"/>
    <w:rsid w:val="005C1AFA"/>
    <w:rsid w:val="005C23AC"/>
    <w:rsid w:val="005E431E"/>
    <w:rsid w:val="005E5804"/>
    <w:rsid w:val="005F1AB3"/>
    <w:rsid w:val="005F45D4"/>
    <w:rsid w:val="00603B89"/>
    <w:rsid w:val="00632A0D"/>
    <w:rsid w:val="00647314"/>
    <w:rsid w:val="006475AE"/>
    <w:rsid w:val="00650603"/>
    <w:rsid w:val="00657BAD"/>
    <w:rsid w:val="0066041B"/>
    <w:rsid w:val="00676ACC"/>
    <w:rsid w:val="00677BBD"/>
    <w:rsid w:val="006834E0"/>
    <w:rsid w:val="00683E1D"/>
    <w:rsid w:val="006842ED"/>
    <w:rsid w:val="0069246F"/>
    <w:rsid w:val="00695721"/>
    <w:rsid w:val="006A0806"/>
    <w:rsid w:val="006A5B75"/>
    <w:rsid w:val="006C1FD6"/>
    <w:rsid w:val="006C3B84"/>
    <w:rsid w:val="006C40A7"/>
    <w:rsid w:val="006C4BFF"/>
    <w:rsid w:val="006C4E1F"/>
    <w:rsid w:val="006D6D99"/>
    <w:rsid w:val="006E5526"/>
    <w:rsid w:val="006E73BA"/>
    <w:rsid w:val="006F3BC7"/>
    <w:rsid w:val="006F7FC7"/>
    <w:rsid w:val="00700AA8"/>
    <w:rsid w:val="00722C39"/>
    <w:rsid w:val="00722EED"/>
    <w:rsid w:val="00723B6E"/>
    <w:rsid w:val="007269C5"/>
    <w:rsid w:val="007311BD"/>
    <w:rsid w:val="0073233C"/>
    <w:rsid w:val="007326D9"/>
    <w:rsid w:val="00733681"/>
    <w:rsid w:val="00741958"/>
    <w:rsid w:val="00746DD4"/>
    <w:rsid w:val="0075377F"/>
    <w:rsid w:val="007568B9"/>
    <w:rsid w:val="00757B2D"/>
    <w:rsid w:val="00765928"/>
    <w:rsid w:val="00767697"/>
    <w:rsid w:val="00770EFA"/>
    <w:rsid w:val="00775580"/>
    <w:rsid w:val="007767EF"/>
    <w:rsid w:val="0078310F"/>
    <w:rsid w:val="0078737B"/>
    <w:rsid w:val="0079025B"/>
    <w:rsid w:val="00791160"/>
    <w:rsid w:val="0079481F"/>
    <w:rsid w:val="0079526C"/>
    <w:rsid w:val="00796532"/>
    <w:rsid w:val="007A6E0D"/>
    <w:rsid w:val="007B2248"/>
    <w:rsid w:val="007B4A66"/>
    <w:rsid w:val="007C196B"/>
    <w:rsid w:val="007C3A01"/>
    <w:rsid w:val="007D2234"/>
    <w:rsid w:val="007D7EF4"/>
    <w:rsid w:val="007E2AF3"/>
    <w:rsid w:val="007E78A8"/>
    <w:rsid w:val="007F1D6B"/>
    <w:rsid w:val="007F4753"/>
    <w:rsid w:val="007F5728"/>
    <w:rsid w:val="0081214B"/>
    <w:rsid w:val="00814D71"/>
    <w:rsid w:val="008175E0"/>
    <w:rsid w:val="008214A9"/>
    <w:rsid w:val="008263E4"/>
    <w:rsid w:val="00831ECD"/>
    <w:rsid w:val="00850F08"/>
    <w:rsid w:val="00851DF5"/>
    <w:rsid w:val="00853236"/>
    <w:rsid w:val="0085334D"/>
    <w:rsid w:val="008546E0"/>
    <w:rsid w:val="00855507"/>
    <w:rsid w:val="00865E55"/>
    <w:rsid w:val="00881CA3"/>
    <w:rsid w:val="00882D95"/>
    <w:rsid w:val="0088367F"/>
    <w:rsid w:val="0088612E"/>
    <w:rsid w:val="00887801"/>
    <w:rsid w:val="0088793A"/>
    <w:rsid w:val="008904B3"/>
    <w:rsid w:val="00894B95"/>
    <w:rsid w:val="008951E8"/>
    <w:rsid w:val="008959A8"/>
    <w:rsid w:val="008A673F"/>
    <w:rsid w:val="008B0B1C"/>
    <w:rsid w:val="008B1B75"/>
    <w:rsid w:val="008D3406"/>
    <w:rsid w:val="008D3F93"/>
    <w:rsid w:val="008D671A"/>
    <w:rsid w:val="008F0DC1"/>
    <w:rsid w:val="008F1AD2"/>
    <w:rsid w:val="009000CF"/>
    <w:rsid w:val="00902F90"/>
    <w:rsid w:val="00907B6D"/>
    <w:rsid w:val="009101A5"/>
    <w:rsid w:val="00914DC6"/>
    <w:rsid w:val="00924156"/>
    <w:rsid w:val="00926457"/>
    <w:rsid w:val="00927B49"/>
    <w:rsid w:val="00932431"/>
    <w:rsid w:val="00942A71"/>
    <w:rsid w:val="00943E92"/>
    <w:rsid w:val="00945BD0"/>
    <w:rsid w:val="009478CE"/>
    <w:rsid w:val="00952AA3"/>
    <w:rsid w:val="009618F7"/>
    <w:rsid w:val="00970A1D"/>
    <w:rsid w:val="00973154"/>
    <w:rsid w:val="00983007"/>
    <w:rsid w:val="00985895"/>
    <w:rsid w:val="009A1E3C"/>
    <w:rsid w:val="009A230D"/>
    <w:rsid w:val="009A7628"/>
    <w:rsid w:val="009B41CB"/>
    <w:rsid w:val="009B65D3"/>
    <w:rsid w:val="009B6E33"/>
    <w:rsid w:val="009C418F"/>
    <w:rsid w:val="009C60F3"/>
    <w:rsid w:val="009C7542"/>
    <w:rsid w:val="009D3F87"/>
    <w:rsid w:val="009D5E54"/>
    <w:rsid w:val="009E20AB"/>
    <w:rsid w:val="009E5D15"/>
    <w:rsid w:val="009E5EFD"/>
    <w:rsid w:val="009F4AFF"/>
    <w:rsid w:val="00A0220C"/>
    <w:rsid w:val="00A0502A"/>
    <w:rsid w:val="00A050C6"/>
    <w:rsid w:val="00A1514E"/>
    <w:rsid w:val="00A2438A"/>
    <w:rsid w:val="00A26094"/>
    <w:rsid w:val="00A30872"/>
    <w:rsid w:val="00A3179E"/>
    <w:rsid w:val="00A4051C"/>
    <w:rsid w:val="00A43053"/>
    <w:rsid w:val="00A4547F"/>
    <w:rsid w:val="00A46964"/>
    <w:rsid w:val="00A47732"/>
    <w:rsid w:val="00A502FF"/>
    <w:rsid w:val="00A54106"/>
    <w:rsid w:val="00A54B5F"/>
    <w:rsid w:val="00A57E7B"/>
    <w:rsid w:val="00A6151D"/>
    <w:rsid w:val="00A62D27"/>
    <w:rsid w:val="00A70EF6"/>
    <w:rsid w:val="00A7131B"/>
    <w:rsid w:val="00A7443D"/>
    <w:rsid w:val="00AB0B79"/>
    <w:rsid w:val="00AB45E1"/>
    <w:rsid w:val="00AB5D5F"/>
    <w:rsid w:val="00AC306E"/>
    <w:rsid w:val="00AC642A"/>
    <w:rsid w:val="00AE3EA3"/>
    <w:rsid w:val="00AF5594"/>
    <w:rsid w:val="00AF644C"/>
    <w:rsid w:val="00B066A7"/>
    <w:rsid w:val="00B07F0A"/>
    <w:rsid w:val="00B171F1"/>
    <w:rsid w:val="00B30463"/>
    <w:rsid w:val="00B313D8"/>
    <w:rsid w:val="00B32BE9"/>
    <w:rsid w:val="00B33778"/>
    <w:rsid w:val="00B35FCA"/>
    <w:rsid w:val="00B4590B"/>
    <w:rsid w:val="00B507DF"/>
    <w:rsid w:val="00B5156D"/>
    <w:rsid w:val="00B650D8"/>
    <w:rsid w:val="00B6660E"/>
    <w:rsid w:val="00B67D25"/>
    <w:rsid w:val="00B70C74"/>
    <w:rsid w:val="00B7143D"/>
    <w:rsid w:val="00B7653B"/>
    <w:rsid w:val="00B7794A"/>
    <w:rsid w:val="00B8500F"/>
    <w:rsid w:val="00B859D1"/>
    <w:rsid w:val="00B870C8"/>
    <w:rsid w:val="00B93041"/>
    <w:rsid w:val="00BA78C9"/>
    <w:rsid w:val="00BC481D"/>
    <w:rsid w:val="00BD68B2"/>
    <w:rsid w:val="00BD6BF8"/>
    <w:rsid w:val="00BE418A"/>
    <w:rsid w:val="00BF3697"/>
    <w:rsid w:val="00C01A12"/>
    <w:rsid w:val="00C03083"/>
    <w:rsid w:val="00C0339A"/>
    <w:rsid w:val="00C1754A"/>
    <w:rsid w:val="00C25206"/>
    <w:rsid w:val="00C2652A"/>
    <w:rsid w:val="00C30F0F"/>
    <w:rsid w:val="00C31336"/>
    <w:rsid w:val="00C41333"/>
    <w:rsid w:val="00C46D82"/>
    <w:rsid w:val="00C57CC1"/>
    <w:rsid w:val="00C6418B"/>
    <w:rsid w:val="00C67398"/>
    <w:rsid w:val="00C71E14"/>
    <w:rsid w:val="00C73161"/>
    <w:rsid w:val="00C74646"/>
    <w:rsid w:val="00C77191"/>
    <w:rsid w:val="00C77859"/>
    <w:rsid w:val="00C87B58"/>
    <w:rsid w:val="00C91921"/>
    <w:rsid w:val="00CA0A69"/>
    <w:rsid w:val="00CA7F6D"/>
    <w:rsid w:val="00CB3CD8"/>
    <w:rsid w:val="00CB49B8"/>
    <w:rsid w:val="00CC7293"/>
    <w:rsid w:val="00CD4B85"/>
    <w:rsid w:val="00CD6E82"/>
    <w:rsid w:val="00CE042A"/>
    <w:rsid w:val="00CE3106"/>
    <w:rsid w:val="00CE4B18"/>
    <w:rsid w:val="00CF5C08"/>
    <w:rsid w:val="00D03C30"/>
    <w:rsid w:val="00D04D2F"/>
    <w:rsid w:val="00D06EA4"/>
    <w:rsid w:val="00D11C4D"/>
    <w:rsid w:val="00D14C19"/>
    <w:rsid w:val="00D20193"/>
    <w:rsid w:val="00D22231"/>
    <w:rsid w:val="00D32ACC"/>
    <w:rsid w:val="00D3750F"/>
    <w:rsid w:val="00D40DE0"/>
    <w:rsid w:val="00D43A87"/>
    <w:rsid w:val="00D46DDB"/>
    <w:rsid w:val="00D5084D"/>
    <w:rsid w:val="00D508AA"/>
    <w:rsid w:val="00D51DA7"/>
    <w:rsid w:val="00D535F6"/>
    <w:rsid w:val="00D71922"/>
    <w:rsid w:val="00D77139"/>
    <w:rsid w:val="00D87379"/>
    <w:rsid w:val="00DA0CF7"/>
    <w:rsid w:val="00DA0D28"/>
    <w:rsid w:val="00DA1D46"/>
    <w:rsid w:val="00DA493C"/>
    <w:rsid w:val="00DA522E"/>
    <w:rsid w:val="00DB0415"/>
    <w:rsid w:val="00DD003B"/>
    <w:rsid w:val="00DD3648"/>
    <w:rsid w:val="00DF1075"/>
    <w:rsid w:val="00DF340C"/>
    <w:rsid w:val="00DF7CA0"/>
    <w:rsid w:val="00E000E8"/>
    <w:rsid w:val="00E03209"/>
    <w:rsid w:val="00E03AB5"/>
    <w:rsid w:val="00E04311"/>
    <w:rsid w:val="00E113EA"/>
    <w:rsid w:val="00E119D0"/>
    <w:rsid w:val="00E216E6"/>
    <w:rsid w:val="00E24B7E"/>
    <w:rsid w:val="00E279FC"/>
    <w:rsid w:val="00E317EA"/>
    <w:rsid w:val="00E33C88"/>
    <w:rsid w:val="00E35FD6"/>
    <w:rsid w:val="00E444BA"/>
    <w:rsid w:val="00E47AE9"/>
    <w:rsid w:val="00E6138D"/>
    <w:rsid w:val="00E62F1D"/>
    <w:rsid w:val="00E62F9B"/>
    <w:rsid w:val="00E65B0F"/>
    <w:rsid w:val="00E672BA"/>
    <w:rsid w:val="00E7372E"/>
    <w:rsid w:val="00E77B36"/>
    <w:rsid w:val="00E82D7F"/>
    <w:rsid w:val="00E90764"/>
    <w:rsid w:val="00E91D90"/>
    <w:rsid w:val="00E95A80"/>
    <w:rsid w:val="00E97F55"/>
    <w:rsid w:val="00EA51CC"/>
    <w:rsid w:val="00EC3E31"/>
    <w:rsid w:val="00EC4B99"/>
    <w:rsid w:val="00EC5BCA"/>
    <w:rsid w:val="00ED4078"/>
    <w:rsid w:val="00ED7586"/>
    <w:rsid w:val="00EE19DA"/>
    <w:rsid w:val="00EE1DD0"/>
    <w:rsid w:val="00EE4F57"/>
    <w:rsid w:val="00EE59B2"/>
    <w:rsid w:val="00EF514F"/>
    <w:rsid w:val="00EF6BFE"/>
    <w:rsid w:val="00F00206"/>
    <w:rsid w:val="00F00F40"/>
    <w:rsid w:val="00F06FF5"/>
    <w:rsid w:val="00F0778B"/>
    <w:rsid w:val="00F162D6"/>
    <w:rsid w:val="00F26BD0"/>
    <w:rsid w:val="00F40464"/>
    <w:rsid w:val="00F56D81"/>
    <w:rsid w:val="00F604AF"/>
    <w:rsid w:val="00F66F08"/>
    <w:rsid w:val="00F715D1"/>
    <w:rsid w:val="00F77844"/>
    <w:rsid w:val="00F81C93"/>
    <w:rsid w:val="00F87814"/>
    <w:rsid w:val="00FA0B72"/>
    <w:rsid w:val="00FA3277"/>
    <w:rsid w:val="00FA4BAB"/>
    <w:rsid w:val="00FA7BE2"/>
    <w:rsid w:val="00FB29A8"/>
    <w:rsid w:val="00FC66BD"/>
    <w:rsid w:val="00FC763D"/>
    <w:rsid w:val="00FC7A72"/>
    <w:rsid w:val="00FD4C8C"/>
    <w:rsid w:val="00FD5C7D"/>
    <w:rsid w:val="00FE0E0E"/>
    <w:rsid w:val="00FE6188"/>
    <w:rsid w:val="00FE62E8"/>
    <w:rsid w:val="00FF2CB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B0B79"/>
    <w:pPr>
      <w:spacing w:after="0" w:line="240" w:lineRule="auto"/>
    </w:pPr>
    <w:rPr>
      <w:rFonts w:ascii="Trebuchet MS" w:eastAsia="Times New Roman" w:hAnsi="Trebuchet MS" w:cs="Times New Roman"/>
      <w:sz w:val="24"/>
      <w:szCs w:val="20"/>
    </w:rPr>
  </w:style>
  <w:style w:type="paragraph" w:styleId="Heading3">
    <w:name w:val="heading 3"/>
    <w:basedOn w:val="Normal"/>
    <w:next w:val="Normal"/>
    <w:link w:val="Heading3Char"/>
    <w:qFormat/>
    <w:rsid w:val="00AB0B79"/>
    <w:pPr>
      <w:keepNext/>
      <w:jc w:val="both"/>
      <w:outlineLvl w:val="2"/>
    </w:pPr>
    <w:rPr>
      <w:b/>
      <w:bCs/>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E31E0"/>
    <w:pPr>
      <w:tabs>
        <w:tab w:val="center" w:pos="4513"/>
        <w:tab w:val="right" w:pos="9026"/>
      </w:tabs>
    </w:pPr>
  </w:style>
  <w:style w:type="character" w:customStyle="1" w:styleId="HeaderChar">
    <w:name w:val="Header Char"/>
    <w:basedOn w:val="DefaultParagraphFont"/>
    <w:link w:val="Header"/>
    <w:uiPriority w:val="99"/>
    <w:rsid w:val="004E31E0"/>
  </w:style>
  <w:style w:type="paragraph" w:styleId="Footer">
    <w:name w:val="footer"/>
    <w:basedOn w:val="Normal"/>
    <w:link w:val="FooterChar"/>
    <w:uiPriority w:val="99"/>
    <w:unhideWhenUsed/>
    <w:rsid w:val="004E31E0"/>
    <w:pPr>
      <w:tabs>
        <w:tab w:val="center" w:pos="4513"/>
        <w:tab w:val="right" w:pos="9026"/>
      </w:tabs>
    </w:pPr>
  </w:style>
  <w:style w:type="character" w:customStyle="1" w:styleId="FooterChar">
    <w:name w:val="Footer Char"/>
    <w:basedOn w:val="DefaultParagraphFont"/>
    <w:link w:val="Footer"/>
    <w:uiPriority w:val="99"/>
    <w:rsid w:val="004E31E0"/>
  </w:style>
  <w:style w:type="character" w:customStyle="1" w:styleId="Heading3Char">
    <w:name w:val="Heading 3 Char"/>
    <w:basedOn w:val="DefaultParagraphFont"/>
    <w:link w:val="Heading3"/>
    <w:rsid w:val="00AB0B79"/>
    <w:rPr>
      <w:rFonts w:ascii="Trebuchet MS" w:eastAsia="Times New Roman" w:hAnsi="Trebuchet MS" w:cs="Times New Roman"/>
      <w:b/>
      <w:bCs/>
      <w:szCs w:val="20"/>
    </w:rPr>
  </w:style>
  <w:style w:type="paragraph" w:styleId="ListParagraph">
    <w:name w:val="List Paragraph"/>
    <w:basedOn w:val="Normal"/>
    <w:uiPriority w:val="34"/>
    <w:qFormat/>
    <w:rsid w:val="00AB0B79"/>
    <w:pPr>
      <w:ind w:left="720"/>
      <w:contextualSpacing/>
    </w:pPr>
  </w:style>
  <w:style w:type="character" w:styleId="CommentReference">
    <w:name w:val="annotation reference"/>
    <w:basedOn w:val="DefaultParagraphFont"/>
    <w:uiPriority w:val="99"/>
    <w:semiHidden/>
    <w:unhideWhenUsed/>
    <w:rsid w:val="00B507DF"/>
    <w:rPr>
      <w:sz w:val="16"/>
      <w:szCs w:val="16"/>
    </w:rPr>
  </w:style>
  <w:style w:type="paragraph" w:styleId="CommentText">
    <w:name w:val="annotation text"/>
    <w:basedOn w:val="Normal"/>
    <w:link w:val="CommentTextChar"/>
    <w:uiPriority w:val="99"/>
    <w:semiHidden/>
    <w:unhideWhenUsed/>
    <w:rsid w:val="00B507DF"/>
    <w:rPr>
      <w:sz w:val="20"/>
    </w:rPr>
  </w:style>
  <w:style w:type="character" w:customStyle="1" w:styleId="CommentTextChar">
    <w:name w:val="Comment Text Char"/>
    <w:basedOn w:val="DefaultParagraphFont"/>
    <w:link w:val="CommentText"/>
    <w:uiPriority w:val="99"/>
    <w:semiHidden/>
    <w:rsid w:val="00B507DF"/>
    <w:rPr>
      <w:rFonts w:ascii="Trebuchet MS" w:eastAsia="Times New Roman" w:hAnsi="Trebuchet MS" w:cs="Times New Roman"/>
      <w:sz w:val="20"/>
      <w:szCs w:val="20"/>
    </w:rPr>
  </w:style>
  <w:style w:type="paragraph" w:styleId="CommentSubject">
    <w:name w:val="annotation subject"/>
    <w:basedOn w:val="CommentText"/>
    <w:next w:val="CommentText"/>
    <w:link w:val="CommentSubjectChar"/>
    <w:uiPriority w:val="99"/>
    <w:semiHidden/>
    <w:unhideWhenUsed/>
    <w:rsid w:val="00B507DF"/>
    <w:rPr>
      <w:b/>
      <w:bCs/>
    </w:rPr>
  </w:style>
  <w:style w:type="character" w:customStyle="1" w:styleId="CommentSubjectChar">
    <w:name w:val="Comment Subject Char"/>
    <w:basedOn w:val="CommentTextChar"/>
    <w:link w:val="CommentSubject"/>
    <w:uiPriority w:val="99"/>
    <w:semiHidden/>
    <w:rsid w:val="00B507DF"/>
    <w:rPr>
      <w:rFonts w:ascii="Trebuchet MS" w:eastAsia="Times New Roman" w:hAnsi="Trebuchet MS" w:cs="Times New Roman"/>
      <w:b/>
      <w:bCs/>
      <w:sz w:val="20"/>
      <w:szCs w:val="20"/>
    </w:rPr>
  </w:style>
  <w:style w:type="paragraph" w:styleId="BalloonText">
    <w:name w:val="Balloon Text"/>
    <w:basedOn w:val="Normal"/>
    <w:link w:val="BalloonTextChar"/>
    <w:uiPriority w:val="99"/>
    <w:semiHidden/>
    <w:unhideWhenUsed/>
    <w:rsid w:val="00B507DF"/>
    <w:rPr>
      <w:rFonts w:ascii="Tahoma" w:hAnsi="Tahoma" w:cs="Tahoma"/>
      <w:sz w:val="16"/>
      <w:szCs w:val="16"/>
    </w:rPr>
  </w:style>
  <w:style w:type="character" w:customStyle="1" w:styleId="BalloonTextChar">
    <w:name w:val="Balloon Text Char"/>
    <w:basedOn w:val="DefaultParagraphFont"/>
    <w:link w:val="BalloonText"/>
    <w:uiPriority w:val="99"/>
    <w:semiHidden/>
    <w:rsid w:val="00B507DF"/>
    <w:rPr>
      <w:rFonts w:ascii="Tahoma" w:eastAsia="Times New Roman" w:hAnsi="Tahoma" w:cs="Tahoma"/>
      <w:sz w:val="16"/>
      <w:szCs w:val="16"/>
    </w:rPr>
  </w:style>
  <w:style w:type="paragraph" w:customStyle="1" w:styleId="Default">
    <w:name w:val="Default"/>
    <w:rsid w:val="00CA7F6D"/>
    <w:pPr>
      <w:autoSpaceDE w:val="0"/>
      <w:autoSpaceDN w:val="0"/>
      <w:adjustRightInd w:val="0"/>
      <w:spacing w:after="0" w:line="240" w:lineRule="auto"/>
    </w:pPr>
    <w:rPr>
      <w:rFonts w:ascii="Verdana" w:hAnsi="Verdana" w:cs="Verdana"/>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2.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323</TotalTime>
  <Pages>5</Pages>
  <Words>1677</Words>
  <Characters>9561</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11216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Banks, Heather</dc:creator>
  <cp:lastModifiedBy>Banks, Heather</cp:lastModifiedBy>
  <cp:revision>6</cp:revision>
  <dcterms:created xsi:type="dcterms:W3CDTF">2017-08-24T10:36:00Z</dcterms:created>
  <dcterms:modified xsi:type="dcterms:W3CDTF">2017-09-12T14:44:00Z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Unclassified</vt:lpwstr>
  </property>
  <property fmtid="{D5CDD505-2E9C-101B-9397-08002B2CF9AE}" pid="3" name="ClassificationMarking">
    <vt:lpwstr>Classification: UNCLASSIFIED</vt:lpwstr>
  </property>
  <property fmtid="{D5CDD505-2E9C-101B-9397-08002B2CF9AE}" pid="4" name="ClassificationMadeBy">
    <vt:lpwstr>RBC\BankHea</vt:lpwstr>
  </property>
  <property fmtid="{D5CDD505-2E9C-101B-9397-08002B2CF9AE}" pid="5" name="ClassificationMadeExternally">
    <vt:lpwstr>No</vt:lpwstr>
  </property>
  <property fmtid="{D5CDD505-2E9C-101B-9397-08002B2CF9AE}" pid="6" name="ClassificationMadeOn">
    <vt:filetime>2017-08-24T11:14:47Z</vt:filetime>
  </property>
</Properties>
</file>