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015D1F">
        <w:rPr>
          <w:rFonts w:ascii="Trebuchet MS" w:hAnsi="Trebuchet MS"/>
          <w:sz w:val="24"/>
          <w:szCs w:val="24"/>
        </w:rPr>
        <w:t>16/01/17</w:t>
      </w:r>
    </w:p>
    <w:p w:rsidR="00625504" w:rsidRPr="00015D1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015D1F">
        <w:rPr>
          <w:rFonts w:ascii="Trebuchet MS" w:hAnsi="Trebuchet MS"/>
          <w:sz w:val="24"/>
          <w:szCs w:val="24"/>
        </w:rPr>
        <w:t>7 Grange Avenue</w:t>
      </w:r>
    </w:p>
    <w:p w:rsidR="00625504" w:rsidRPr="00015D1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015D1F">
        <w:rPr>
          <w:rFonts w:ascii="Trebuchet MS" w:hAnsi="Trebuchet MS"/>
          <w:sz w:val="24"/>
          <w:szCs w:val="24"/>
        </w:rPr>
        <w:t>172073/CLP</w:t>
      </w:r>
    </w:p>
    <w:p w:rsidR="00625504" w:rsidRPr="00015D1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015D1F">
        <w:rPr>
          <w:rFonts w:ascii="Trebuchet MS" w:hAnsi="Trebuchet MS"/>
          <w:sz w:val="24"/>
          <w:szCs w:val="24"/>
        </w:rPr>
        <w:t xml:space="preserve">Loft conversion with the provision of an L-shaped rear box dormer, two roof lights and the removal of a chimney </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015D1F" w:rsidRDefault="00015D1F" w:rsidP="00AF3FE4">
      <w:pPr>
        <w:spacing w:line="240" w:lineRule="auto"/>
        <w:rPr>
          <w:rFonts w:ascii="Trebuchet MS" w:hAnsi="Trebuchet MS"/>
          <w:sz w:val="24"/>
          <w:szCs w:val="24"/>
        </w:rPr>
      </w:pPr>
      <w:r>
        <w:rPr>
          <w:rFonts w:ascii="Trebuchet MS" w:hAnsi="Trebuchet MS"/>
          <w:sz w:val="24"/>
          <w:szCs w:val="24"/>
        </w:rPr>
        <w:t xml:space="preserve">The application site is a two storey mid-terraced dwelling with a pitched roof. A two storey gable projects to the rear. A single storey projection extends beyond. The surrounding area is predominantly residential. </w:t>
      </w:r>
      <w:r w:rsidR="00BD0980">
        <w:rPr>
          <w:rFonts w:ascii="Trebuchet MS" w:hAnsi="Trebuchet MS"/>
          <w:sz w:val="24"/>
          <w:szCs w:val="24"/>
        </w:rPr>
        <w:t>The site is located within an Article 4 area, controlling the change from C3 to C4 (HMO).</w:t>
      </w:r>
    </w:p>
    <w:p w:rsidR="00BD0980" w:rsidRDefault="00BD0980" w:rsidP="00AF3FE4">
      <w:pPr>
        <w:spacing w:line="240" w:lineRule="auto"/>
        <w:rPr>
          <w:rFonts w:ascii="Trebuchet MS" w:hAnsi="Trebuchet MS"/>
          <w:sz w:val="24"/>
          <w:szCs w:val="24"/>
        </w:rPr>
      </w:pPr>
      <w:r>
        <w:rPr>
          <w:rFonts w:ascii="Trebuchet MS" w:hAnsi="Trebuchet MS"/>
          <w:sz w:val="24"/>
          <w:szCs w:val="24"/>
        </w:rPr>
        <w:t>The proposal is for a loft conversion with the provision of an L-shaped rear box dormer, two roof lights to the forward roof slope and the removal of an existing chimney.</w:t>
      </w:r>
    </w:p>
    <w:p w:rsidR="00BD0980" w:rsidRPr="00015D1F" w:rsidRDefault="00BD0980" w:rsidP="00AF3FE4">
      <w:pPr>
        <w:spacing w:line="240" w:lineRule="auto"/>
        <w:rPr>
          <w:rFonts w:ascii="Trebuchet MS" w:hAnsi="Trebuchet MS"/>
          <w:sz w:val="24"/>
          <w:szCs w:val="24"/>
        </w:rPr>
      </w:pPr>
      <w:r>
        <w:rPr>
          <w:rFonts w:ascii="Trebuchet MS" w:hAnsi="Trebuchet MS"/>
          <w:sz w:val="24"/>
          <w:szCs w:val="24"/>
        </w:rPr>
        <w:t xml:space="preserve">The proposed dormer would not exceed the ridge height of the existing dwelling and would be set back from the existing eaves by a minimum of 0.2m. Materials used would be of a similar appearance to those of the existing dwelling. The cubic content of the resulting roof space would exceed the cubic content of the original roof space by 33.26 cubic metres.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BD0980">
        <w:rPr>
          <w:rFonts w:ascii="Trebuchet MS" w:hAnsi="Trebuchet MS"/>
          <w:sz w:val="24"/>
          <w:szCs w:val="24"/>
        </w:rPr>
        <w:t>21</w:t>
      </w:r>
      <w:r w:rsidR="00BD0980" w:rsidRPr="00BD0980">
        <w:rPr>
          <w:rFonts w:ascii="Trebuchet MS" w:hAnsi="Trebuchet MS"/>
          <w:sz w:val="24"/>
          <w:szCs w:val="24"/>
          <w:vertAlign w:val="superscript"/>
        </w:rPr>
        <w:t>st</w:t>
      </w:r>
      <w:r w:rsidR="00BD0980">
        <w:rPr>
          <w:rFonts w:ascii="Trebuchet MS" w:hAnsi="Trebuchet MS"/>
          <w:sz w:val="24"/>
          <w:szCs w:val="24"/>
        </w:rPr>
        <w:t xml:space="preserve"> November 2017:</w:t>
      </w:r>
    </w:p>
    <w:p w:rsidR="00BD0980" w:rsidRDefault="00BD0980" w:rsidP="003C6957">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:012</w:t>
      </w:r>
      <w:proofErr w:type="gramEnd"/>
      <w:r>
        <w:rPr>
          <w:rFonts w:ascii="Trebuchet MS" w:hAnsi="Trebuchet MS"/>
          <w:sz w:val="24"/>
          <w:szCs w:val="24"/>
        </w:rPr>
        <w:t xml:space="preserve"> – Site Location</w:t>
      </w:r>
    </w:p>
    <w:p w:rsidR="00BD0980" w:rsidRDefault="00BD0980" w:rsidP="003C6957">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:011</w:t>
      </w:r>
      <w:proofErr w:type="gramEnd"/>
      <w:r>
        <w:rPr>
          <w:rFonts w:ascii="Trebuchet MS" w:hAnsi="Trebuchet MS"/>
          <w:sz w:val="24"/>
          <w:szCs w:val="24"/>
        </w:rPr>
        <w:t xml:space="preserve"> – Block Plan</w:t>
      </w:r>
    </w:p>
    <w:p w:rsidR="00BD0980" w:rsidRDefault="00BD0980" w:rsidP="003C6957">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:Br21</w:t>
      </w:r>
      <w:proofErr w:type="gramEnd"/>
      <w:r>
        <w:rPr>
          <w:rFonts w:ascii="Trebuchet MS" w:hAnsi="Trebuchet MS"/>
          <w:sz w:val="24"/>
          <w:szCs w:val="24"/>
        </w:rPr>
        <w:t xml:space="preserve"> – Existing First Floor Plan</w:t>
      </w:r>
    </w:p>
    <w:p w:rsidR="00BD0980" w:rsidRDefault="00BD0980" w:rsidP="003C6957">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:Br20</w:t>
      </w:r>
      <w:proofErr w:type="gramEnd"/>
      <w:r>
        <w:rPr>
          <w:rFonts w:ascii="Trebuchet MS" w:hAnsi="Trebuchet MS"/>
          <w:sz w:val="24"/>
          <w:szCs w:val="24"/>
        </w:rPr>
        <w:t xml:space="preserve"> – Proposed Ground Floor Plan</w:t>
      </w:r>
    </w:p>
    <w:p w:rsidR="00BD0980" w:rsidRDefault="00BD0980" w:rsidP="003C6957">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:Br22</w:t>
      </w:r>
      <w:proofErr w:type="gramEnd"/>
      <w:r>
        <w:rPr>
          <w:rFonts w:ascii="Trebuchet MS" w:hAnsi="Trebuchet MS"/>
          <w:sz w:val="24"/>
          <w:szCs w:val="24"/>
        </w:rPr>
        <w:t xml:space="preserve"> – Proposed First Floor Plan</w:t>
      </w:r>
    </w:p>
    <w:p w:rsidR="00BD0980" w:rsidRDefault="00BD0980" w:rsidP="003C6957">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:Br23</w:t>
      </w:r>
      <w:proofErr w:type="gramEnd"/>
      <w:r>
        <w:rPr>
          <w:rFonts w:ascii="Trebuchet MS" w:hAnsi="Trebuchet MS"/>
          <w:sz w:val="24"/>
          <w:szCs w:val="24"/>
        </w:rPr>
        <w:t xml:space="preserve"> – Proposed Second Floor Plan</w:t>
      </w:r>
    </w:p>
    <w:p w:rsidR="00BD0980" w:rsidRDefault="00BD0980" w:rsidP="003C6957">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:016</w:t>
      </w:r>
      <w:proofErr w:type="gramEnd"/>
      <w:r>
        <w:rPr>
          <w:rFonts w:ascii="Trebuchet MS" w:hAnsi="Trebuchet MS"/>
          <w:sz w:val="24"/>
          <w:szCs w:val="24"/>
        </w:rPr>
        <w:t xml:space="preserve"> – Existing and Proposed Elevations</w:t>
      </w:r>
    </w:p>
    <w:p w:rsidR="00B770C7" w:rsidRPr="00AF3FE4" w:rsidRDefault="00B770C7" w:rsidP="003C6957">
      <w:pPr>
        <w:spacing w:line="240" w:lineRule="auto"/>
        <w:rPr>
          <w:rFonts w:ascii="Trebuchet MS" w:hAnsi="Trebuchet MS"/>
          <w:sz w:val="24"/>
          <w:szCs w:val="24"/>
        </w:rPr>
      </w:pPr>
      <w:r>
        <w:rPr>
          <w:rFonts w:ascii="Trebuchet MS" w:hAnsi="Trebuchet MS"/>
          <w:sz w:val="24"/>
          <w:szCs w:val="24"/>
        </w:rPr>
        <w:t>The agent confirmed in an email dated 19</w:t>
      </w:r>
      <w:r w:rsidRPr="00B770C7">
        <w:rPr>
          <w:rFonts w:ascii="Trebuchet MS" w:hAnsi="Trebuchet MS"/>
          <w:sz w:val="24"/>
          <w:szCs w:val="24"/>
          <w:vertAlign w:val="superscript"/>
        </w:rPr>
        <w:t>th</w:t>
      </w:r>
      <w:r>
        <w:rPr>
          <w:rFonts w:ascii="Trebuchet MS" w:hAnsi="Trebuchet MS"/>
          <w:sz w:val="24"/>
          <w:szCs w:val="24"/>
        </w:rPr>
        <w:t xml:space="preserve"> December 2017 that the description could be amended to include the provision of roof lights and the removal of the chimney. </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B770C7" w:rsidRPr="00B770C7" w:rsidRDefault="00B770C7" w:rsidP="00AF3FE4">
      <w:pPr>
        <w:spacing w:line="240" w:lineRule="auto"/>
        <w:rPr>
          <w:rFonts w:ascii="Trebuchet MS" w:hAnsi="Trebuchet MS"/>
          <w:sz w:val="24"/>
          <w:szCs w:val="24"/>
        </w:rPr>
      </w:pPr>
      <w:r>
        <w:rPr>
          <w:rFonts w:ascii="Trebuchet MS" w:hAnsi="Trebuchet MS"/>
          <w:sz w:val="24"/>
          <w:szCs w:val="24"/>
        </w:rPr>
        <w:t>171411/HPA – Single storey rear extension – Prior approval not required – 13/09/17</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lastRenderedPageBreak/>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B770C7">
        <w:rPr>
          <w:rFonts w:ascii="Trebuchet MS" w:hAnsi="Trebuchet MS"/>
          <w:sz w:val="24"/>
          <w:szCs w:val="24"/>
        </w:rPr>
        <w:t>l</w:t>
      </w:r>
      <w:r w:rsidR="00B770C7">
        <w:rPr>
          <w:rFonts w:ascii="Trebuchet MS" w:hAnsi="Trebuchet MS"/>
          <w:sz w:val="24"/>
          <w:szCs w:val="24"/>
        </w:rPr>
        <w:t xml:space="preserve">oft conversion with the provision of an L-shaped rear box dormer, two roof lights and the removal of a chimney </w:t>
      </w:r>
      <w:r w:rsidRPr="00AF3FE4">
        <w:rPr>
          <w:rFonts w:ascii="Trebuchet MS" w:eastAsia="Times New Roman" w:hAnsi="Trebuchet MS"/>
          <w:color w:val="000000"/>
          <w:sz w:val="24"/>
          <w:szCs w:val="24"/>
        </w:rPr>
        <w:t>must be assessed to ensure that it complie</w:t>
      </w:r>
      <w:r w:rsidR="00B770C7">
        <w:rPr>
          <w:rFonts w:ascii="Trebuchet MS" w:eastAsia="Times New Roman" w:hAnsi="Trebuchet MS"/>
          <w:color w:val="000000"/>
          <w:sz w:val="24"/>
          <w:szCs w:val="24"/>
        </w:rPr>
        <w:t>s with the conditions of Classes B, C and G</w:t>
      </w:r>
      <w:r w:rsidRPr="00AF3FE4">
        <w:rPr>
          <w:rFonts w:ascii="Trebuchet MS" w:eastAsia="Times New Roman" w:hAnsi="Trebuchet MS"/>
          <w:color w:val="000000"/>
          <w:sz w:val="24"/>
          <w:szCs w:val="24"/>
        </w:rPr>
        <w:t>, Part 1, Schedule 2 of the Town and Country Planning (General Permitted Development) (England) Order 2015, which relate</w:t>
      </w:r>
      <w:r w:rsidR="00B770C7">
        <w:rPr>
          <w:rFonts w:ascii="Trebuchet MS" w:eastAsia="Times New Roman" w:hAnsi="Trebuchet MS"/>
          <w:color w:val="000000"/>
          <w:sz w:val="24"/>
          <w:szCs w:val="24"/>
        </w:rPr>
        <w:t xml:space="preserve"> to ‘additions </w:t>
      </w:r>
      <w:proofErr w:type="spellStart"/>
      <w:r w:rsidR="00B770C7">
        <w:rPr>
          <w:rFonts w:ascii="Trebuchet MS" w:eastAsia="Times New Roman" w:hAnsi="Trebuchet MS"/>
          <w:color w:val="000000"/>
          <w:sz w:val="24"/>
          <w:szCs w:val="24"/>
        </w:rPr>
        <w:t>etc</w:t>
      </w:r>
      <w:proofErr w:type="spellEnd"/>
      <w:r w:rsidR="00B770C7">
        <w:rPr>
          <w:rFonts w:ascii="Trebuchet MS" w:eastAsia="Times New Roman" w:hAnsi="Trebuchet MS"/>
          <w:color w:val="000000"/>
          <w:sz w:val="24"/>
          <w:szCs w:val="24"/>
        </w:rPr>
        <w:t xml:space="preserve"> to the roof of a dwellinghouse’, ‘other alterations to the roof of a dwellinghouse’ and ‘chimneys, flues </w:t>
      </w:r>
      <w:proofErr w:type="spellStart"/>
      <w:r w:rsidR="00B770C7">
        <w:rPr>
          <w:rFonts w:ascii="Trebuchet MS" w:eastAsia="Times New Roman" w:hAnsi="Trebuchet MS"/>
          <w:color w:val="000000"/>
          <w:sz w:val="24"/>
          <w:szCs w:val="24"/>
        </w:rPr>
        <w:t>etc</w:t>
      </w:r>
      <w:proofErr w:type="spellEnd"/>
      <w:r w:rsidR="00B770C7">
        <w:rPr>
          <w:rFonts w:ascii="Trebuchet MS" w:eastAsia="Times New Roman" w:hAnsi="Trebuchet MS"/>
          <w:color w:val="000000"/>
          <w:sz w:val="24"/>
          <w:szCs w:val="24"/>
        </w:rPr>
        <w:t xml:space="preserve"> on a dwellinghouse’.</w:t>
      </w:r>
    </w:p>
    <w:p w:rsidR="00625504" w:rsidRDefault="00625504" w:rsidP="00B770C7">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B770C7">
        <w:rPr>
          <w:rFonts w:ascii="Trebuchet MS" w:hAnsi="Trebuchet MS"/>
          <w:sz w:val="24"/>
          <w:szCs w:val="24"/>
        </w:rPr>
        <w:t>loft conversion with the provision of an L-shaped rear box dormer, two roof lights and the removal of a chimney</w:t>
      </w:r>
      <w:r w:rsidRPr="00AF3FE4">
        <w:rPr>
          <w:rFonts w:ascii="Trebuchet MS" w:eastAsia="Times New Roman" w:hAnsi="Trebuchet MS"/>
          <w:color w:val="000000"/>
          <w:sz w:val="24"/>
          <w:szCs w:val="24"/>
        </w:rPr>
        <w:t xml:space="preserve">, which is not listed or in a conservation area, are as follows: </w:t>
      </w:r>
    </w:p>
    <w:p w:rsidR="00701B13" w:rsidRPr="00701B13" w:rsidRDefault="00701B13"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L-shaped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701B1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701B13">
        <w:rPr>
          <w:rFonts w:ascii="Trebuchet MS" w:eastAsia="Times New Roman" w:hAnsi="Trebuchet MS"/>
          <w:color w:val="000000"/>
          <w:sz w:val="24"/>
          <w:szCs w:val="24"/>
        </w:rPr>
        <w:t xml:space="preserve"> </w:t>
      </w:r>
      <w:r w:rsidR="00701B13">
        <w:rPr>
          <w:rFonts w:ascii="Trebuchet MS" w:eastAsia="Times New Roman" w:hAnsi="Trebuchet MS"/>
          <w:b/>
          <w:color w:val="000000"/>
          <w:sz w:val="24"/>
          <w:szCs w:val="24"/>
        </w:rPr>
        <w:t>complies</w:t>
      </w:r>
    </w:p>
    <w:p w:rsidR="00270CCE" w:rsidRPr="00701B1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701B13">
        <w:rPr>
          <w:rFonts w:ascii="Trebuchet MS" w:eastAsia="Times New Roman" w:hAnsi="Trebuchet MS"/>
          <w:b/>
          <w:color w:val="000000"/>
          <w:sz w:val="24"/>
          <w:szCs w:val="24"/>
        </w:rPr>
        <w:t>complies</w:t>
      </w:r>
    </w:p>
    <w:p w:rsidR="00270CCE" w:rsidRPr="00701B1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701B13">
        <w:rPr>
          <w:rFonts w:ascii="Trebuchet MS" w:eastAsia="Times New Roman" w:hAnsi="Trebuchet MS"/>
          <w:color w:val="000000"/>
          <w:sz w:val="24"/>
          <w:szCs w:val="24"/>
        </w:rPr>
        <w:t xml:space="preserve"> </w:t>
      </w:r>
      <w:r w:rsidR="00701B13">
        <w:rPr>
          <w:rFonts w:ascii="Trebuchet MS" w:eastAsia="Times New Roman" w:hAnsi="Trebuchet MS"/>
          <w:b/>
          <w:color w:val="000000"/>
          <w:sz w:val="24"/>
          <w:szCs w:val="24"/>
        </w:rPr>
        <w:t>complies</w:t>
      </w:r>
    </w:p>
    <w:p w:rsidR="00270CCE" w:rsidRPr="00701B1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701B13">
        <w:rPr>
          <w:rFonts w:ascii="Trebuchet MS" w:eastAsia="Times New Roman" w:hAnsi="Trebuchet MS"/>
          <w:b/>
          <w:color w:val="000000"/>
          <w:sz w:val="24"/>
          <w:szCs w:val="24"/>
        </w:rPr>
        <w:t xml:space="preserve">complies, the cubic content of the resulting roof space would exceed the original roof space by 33.26 cubic metres </w:t>
      </w:r>
      <w:r>
        <w:rPr>
          <w:rFonts w:ascii="Trebuchet MS" w:eastAsia="Times New Roman" w:hAnsi="Trebuchet MS"/>
          <w:color w:val="000000"/>
          <w:sz w:val="24"/>
          <w:szCs w:val="24"/>
        </w:rPr>
        <w:t>or (ii) 50 cubic metres in any other case;</w:t>
      </w:r>
      <w:r w:rsidR="00701B13">
        <w:rPr>
          <w:rFonts w:ascii="Trebuchet MS" w:eastAsia="Times New Roman" w:hAnsi="Trebuchet MS"/>
          <w:color w:val="000000"/>
          <w:sz w:val="24"/>
          <w:szCs w:val="24"/>
        </w:rPr>
        <w:t xml:space="preserve"> </w:t>
      </w:r>
      <w:r w:rsidR="00701B13">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701B1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701B1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701B1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lastRenderedPageBreak/>
        <w:t>B.1 (f) the dwellinghouse is on article 2(3) land.</w:t>
      </w:r>
      <w:r w:rsidR="00701B13">
        <w:rPr>
          <w:rFonts w:ascii="Trebuchet MS" w:eastAsia="Times New Roman" w:hAnsi="Trebuchet MS"/>
          <w:color w:val="000000"/>
          <w:sz w:val="24"/>
          <w:szCs w:val="24"/>
        </w:rPr>
        <w:t xml:space="preserve"> </w:t>
      </w:r>
      <w:proofErr w:type="gramStart"/>
      <w:r w:rsidR="00701B13">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701B1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701B13">
        <w:rPr>
          <w:rFonts w:ascii="Trebuchet MS" w:eastAsia="Times New Roman" w:hAnsi="Trebuchet MS"/>
          <w:color w:val="000000"/>
          <w:sz w:val="24"/>
          <w:szCs w:val="24"/>
        </w:rPr>
        <w:t xml:space="preserve"> </w:t>
      </w:r>
      <w:r w:rsidR="00701B13">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701B1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701B1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 (ii) other than in the case of an enlargement which joins the original roof to the roof of a rear or side extension, no part of the enlargement extends beyond the outside face of any external wall of the original dwellinghouse;</w:t>
      </w:r>
      <w:r w:rsidR="00701B13">
        <w:rPr>
          <w:rFonts w:ascii="Trebuchet MS" w:eastAsia="Times New Roman" w:hAnsi="Trebuchet MS"/>
          <w:color w:val="000000"/>
          <w:sz w:val="24"/>
          <w:szCs w:val="24"/>
        </w:rPr>
        <w:t xml:space="preserve"> </w:t>
      </w:r>
      <w:r w:rsidR="00701B13">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w:t>
      </w:r>
    </w:p>
    <w:p w:rsidR="008A59CB" w:rsidRPr="00701B13"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701B1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701B13">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1369C8" w:rsidRPr="001369C8" w:rsidRDefault="001369C8"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5C2CCD"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5C2CCD">
        <w:rPr>
          <w:rFonts w:ascii="Trebuchet MS" w:eastAsia="Times New Roman" w:hAnsi="Trebuchet MS"/>
          <w:color w:val="000000"/>
          <w:sz w:val="24"/>
          <w:szCs w:val="24"/>
        </w:rPr>
        <w:t xml:space="preserve"> </w:t>
      </w:r>
      <w:r w:rsidR="005C2CCD">
        <w:rPr>
          <w:rFonts w:ascii="Trebuchet MS" w:eastAsia="Times New Roman" w:hAnsi="Trebuchet MS"/>
          <w:b/>
          <w:color w:val="000000"/>
          <w:sz w:val="24"/>
          <w:szCs w:val="24"/>
        </w:rPr>
        <w:t>complies</w:t>
      </w:r>
    </w:p>
    <w:p w:rsidR="006A5B04" w:rsidRPr="005C2CCD"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5C2CCD">
        <w:rPr>
          <w:rFonts w:ascii="Trebuchet MS" w:eastAsia="Times New Roman" w:hAnsi="Trebuchet MS"/>
          <w:color w:val="000000"/>
          <w:sz w:val="24"/>
          <w:szCs w:val="24"/>
        </w:rPr>
        <w:t xml:space="preserve"> </w:t>
      </w:r>
      <w:r w:rsidR="005C2CCD">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5C2CC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5C2CCD"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5C2CC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5C2CCD">
        <w:rPr>
          <w:rFonts w:ascii="Trebuchet MS" w:eastAsia="Times New Roman" w:hAnsi="Trebuchet MS"/>
          <w:color w:val="000000"/>
          <w:sz w:val="24"/>
          <w:szCs w:val="24"/>
        </w:rPr>
        <w:t xml:space="preserve"> </w:t>
      </w:r>
      <w:proofErr w:type="gramStart"/>
      <w:r w:rsidR="005C2CCD">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(a) obscure-glazed;</w:t>
      </w:r>
      <w:r w:rsidR="005C2CCD">
        <w:rPr>
          <w:rFonts w:ascii="Trebuchet MS" w:eastAsia="Times New Roman" w:hAnsi="Trebuchet MS"/>
          <w:color w:val="000000"/>
          <w:sz w:val="24"/>
          <w:szCs w:val="24"/>
        </w:rPr>
        <w:t xml:space="preserve"> </w:t>
      </w:r>
      <w:r w:rsidR="005C2CCD">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w:t>
      </w:r>
    </w:p>
    <w:p w:rsidR="009F782D" w:rsidRPr="005C2CCD"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 xml:space="preserve">C.2 (b) non-opening unless </w:t>
      </w:r>
      <w:bookmarkStart w:id="0" w:name="_GoBack"/>
      <w:bookmarkEnd w:id="0"/>
      <w:r>
        <w:rPr>
          <w:rFonts w:ascii="Trebuchet MS" w:eastAsia="Times New Roman" w:hAnsi="Trebuchet MS"/>
          <w:color w:val="000000"/>
          <w:sz w:val="24"/>
          <w:szCs w:val="24"/>
        </w:rPr>
        <w:t>the parts of the window which can be opened are more than 1.7 metres above the floor of the room in which the window is installed.</w:t>
      </w:r>
      <w:proofErr w:type="gramEnd"/>
      <w:r w:rsidR="005C2CCD">
        <w:rPr>
          <w:rFonts w:ascii="Trebuchet MS" w:eastAsia="Times New Roman" w:hAnsi="Trebuchet MS"/>
          <w:color w:val="000000"/>
          <w:sz w:val="24"/>
          <w:szCs w:val="24"/>
        </w:rPr>
        <w:t xml:space="preserve"> </w:t>
      </w:r>
      <w:proofErr w:type="gramStart"/>
      <w:r w:rsidR="005C2CCD">
        <w:rPr>
          <w:rFonts w:ascii="Trebuchet MS" w:eastAsia="Times New Roman" w:hAnsi="Trebuchet MS"/>
          <w:b/>
          <w:color w:val="000000"/>
          <w:sz w:val="24"/>
          <w:szCs w:val="24"/>
        </w:rPr>
        <w:t>complies</w:t>
      </w:r>
      <w:proofErr w:type="gramEnd"/>
    </w:p>
    <w:p w:rsidR="00CA19B6" w:rsidRPr="00CA19B6" w:rsidRDefault="00CA19B6"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Chimney</w:t>
      </w:r>
    </w:p>
    <w:p w:rsidR="003065BE" w:rsidRDefault="003065B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G.1 Development is not permitted by Class G if:</w:t>
      </w:r>
    </w:p>
    <w:p w:rsidR="003065BE" w:rsidRPr="005C2CCD" w:rsidRDefault="003065B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(a) permission to use the dwellinghouse as a dwellinghouse has been granted only by virtue of Class M, N, P, or Q of Part 3 of this Schedule (changes of use);</w:t>
      </w:r>
      <w:r w:rsidR="005C2CCD">
        <w:rPr>
          <w:rFonts w:ascii="Trebuchet MS" w:eastAsia="Times New Roman" w:hAnsi="Trebuchet MS"/>
          <w:color w:val="000000"/>
          <w:sz w:val="24"/>
          <w:szCs w:val="24"/>
        </w:rPr>
        <w:t xml:space="preserve"> </w:t>
      </w:r>
      <w:r w:rsidR="005C2CCD">
        <w:rPr>
          <w:rFonts w:ascii="Trebuchet MS" w:eastAsia="Times New Roman" w:hAnsi="Trebuchet MS"/>
          <w:b/>
          <w:color w:val="000000"/>
          <w:sz w:val="24"/>
          <w:szCs w:val="24"/>
        </w:rPr>
        <w:t>complies</w:t>
      </w:r>
    </w:p>
    <w:p w:rsidR="003065BE" w:rsidRDefault="003065B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G.1 (b) the height of the chimney, flue or soil and vent pipe would exceed the highest part of the roof by 1 metre or more;</w:t>
      </w:r>
      <w:r w:rsidR="005C2CCD">
        <w:rPr>
          <w:rFonts w:ascii="Trebuchet MS" w:eastAsia="Times New Roman" w:hAnsi="Trebuchet MS"/>
          <w:color w:val="000000"/>
          <w:sz w:val="24"/>
          <w:szCs w:val="24"/>
        </w:rPr>
        <w:t xml:space="preserve"> </w:t>
      </w:r>
      <w:r w:rsidR="005C2CCD">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3065BE" w:rsidRPr="005C2CCD" w:rsidRDefault="003065B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(c) in the case of a dwellinghouse on article 2(3) land, the chimney, flue or soil and vent pipe would be installed on a wall or roof slope which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fronts a highway, </w:t>
      </w:r>
      <w:r w:rsidR="005C2CC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 (ii) forms either the principal elevation or a side elevation of the dwellinghouse.</w:t>
      </w:r>
      <w:r w:rsidR="005C2CCD">
        <w:rPr>
          <w:rFonts w:ascii="Trebuchet MS" w:eastAsia="Times New Roman" w:hAnsi="Trebuchet MS"/>
          <w:color w:val="000000"/>
          <w:sz w:val="24"/>
          <w:szCs w:val="24"/>
        </w:rPr>
        <w:t xml:space="preserve"> </w:t>
      </w:r>
      <w:proofErr w:type="gramStart"/>
      <w:r w:rsidR="005C2CCD">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9C05D2" w:rsidRDefault="003A191B" w:rsidP="009C05D2">
      <w:pPr>
        <w:spacing w:line="240" w:lineRule="auto"/>
        <w:rPr>
          <w:rFonts w:ascii="Trebuchet MS" w:hAnsi="Trebuchet MS"/>
          <w:sz w:val="24"/>
          <w:szCs w:val="24"/>
        </w:rPr>
      </w:pPr>
      <w:r>
        <w:rPr>
          <w:rFonts w:ascii="Trebuchet MS" w:hAnsi="Trebuchet MS"/>
          <w:sz w:val="24"/>
          <w:szCs w:val="24"/>
        </w:rPr>
        <w:t>The proposal has been assessed against the Town and Country Planning Act 1990 (as amended) and Class</w:t>
      </w:r>
      <w:r w:rsidR="005C2CCD">
        <w:rPr>
          <w:rFonts w:ascii="Trebuchet MS" w:hAnsi="Trebuchet MS"/>
          <w:sz w:val="24"/>
          <w:szCs w:val="24"/>
        </w:rPr>
        <w:t>es</w:t>
      </w:r>
      <w:r>
        <w:rPr>
          <w:rFonts w:ascii="Trebuchet MS" w:hAnsi="Trebuchet MS"/>
          <w:sz w:val="24"/>
          <w:szCs w:val="24"/>
        </w:rPr>
        <w:t xml:space="preserve"> B</w:t>
      </w:r>
      <w:r w:rsidR="005C2CCD">
        <w:rPr>
          <w:rFonts w:ascii="Trebuchet MS" w:hAnsi="Trebuchet MS"/>
          <w:sz w:val="24"/>
          <w:szCs w:val="24"/>
        </w:rPr>
        <w:t>, C and G,</w:t>
      </w:r>
      <w:r>
        <w:rPr>
          <w:rFonts w:ascii="Trebuchet MS" w:hAnsi="Trebuchet MS"/>
          <w:sz w:val="24"/>
          <w:szCs w:val="24"/>
        </w:rPr>
        <w:t xml:space="preserve"> Part 1, Schedule 2 of the Town and Country Planning (General Permitted Development) (England) Order 2015. It can be confirmed that the proposed operation would be lawful for planning purposes on the basis of the drawings received on </w:t>
      </w:r>
      <w:r w:rsidR="009C05D2">
        <w:rPr>
          <w:rFonts w:ascii="Trebuchet MS" w:hAnsi="Trebuchet MS"/>
          <w:sz w:val="24"/>
          <w:szCs w:val="24"/>
        </w:rPr>
        <w:t>21</w:t>
      </w:r>
      <w:r w:rsidR="009C05D2" w:rsidRPr="00BD0980">
        <w:rPr>
          <w:rFonts w:ascii="Trebuchet MS" w:hAnsi="Trebuchet MS"/>
          <w:sz w:val="24"/>
          <w:szCs w:val="24"/>
          <w:vertAlign w:val="superscript"/>
        </w:rPr>
        <w:t>st</w:t>
      </w:r>
      <w:r w:rsidR="009C05D2">
        <w:rPr>
          <w:rFonts w:ascii="Trebuchet MS" w:hAnsi="Trebuchet MS"/>
          <w:sz w:val="24"/>
          <w:szCs w:val="24"/>
        </w:rPr>
        <w:t xml:space="preserve"> November 2017:</w:t>
      </w:r>
    </w:p>
    <w:p w:rsidR="009C05D2" w:rsidRDefault="009C05D2" w:rsidP="009C05D2">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:Br20</w:t>
      </w:r>
      <w:proofErr w:type="gramEnd"/>
      <w:r>
        <w:rPr>
          <w:rFonts w:ascii="Trebuchet MS" w:hAnsi="Trebuchet MS"/>
          <w:sz w:val="24"/>
          <w:szCs w:val="24"/>
        </w:rPr>
        <w:t xml:space="preserve"> – Proposed Ground Floor Plan</w:t>
      </w:r>
    </w:p>
    <w:p w:rsidR="009C05D2" w:rsidRDefault="009C05D2" w:rsidP="009C05D2">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:Br22</w:t>
      </w:r>
      <w:proofErr w:type="gramEnd"/>
      <w:r>
        <w:rPr>
          <w:rFonts w:ascii="Trebuchet MS" w:hAnsi="Trebuchet MS"/>
          <w:sz w:val="24"/>
          <w:szCs w:val="24"/>
        </w:rPr>
        <w:t xml:space="preserve"> – Proposed First Floor Plan</w:t>
      </w:r>
    </w:p>
    <w:p w:rsidR="009C05D2" w:rsidRDefault="009C05D2" w:rsidP="009C05D2">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:Br23</w:t>
      </w:r>
      <w:proofErr w:type="gramEnd"/>
      <w:r>
        <w:rPr>
          <w:rFonts w:ascii="Trebuchet MS" w:hAnsi="Trebuchet MS"/>
          <w:sz w:val="24"/>
          <w:szCs w:val="24"/>
        </w:rPr>
        <w:t xml:space="preserve"> – Proposed Second Floor Plan</w:t>
      </w:r>
    </w:p>
    <w:p w:rsidR="009C05D2" w:rsidRDefault="009C05D2" w:rsidP="009C05D2">
      <w:pPr>
        <w:spacing w:line="240" w:lineRule="auto"/>
        <w:rPr>
          <w:rFonts w:ascii="Trebuchet MS" w:hAnsi="Trebuchet MS"/>
          <w:sz w:val="24"/>
          <w:szCs w:val="24"/>
        </w:rPr>
      </w:pPr>
      <w:r>
        <w:rPr>
          <w:rFonts w:ascii="Trebuchet MS" w:hAnsi="Trebuchet MS"/>
          <w:sz w:val="24"/>
          <w:szCs w:val="24"/>
        </w:rPr>
        <w:t>Drawing No: GRA</w:t>
      </w:r>
      <w:proofErr w:type="gramStart"/>
      <w:r>
        <w:rPr>
          <w:rFonts w:ascii="Trebuchet MS" w:hAnsi="Trebuchet MS"/>
          <w:sz w:val="24"/>
          <w:szCs w:val="24"/>
        </w:rPr>
        <w:t>:016</w:t>
      </w:r>
      <w:proofErr w:type="gramEnd"/>
      <w:r>
        <w:rPr>
          <w:rFonts w:ascii="Trebuchet MS" w:hAnsi="Trebuchet MS"/>
          <w:sz w:val="24"/>
          <w:szCs w:val="24"/>
        </w:rPr>
        <w:t xml:space="preserve"> – Existing and Proposed Elevations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9C05D2">
        <w:rPr>
          <w:rFonts w:ascii="Trebuchet MS" w:hAnsi="Trebuchet MS"/>
          <w:color w:val="000000"/>
          <w:sz w:val="24"/>
          <w:szCs w:val="24"/>
        </w:rPr>
        <w:t xml:space="preserve"> </w:t>
      </w:r>
      <w:r w:rsidR="009C05D2">
        <w:rPr>
          <w:rFonts w:ascii="Trebuchet MS" w:hAnsi="Trebuchet MS"/>
          <w:sz w:val="24"/>
          <w:szCs w:val="24"/>
        </w:rPr>
        <w:t>l</w:t>
      </w:r>
      <w:r w:rsidR="009C05D2">
        <w:rPr>
          <w:rFonts w:ascii="Trebuchet MS" w:hAnsi="Trebuchet MS"/>
          <w:sz w:val="24"/>
          <w:szCs w:val="24"/>
        </w:rPr>
        <w:t>oft conversion with the provision of an L-shaped rear box dormer, two roof lights and the removal of a chimney</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lastRenderedPageBreak/>
        <w:t>Construction and Demolition</w:t>
      </w:r>
    </w:p>
    <w:p w:rsidR="009C05D2" w:rsidRDefault="009C05D2"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9C05D2" w:rsidRDefault="009C05D2" w:rsidP="00AF3FE4">
      <w:pPr>
        <w:spacing w:line="240" w:lineRule="auto"/>
        <w:rPr>
          <w:rFonts w:ascii="Trebuchet MS" w:eastAsia="Times New Roman" w:hAnsi="Trebuchet MS"/>
          <w:sz w:val="24"/>
          <w:szCs w:val="24"/>
        </w:rPr>
      </w:pPr>
      <w:r>
        <w:rPr>
          <w:rFonts w:ascii="Trebuchet MS" w:eastAsia="Times New Roman" w:hAnsi="Trebuchet MS"/>
          <w:sz w:val="24"/>
          <w:szCs w:val="24"/>
        </w:rPr>
        <w:t>Article 4 Direction</w:t>
      </w:r>
    </w:p>
    <w:p w:rsidR="009C05D2" w:rsidRDefault="009C05D2" w:rsidP="00AF3FE4">
      <w:pPr>
        <w:spacing w:line="240" w:lineRule="auto"/>
        <w:rPr>
          <w:rFonts w:ascii="Trebuchet MS" w:eastAsia="Times New Roman" w:hAnsi="Trebuchet MS"/>
          <w:sz w:val="24"/>
          <w:szCs w:val="24"/>
        </w:rPr>
      </w:pPr>
      <w:r>
        <w:rPr>
          <w:noProof/>
        </w:rPr>
        <w:drawing>
          <wp:inline distT="0" distB="0" distL="0" distR="0" wp14:anchorId="5EC40FD3" wp14:editId="6CBB0B33">
            <wp:extent cx="4735286" cy="6670221"/>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735286" cy="6670221"/>
                    </a:xfrm>
                    <a:prstGeom prst="rect">
                      <a:avLst/>
                    </a:prstGeom>
                  </pic:spPr>
                </pic:pic>
              </a:graphicData>
            </a:graphic>
          </wp:inline>
        </w:drawing>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15D1F"/>
    <w:rsid w:val="00021541"/>
    <w:rsid w:val="00037BAF"/>
    <w:rsid w:val="0007503E"/>
    <w:rsid w:val="00075F51"/>
    <w:rsid w:val="000E5A3F"/>
    <w:rsid w:val="001369C8"/>
    <w:rsid w:val="0014241C"/>
    <w:rsid w:val="0017663F"/>
    <w:rsid w:val="00215C25"/>
    <w:rsid w:val="00225DA7"/>
    <w:rsid w:val="0022790B"/>
    <w:rsid w:val="00246D7F"/>
    <w:rsid w:val="00270CCE"/>
    <w:rsid w:val="003065BE"/>
    <w:rsid w:val="003A191B"/>
    <w:rsid w:val="003C6957"/>
    <w:rsid w:val="003D179A"/>
    <w:rsid w:val="00407804"/>
    <w:rsid w:val="0041701F"/>
    <w:rsid w:val="005B391B"/>
    <w:rsid w:val="005C2CCD"/>
    <w:rsid w:val="00625504"/>
    <w:rsid w:val="006A17A0"/>
    <w:rsid w:val="006A5B04"/>
    <w:rsid w:val="00701B13"/>
    <w:rsid w:val="007B11DE"/>
    <w:rsid w:val="007F7924"/>
    <w:rsid w:val="008A59CB"/>
    <w:rsid w:val="00912B7D"/>
    <w:rsid w:val="009A3326"/>
    <w:rsid w:val="009C05D2"/>
    <w:rsid w:val="009F782D"/>
    <w:rsid w:val="00AF3FE4"/>
    <w:rsid w:val="00B770C7"/>
    <w:rsid w:val="00BC092F"/>
    <w:rsid w:val="00BD0980"/>
    <w:rsid w:val="00C40D2F"/>
    <w:rsid w:val="00CA19B6"/>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2017-12-19T10:59:00Z</dcterms:created>
  <dcterms:modified xsi:type="dcterms:W3CDTF">2017-12-19T11:07:00Z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