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B44C2F" w:rsidRDefault="00625504" w:rsidP="00AF3FE4">
      <w:pPr>
        <w:spacing w:line="240" w:lineRule="auto"/>
        <w:rPr>
          <w:rFonts w:ascii="Trebuchet MS" w:hAnsi="Trebuchet MS"/>
        </w:rPr>
      </w:pPr>
      <w:r w:rsidRPr="00B44C2F">
        <w:rPr>
          <w:rFonts w:ascii="Trebuchet MS" w:hAnsi="Trebuchet MS"/>
          <w:b/>
          <w:u w:val="single"/>
        </w:rPr>
        <w:t>Delegated Application Report</w:t>
      </w:r>
      <w:r w:rsidR="006A17A0" w:rsidRPr="00B44C2F">
        <w:rPr>
          <w:rFonts w:ascii="Trebuchet MS" w:hAnsi="Trebuchet MS"/>
        </w:rPr>
        <w:t xml:space="preserve"> </w:t>
      </w:r>
      <w:r w:rsidR="006A17A0" w:rsidRPr="00B44C2F">
        <w:rPr>
          <w:rFonts w:ascii="Trebuchet MS" w:hAnsi="Trebuchet MS"/>
        </w:rPr>
        <w:tab/>
      </w:r>
      <w:r w:rsidR="006A17A0" w:rsidRPr="00B44C2F">
        <w:rPr>
          <w:rFonts w:ascii="Trebuchet MS" w:hAnsi="Trebuchet MS"/>
        </w:rPr>
        <w:tab/>
      </w:r>
      <w:r w:rsidR="006A17A0" w:rsidRPr="00B44C2F">
        <w:rPr>
          <w:rFonts w:ascii="Trebuchet MS" w:hAnsi="Trebuchet MS"/>
        </w:rPr>
        <w:tab/>
      </w:r>
      <w:r w:rsidR="006A17A0" w:rsidRPr="00B44C2F">
        <w:rPr>
          <w:rFonts w:ascii="Trebuchet MS" w:hAnsi="Trebuchet MS"/>
        </w:rPr>
        <w:tab/>
      </w:r>
      <w:r w:rsidR="00225DA7" w:rsidRPr="00B44C2F">
        <w:rPr>
          <w:rFonts w:ascii="Trebuchet MS" w:hAnsi="Trebuchet MS"/>
        </w:rPr>
        <w:t xml:space="preserve">          </w:t>
      </w:r>
      <w:r w:rsidRPr="00B44C2F">
        <w:rPr>
          <w:rFonts w:ascii="Trebuchet MS" w:hAnsi="Trebuchet MS"/>
          <w:b/>
        </w:rPr>
        <w:t>Target Date:</w:t>
      </w:r>
      <w:r w:rsidRPr="00B44C2F">
        <w:rPr>
          <w:rFonts w:ascii="Trebuchet MS" w:hAnsi="Trebuchet MS"/>
        </w:rPr>
        <w:t xml:space="preserve"> </w:t>
      </w:r>
      <w:r w:rsidR="00B44C2F" w:rsidRPr="00B44C2F">
        <w:rPr>
          <w:rFonts w:ascii="Trebuchet MS" w:hAnsi="Trebuchet MS"/>
        </w:rPr>
        <w:t>07/03/18</w:t>
      </w:r>
    </w:p>
    <w:p w:rsidR="00625504" w:rsidRPr="00B44C2F" w:rsidRDefault="00625504" w:rsidP="00AF3FE4">
      <w:pPr>
        <w:spacing w:line="240" w:lineRule="auto"/>
        <w:rPr>
          <w:rFonts w:ascii="Trebuchet MS" w:hAnsi="Trebuchet MS"/>
        </w:rPr>
      </w:pPr>
      <w:r w:rsidRPr="00B44C2F">
        <w:rPr>
          <w:rFonts w:ascii="Trebuchet MS" w:hAnsi="Trebuchet MS"/>
          <w:b/>
        </w:rPr>
        <w:t xml:space="preserve">Address: </w:t>
      </w:r>
      <w:r w:rsidR="00B44C2F" w:rsidRPr="00B44C2F">
        <w:rPr>
          <w:rFonts w:ascii="Trebuchet MS" w:hAnsi="Trebuchet MS"/>
        </w:rPr>
        <w:t>28 St Peters Road</w:t>
      </w:r>
    </w:p>
    <w:p w:rsidR="00625504" w:rsidRPr="00B44C2F" w:rsidRDefault="00625504" w:rsidP="00AF3FE4">
      <w:pPr>
        <w:spacing w:line="240" w:lineRule="auto"/>
        <w:rPr>
          <w:rFonts w:ascii="Trebuchet MS" w:hAnsi="Trebuchet MS"/>
        </w:rPr>
      </w:pPr>
      <w:r w:rsidRPr="00B44C2F">
        <w:rPr>
          <w:rFonts w:ascii="Trebuchet MS" w:hAnsi="Trebuchet MS"/>
          <w:b/>
        </w:rPr>
        <w:t xml:space="preserve">Application No: </w:t>
      </w:r>
      <w:r w:rsidR="00B44C2F" w:rsidRPr="00B44C2F">
        <w:rPr>
          <w:rFonts w:ascii="Trebuchet MS" w:hAnsi="Trebuchet MS"/>
        </w:rPr>
        <w:t>172331/CLP</w:t>
      </w:r>
    </w:p>
    <w:p w:rsidR="00625504" w:rsidRPr="00B44C2F" w:rsidRDefault="00625504" w:rsidP="00AF3FE4">
      <w:pPr>
        <w:spacing w:line="240" w:lineRule="auto"/>
        <w:rPr>
          <w:rFonts w:ascii="Trebuchet MS" w:hAnsi="Trebuchet MS"/>
        </w:rPr>
      </w:pPr>
      <w:r w:rsidRPr="00B44C2F">
        <w:rPr>
          <w:rFonts w:ascii="Trebuchet MS" w:hAnsi="Trebuchet MS"/>
          <w:b/>
        </w:rPr>
        <w:t xml:space="preserve">Proposal: </w:t>
      </w:r>
      <w:r w:rsidR="00B44C2F" w:rsidRPr="00B44C2F">
        <w:rPr>
          <w:rFonts w:ascii="Trebuchet MS" w:hAnsi="Trebuchet MS"/>
        </w:rPr>
        <w:t>Single storey side extension</w:t>
      </w:r>
    </w:p>
    <w:p w:rsidR="00625504" w:rsidRPr="00B44C2F" w:rsidRDefault="00625504" w:rsidP="00AF3FE4">
      <w:pPr>
        <w:spacing w:line="240" w:lineRule="auto"/>
        <w:rPr>
          <w:rFonts w:ascii="Trebuchet MS" w:hAnsi="Trebuchet MS"/>
        </w:rPr>
      </w:pPr>
      <w:r w:rsidRPr="00B44C2F">
        <w:rPr>
          <w:rFonts w:ascii="Trebuchet MS" w:hAnsi="Trebuchet MS"/>
          <w:b/>
        </w:rPr>
        <w:t>Case Officer:</w:t>
      </w:r>
      <w:r w:rsidRPr="00B44C2F">
        <w:rPr>
          <w:rFonts w:ascii="Trebuchet MS" w:hAnsi="Trebuchet MS"/>
        </w:rPr>
        <w:t xml:space="preserve"> Tom Hughes</w:t>
      </w:r>
    </w:p>
    <w:p w:rsidR="00625504" w:rsidRPr="00B44C2F" w:rsidRDefault="00625504" w:rsidP="00AF3FE4">
      <w:pPr>
        <w:spacing w:line="240" w:lineRule="auto"/>
        <w:rPr>
          <w:rFonts w:ascii="Trebuchet MS" w:hAnsi="Trebuchet MS"/>
          <w:b/>
        </w:rPr>
      </w:pPr>
      <w:r w:rsidRPr="00B44C2F">
        <w:rPr>
          <w:rFonts w:ascii="Trebuchet MS" w:hAnsi="Trebuchet MS"/>
          <w:b/>
        </w:rPr>
        <w:t>Introduction and Proposal</w:t>
      </w:r>
    </w:p>
    <w:p w:rsidR="00CF48AE" w:rsidRDefault="00B44C2F" w:rsidP="00AF3FE4">
      <w:pPr>
        <w:spacing w:line="240" w:lineRule="auto"/>
        <w:rPr>
          <w:rFonts w:ascii="Trebuchet MS" w:hAnsi="Trebuchet MS"/>
        </w:rPr>
      </w:pPr>
      <w:r w:rsidRPr="00B44C2F">
        <w:rPr>
          <w:rFonts w:ascii="Trebuchet MS" w:hAnsi="Trebuchet MS"/>
        </w:rPr>
        <w:t xml:space="preserve">The application site is </w:t>
      </w:r>
      <w:r>
        <w:rPr>
          <w:rFonts w:ascii="Trebuchet MS" w:hAnsi="Trebuchet MS"/>
        </w:rPr>
        <w:t xml:space="preserve">a </w:t>
      </w:r>
      <w:r w:rsidR="002469F3">
        <w:rPr>
          <w:rFonts w:ascii="Trebuchet MS" w:hAnsi="Trebuchet MS"/>
        </w:rPr>
        <w:t>two storey semi-detached property</w:t>
      </w:r>
      <w:r>
        <w:rPr>
          <w:rFonts w:ascii="Trebuchet MS" w:hAnsi="Trebuchet MS"/>
        </w:rPr>
        <w:t xml:space="preserve"> with a hipped roof. A garage adjoins the north-westward side elevation. A single storey </w:t>
      </w:r>
      <w:r w:rsidR="00C22524">
        <w:rPr>
          <w:rFonts w:ascii="Trebuchet MS" w:hAnsi="Trebuchet MS"/>
        </w:rPr>
        <w:t>projection extends</w:t>
      </w:r>
      <w:r w:rsidR="00CF48AE">
        <w:rPr>
          <w:rFonts w:ascii="Trebuchet MS" w:hAnsi="Trebuchet MS"/>
        </w:rPr>
        <w:t xml:space="preserve"> to the rear. The plot splays slightly to the rear. </w:t>
      </w:r>
      <w:r>
        <w:rPr>
          <w:rFonts w:ascii="Trebuchet MS" w:hAnsi="Trebuchet MS"/>
        </w:rPr>
        <w:t xml:space="preserve">The site is located within an Article 4 area controlling the change of use from a C3 dwelling house to a C4 house in multiple occupation. </w:t>
      </w:r>
      <w:r w:rsidR="00CF48AE">
        <w:rPr>
          <w:rFonts w:ascii="Trebuchet MS" w:hAnsi="Trebuchet MS"/>
        </w:rPr>
        <w:t>During the course of the application the agent supplied infor</w:t>
      </w:r>
      <w:r w:rsidR="002469F3">
        <w:rPr>
          <w:rFonts w:ascii="Trebuchet MS" w:hAnsi="Trebuchet MS"/>
        </w:rPr>
        <w:t>mation to show that the property</w:t>
      </w:r>
      <w:r w:rsidR="00CF48AE">
        <w:rPr>
          <w:rFonts w:ascii="Trebuchet MS" w:hAnsi="Trebuchet MS"/>
        </w:rPr>
        <w:t xml:space="preserve"> was in C4 use prior to the introduction of the Article 4 area (designated 16/05/13)</w:t>
      </w:r>
      <w:r w:rsidR="007B63A0">
        <w:rPr>
          <w:rFonts w:ascii="Trebuchet MS" w:hAnsi="Trebuchet MS"/>
        </w:rPr>
        <w:t>, and continues to be so</w:t>
      </w:r>
      <w:r w:rsidR="00CF48AE">
        <w:rPr>
          <w:rFonts w:ascii="Trebuchet MS" w:hAnsi="Trebuchet MS"/>
        </w:rPr>
        <w:t xml:space="preserve">. </w:t>
      </w:r>
    </w:p>
    <w:p w:rsidR="00B44C2F" w:rsidRPr="00B44C2F" w:rsidRDefault="00CF48AE" w:rsidP="00AF3FE4">
      <w:pPr>
        <w:spacing w:line="240" w:lineRule="auto"/>
        <w:rPr>
          <w:rFonts w:ascii="Trebuchet MS" w:hAnsi="Trebuchet MS"/>
        </w:rPr>
      </w:pPr>
      <w:r>
        <w:rPr>
          <w:rFonts w:ascii="Trebuchet MS" w:hAnsi="Trebuchet MS"/>
        </w:rPr>
        <w:t xml:space="preserve">The proposal is for a single storey side extension. The existing garage would be demolished to facilitate the proposal. The proposal would extend at a width of 2.4m, flush to the principal elevation. The proposal would project to a total depth of 9.6m, flush to the rear elevation of the single storey rear </w:t>
      </w:r>
      <w:r w:rsidR="00C22524">
        <w:rPr>
          <w:rFonts w:ascii="Trebuchet MS" w:hAnsi="Trebuchet MS"/>
        </w:rPr>
        <w:t xml:space="preserve">projection. The proposal would follow the splay of the north-westward site boundary, with a maximum width of 3m at the rear. The proposal would have a flat roof with a maximum height of 2.9m. Windows would be located to the front and rear elevations. Materials have been selected to match those of the existing dwelling.   </w:t>
      </w:r>
      <w:r>
        <w:rPr>
          <w:rFonts w:ascii="Trebuchet MS" w:hAnsi="Trebuchet MS"/>
        </w:rPr>
        <w:t xml:space="preserve"> </w:t>
      </w:r>
      <w:r w:rsidR="00B44C2F">
        <w:rPr>
          <w:rFonts w:ascii="Trebuchet MS" w:hAnsi="Trebuchet MS"/>
        </w:rPr>
        <w:t xml:space="preserve"> </w:t>
      </w:r>
    </w:p>
    <w:p w:rsidR="00625504" w:rsidRPr="00B44C2F" w:rsidRDefault="00625504" w:rsidP="00AF3FE4">
      <w:pPr>
        <w:spacing w:line="240" w:lineRule="auto"/>
        <w:rPr>
          <w:rFonts w:ascii="Trebuchet MS" w:hAnsi="Trebuchet MS"/>
          <w:b/>
        </w:rPr>
      </w:pPr>
      <w:r w:rsidRPr="00B44C2F">
        <w:rPr>
          <w:rFonts w:ascii="Trebuchet MS" w:hAnsi="Trebuchet MS"/>
          <w:b/>
        </w:rPr>
        <w:t>Plans Submitted</w:t>
      </w:r>
    </w:p>
    <w:p w:rsidR="00D330DE" w:rsidRDefault="00625504" w:rsidP="003C6957">
      <w:pPr>
        <w:spacing w:line="240" w:lineRule="auto"/>
        <w:rPr>
          <w:rFonts w:ascii="Trebuchet MS" w:hAnsi="Trebuchet MS"/>
        </w:rPr>
      </w:pPr>
      <w:r w:rsidRPr="00B44C2F">
        <w:rPr>
          <w:rFonts w:ascii="Trebuchet MS" w:hAnsi="Trebuchet MS"/>
        </w:rPr>
        <w:t>The agent</w:t>
      </w:r>
      <w:r w:rsidR="00D330DE" w:rsidRPr="00B44C2F">
        <w:rPr>
          <w:rFonts w:ascii="Trebuchet MS" w:hAnsi="Trebuchet MS"/>
        </w:rPr>
        <w:t xml:space="preserve"> supplied the following</w:t>
      </w:r>
      <w:r w:rsidRPr="00B44C2F">
        <w:rPr>
          <w:rFonts w:ascii="Trebuchet MS" w:hAnsi="Trebuchet MS"/>
        </w:rPr>
        <w:t>, received</w:t>
      </w:r>
      <w:r w:rsidR="00D330DE" w:rsidRPr="00B44C2F">
        <w:rPr>
          <w:rFonts w:ascii="Trebuchet MS" w:hAnsi="Trebuchet MS"/>
        </w:rPr>
        <w:t xml:space="preserve"> on </w:t>
      </w:r>
      <w:r w:rsidR="009F78CC">
        <w:rPr>
          <w:rFonts w:ascii="Trebuchet MS" w:hAnsi="Trebuchet MS"/>
        </w:rPr>
        <w:t>29/12/17:</w:t>
      </w:r>
    </w:p>
    <w:p w:rsidR="009F78CC" w:rsidRDefault="009F78CC" w:rsidP="003C6957">
      <w:pPr>
        <w:spacing w:line="240" w:lineRule="auto"/>
        <w:rPr>
          <w:rFonts w:ascii="Trebuchet MS" w:hAnsi="Trebuchet MS"/>
        </w:rPr>
      </w:pPr>
      <w:r>
        <w:rPr>
          <w:rFonts w:ascii="Trebuchet MS" w:hAnsi="Trebuchet MS"/>
        </w:rPr>
        <w:t>Drawing No: StP:002 – Site Location</w:t>
      </w:r>
    </w:p>
    <w:p w:rsidR="009F78CC" w:rsidRDefault="009F78CC" w:rsidP="003C6957">
      <w:pPr>
        <w:spacing w:line="240" w:lineRule="auto"/>
        <w:rPr>
          <w:rFonts w:ascii="Trebuchet MS" w:hAnsi="Trebuchet MS"/>
        </w:rPr>
      </w:pPr>
      <w:r>
        <w:rPr>
          <w:rFonts w:ascii="Trebuchet MS" w:hAnsi="Trebuchet MS"/>
        </w:rPr>
        <w:t>Drawing No: StP:003 – Existing and Proposed Floor Plans</w:t>
      </w:r>
    </w:p>
    <w:p w:rsidR="009F78CC" w:rsidRDefault="009F78CC" w:rsidP="003C6957">
      <w:pPr>
        <w:spacing w:line="240" w:lineRule="auto"/>
        <w:rPr>
          <w:rFonts w:ascii="Trebuchet MS" w:hAnsi="Trebuchet MS"/>
        </w:rPr>
      </w:pPr>
      <w:r>
        <w:rPr>
          <w:rFonts w:ascii="Trebuchet MS" w:hAnsi="Trebuchet MS"/>
        </w:rPr>
        <w:t>Drawing No: StP:004 – Existing Elevations</w:t>
      </w:r>
    </w:p>
    <w:p w:rsidR="009F78CC" w:rsidRDefault="009F78CC" w:rsidP="003C6957">
      <w:pPr>
        <w:spacing w:line="240" w:lineRule="auto"/>
        <w:rPr>
          <w:rFonts w:ascii="Trebuchet MS" w:hAnsi="Trebuchet MS"/>
        </w:rPr>
      </w:pPr>
      <w:r>
        <w:rPr>
          <w:rFonts w:ascii="Trebuchet MS" w:hAnsi="Trebuchet MS"/>
        </w:rPr>
        <w:t>Drawing No: StP:005 – Proposed Elevations</w:t>
      </w:r>
    </w:p>
    <w:p w:rsidR="009F78CC" w:rsidRDefault="009F78CC" w:rsidP="003C6957">
      <w:pPr>
        <w:spacing w:line="240" w:lineRule="auto"/>
        <w:rPr>
          <w:rFonts w:ascii="Trebuchet MS" w:hAnsi="Trebuchet MS"/>
        </w:rPr>
      </w:pPr>
      <w:r>
        <w:rPr>
          <w:rFonts w:ascii="Trebuchet MS" w:hAnsi="Trebuchet MS"/>
        </w:rPr>
        <w:t>Subsequently, the agent supplied the following, received on 10/01/18:</w:t>
      </w:r>
    </w:p>
    <w:p w:rsidR="009F78CC" w:rsidRDefault="009F78CC" w:rsidP="003C6957">
      <w:pPr>
        <w:spacing w:line="240" w:lineRule="auto"/>
        <w:rPr>
          <w:rFonts w:ascii="Trebuchet MS" w:hAnsi="Trebuchet MS"/>
        </w:rPr>
      </w:pPr>
      <w:r>
        <w:rPr>
          <w:rFonts w:ascii="Trebuchet MS" w:hAnsi="Trebuchet MS"/>
        </w:rPr>
        <w:t>Drawing No: StP:001 – Block Plan</w:t>
      </w:r>
    </w:p>
    <w:p w:rsidR="00D8485F" w:rsidRDefault="00D8485F" w:rsidP="003C6957">
      <w:pPr>
        <w:spacing w:line="240" w:lineRule="auto"/>
        <w:rPr>
          <w:rFonts w:ascii="Trebuchet MS" w:hAnsi="Trebuchet MS"/>
        </w:rPr>
      </w:pPr>
      <w:r>
        <w:rPr>
          <w:rFonts w:ascii="Trebuchet MS" w:hAnsi="Trebuchet MS"/>
        </w:rPr>
        <w:t>The agent was advised on 23/02/18 that the proposed development would constitute permitted development. However, as the supplied plans include the label ‘house in multiple occupation’ the Local Planning Authority would need to be certain that this is in fact the current law</w:t>
      </w:r>
      <w:r w:rsidR="002461E2">
        <w:rPr>
          <w:rFonts w:ascii="Trebuchet MS" w:hAnsi="Trebuchet MS"/>
        </w:rPr>
        <w:t>ful use of the property. There wa</w:t>
      </w:r>
      <w:r>
        <w:rPr>
          <w:rFonts w:ascii="Trebuchet MS" w:hAnsi="Trebuchet MS"/>
        </w:rPr>
        <w:t xml:space="preserve">s no current planning record of the change of use from C3 to C4, so the lawful use of the property is as a C3 dwellinghouse. </w:t>
      </w:r>
      <w:r w:rsidR="002461E2">
        <w:rPr>
          <w:rFonts w:ascii="Trebuchet MS" w:hAnsi="Trebuchet MS"/>
        </w:rPr>
        <w:t xml:space="preserve">The Local Planning Authority need to be certain that the issue of a Lawful Development Certificate for a proposed development would not also imply the change of use. The agent was advised to remove the label so that the application could be determined. </w:t>
      </w:r>
    </w:p>
    <w:p w:rsidR="002461E2" w:rsidRDefault="001C7FA2" w:rsidP="003C6957">
      <w:pPr>
        <w:spacing w:line="240" w:lineRule="auto"/>
        <w:rPr>
          <w:rFonts w:ascii="Trebuchet MS" w:hAnsi="Trebuchet MS"/>
        </w:rPr>
      </w:pPr>
      <w:r>
        <w:rPr>
          <w:rFonts w:ascii="Trebuchet MS" w:hAnsi="Trebuchet MS"/>
        </w:rPr>
        <w:t xml:space="preserve">Subsequent discussion with the agent followed, who advised that evidence could be provided to show that the property had been is use as a C4 house in multiple occupation, prior to the designation of the Article 4 area. </w:t>
      </w:r>
    </w:p>
    <w:p w:rsidR="009F78CC" w:rsidRDefault="009F78CC" w:rsidP="003C6957">
      <w:pPr>
        <w:spacing w:line="240" w:lineRule="auto"/>
        <w:rPr>
          <w:rFonts w:ascii="Trebuchet MS" w:hAnsi="Trebuchet MS"/>
        </w:rPr>
      </w:pPr>
      <w:r>
        <w:rPr>
          <w:rFonts w:ascii="Trebuchet MS" w:hAnsi="Trebuchet MS"/>
        </w:rPr>
        <w:lastRenderedPageBreak/>
        <w:t>Subsequently, the agent supplied the following, received on 13/03/18:</w:t>
      </w:r>
    </w:p>
    <w:p w:rsidR="009F78CC" w:rsidRDefault="00B76348" w:rsidP="003C6957">
      <w:pPr>
        <w:spacing w:line="240" w:lineRule="auto"/>
        <w:rPr>
          <w:rFonts w:ascii="Trebuchet MS" w:hAnsi="Trebuchet MS"/>
        </w:rPr>
      </w:pPr>
      <w:r>
        <w:rPr>
          <w:rFonts w:ascii="Trebuchet MS" w:hAnsi="Trebuchet MS"/>
        </w:rPr>
        <w:t>Tenancy Agreement, dated 11/03/11 – period 01/07/11 to 30/06/12</w:t>
      </w:r>
    </w:p>
    <w:p w:rsidR="00B76348" w:rsidRDefault="00B76348" w:rsidP="003C6957">
      <w:pPr>
        <w:spacing w:line="240" w:lineRule="auto"/>
        <w:rPr>
          <w:rFonts w:ascii="Trebuchet MS" w:hAnsi="Trebuchet MS"/>
        </w:rPr>
      </w:pPr>
      <w:r>
        <w:rPr>
          <w:rFonts w:ascii="Trebuchet MS" w:hAnsi="Trebuchet MS"/>
        </w:rPr>
        <w:t>Tenancy Agreement, dated 28/01/12 – period 01/07/12 to 30/06/13</w:t>
      </w:r>
    </w:p>
    <w:p w:rsidR="00B76348" w:rsidRDefault="00B76348" w:rsidP="003C6957">
      <w:pPr>
        <w:spacing w:line="240" w:lineRule="auto"/>
        <w:rPr>
          <w:rFonts w:ascii="Trebuchet MS" w:hAnsi="Trebuchet MS"/>
        </w:rPr>
      </w:pPr>
      <w:r>
        <w:rPr>
          <w:rFonts w:ascii="Trebuchet MS" w:hAnsi="Trebuchet MS"/>
        </w:rPr>
        <w:t>Tenancy Agreement, dated 26/02/13 – period 01/07/13 to 30/06/14</w:t>
      </w:r>
    </w:p>
    <w:p w:rsidR="00B76348" w:rsidRDefault="00B76348" w:rsidP="003C6957">
      <w:pPr>
        <w:spacing w:line="240" w:lineRule="auto"/>
        <w:rPr>
          <w:rFonts w:ascii="Trebuchet MS" w:hAnsi="Trebuchet MS"/>
        </w:rPr>
      </w:pPr>
      <w:r>
        <w:rPr>
          <w:rFonts w:ascii="Trebuchet MS" w:hAnsi="Trebuchet MS"/>
        </w:rPr>
        <w:t>Tenancy Agreement, dated 28/05/14 – period 01/07/14 to 30/06/15</w:t>
      </w:r>
    </w:p>
    <w:p w:rsidR="00B76348" w:rsidRDefault="00B76348" w:rsidP="003C6957">
      <w:pPr>
        <w:spacing w:line="240" w:lineRule="auto"/>
        <w:rPr>
          <w:rFonts w:ascii="Trebuchet MS" w:hAnsi="Trebuchet MS"/>
        </w:rPr>
      </w:pPr>
      <w:r>
        <w:rPr>
          <w:rFonts w:ascii="Trebuchet MS" w:hAnsi="Trebuchet MS"/>
        </w:rPr>
        <w:t>Tenancy Agreement, dated 06/12/14 – period 01/07/15 to 30/06/16</w:t>
      </w:r>
    </w:p>
    <w:p w:rsidR="00B76348" w:rsidRDefault="00B76348" w:rsidP="003C6957">
      <w:pPr>
        <w:spacing w:line="240" w:lineRule="auto"/>
        <w:rPr>
          <w:rFonts w:ascii="Trebuchet MS" w:hAnsi="Trebuchet MS"/>
        </w:rPr>
      </w:pPr>
      <w:r>
        <w:rPr>
          <w:rFonts w:ascii="Trebuchet MS" w:hAnsi="Trebuchet MS"/>
        </w:rPr>
        <w:t>Tenancy Agreement, dated 08/12/15 – period 01/07/16 to 30/06/17</w:t>
      </w:r>
    </w:p>
    <w:p w:rsidR="00B76348" w:rsidRPr="00B44C2F" w:rsidRDefault="00B76348" w:rsidP="003C6957">
      <w:pPr>
        <w:spacing w:line="240" w:lineRule="auto"/>
        <w:rPr>
          <w:rFonts w:ascii="Trebuchet MS" w:hAnsi="Trebuchet MS"/>
        </w:rPr>
      </w:pPr>
      <w:r>
        <w:rPr>
          <w:rFonts w:ascii="Trebuchet MS" w:hAnsi="Trebuchet MS"/>
        </w:rPr>
        <w:t>Tenancy Agreement, dated 28/11/16 – period 01/07/17 to 30/06/18</w:t>
      </w:r>
    </w:p>
    <w:p w:rsidR="00625504" w:rsidRDefault="00625504" w:rsidP="00AF3FE4">
      <w:pPr>
        <w:spacing w:line="240" w:lineRule="auto"/>
        <w:rPr>
          <w:rFonts w:ascii="Trebuchet MS" w:hAnsi="Trebuchet MS"/>
          <w:b/>
        </w:rPr>
      </w:pPr>
      <w:r w:rsidRPr="00B44C2F">
        <w:rPr>
          <w:rFonts w:ascii="Trebuchet MS" w:hAnsi="Trebuchet MS"/>
          <w:b/>
        </w:rPr>
        <w:t>Relevant Planning History</w:t>
      </w:r>
    </w:p>
    <w:p w:rsidR="007B63A0" w:rsidRPr="007B63A0" w:rsidRDefault="007B63A0" w:rsidP="00AF3FE4">
      <w:pPr>
        <w:spacing w:line="240" w:lineRule="auto"/>
        <w:rPr>
          <w:rFonts w:ascii="Trebuchet MS" w:hAnsi="Trebuchet MS"/>
        </w:rPr>
      </w:pPr>
      <w:r>
        <w:rPr>
          <w:rFonts w:ascii="Trebuchet MS" w:hAnsi="Trebuchet MS"/>
        </w:rPr>
        <w:t>071314/FUL – Two storey side extension and single storey rear extension – Permitted 02/08/07</w:t>
      </w:r>
    </w:p>
    <w:p w:rsidR="00625504" w:rsidRPr="00B44C2F" w:rsidRDefault="00625504" w:rsidP="00AF3FE4">
      <w:pPr>
        <w:spacing w:line="240" w:lineRule="auto"/>
        <w:rPr>
          <w:rFonts w:ascii="Trebuchet MS" w:hAnsi="Trebuchet MS"/>
          <w:b/>
        </w:rPr>
      </w:pPr>
      <w:r w:rsidRPr="00B44C2F">
        <w:rPr>
          <w:rFonts w:ascii="Trebuchet MS" w:hAnsi="Trebuchet MS"/>
          <w:b/>
        </w:rPr>
        <w:t>Summary of Consultations</w:t>
      </w:r>
    </w:p>
    <w:p w:rsidR="00625504" w:rsidRPr="00B44C2F" w:rsidRDefault="00625504" w:rsidP="00AF3FE4">
      <w:pPr>
        <w:spacing w:line="240" w:lineRule="auto"/>
        <w:rPr>
          <w:rFonts w:ascii="Trebuchet MS" w:hAnsi="Trebuchet MS"/>
        </w:rPr>
      </w:pPr>
      <w:r w:rsidRPr="00B44C2F">
        <w:rPr>
          <w:rFonts w:ascii="Trebuchet MS" w:hAnsi="Trebuchet MS"/>
        </w:rPr>
        <w:t>No consultations were undertaken as it is not required for an application of this type.</w:t>
      </w:r>
    </w:p>
    <w:p w:rsidR="00625504" w:rsidRPr="00B44C2F" w:rsidRDefault="00625504" w:rsidP="00AF3FE4">
      <w:pPr>
        <w:spacing w:line="240" w:lineRule="auto"/>
        <w:rPr>
          <w:rFonts w:ascii="Trebuchet MS" w:hAnsi="Trebuchet MS"/>
          <w:b/>
        </w:rPr>
      </w:pPr>
      <w:r w:rsidRPr="00B44C2F">
        <w:rPr>
          <w:rFonts w:ascii="Trebuchet MS" w:hAnsi="Trebuchet MS"/>
          <w:b/>
        </w:rPr>
        <w:t>Relevant Planning Policy and Guidance</w:t>
      </w:r>
    </w:p>
    <w:p w:rsidR="006810EF" w:rsidRPr="006810EF" w:rsidRDefault="006810EF" w:rsidP="006810EF">
      <w:pPr>
        <w:spacing w:line="240" w:lineRule="auto"/>
        <w:rPr>
          <w:rFonts w:ascii="Trebuchet MS" w:hAnsi="Trebuchet MS"/>
          <w:szCs w:val="24"/>
        </w:rPr>
      </w:pPr>
      <w:r w:rsidRPr="006810EF">
        <w:rPr>
          <w:rFonts w:ascii="Trebuchet MS" w:hAnsi="Trebuchet MS"/>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6810EF" w:rsidRPr="006810EF" w:rsidRDefault="006810EF" w:rsidP="006810EF">
      <w:pPr>
        <w:spacing w:line="240" w:lineRule="auto"/>
        <w:rPr>
          <w:rFonts w:ascii="Trebuchet MS" w:hAnsi="Trebuchet MS"/>
          <w:szCs w:val="24"/>
        </w:rPr>
      </w:pPr>
      <w:r w:rsidRPr="006810EF">
        <w:rPr>
          <w:rFonts w:ascii="Trebuchet MS" w:hAnsi="Trebuchet MS"/>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6810EF" w:rsidRPr="006810EF" w:rsidRDefault="006810EF" w:rsidP="006810EF">
      <w:pPr>
        <w:spacing w:line="240" w:lineRule="auto"/>
        <w:rPr>
          <w:rFonts w:ascii="Trebuchet MS" w:hAnsi="Trebuchet MS"/>
          <w:szCs w:val="24"/>
        </w:rPr>
      </w:pPr>
      <w:r w:rsidRPr="006810EF">
        <w:rPr>
          <w:rFonts w:ascii="Trebuchet MS" w:hAnsi="Trebuchet MS"/>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6810EF" w:rsidRPr="006810EF" w:rsidRDefault="006810EF" w:rsidP="006810EF">
      <w:pPr>
        <w:spacing w:line="240" w:lineRule="auto"/>
        <w:rPr>
          <w:rFonts w:ascii="Trebuchet MS" w:hAnsi="Trebuchet MS"/>
          <w:szCs w:val="24"/>
        </w:rPr>
      </w:pPr>
      <w:r w:rsidRPr="006810EF">
        <w:rPr>
          <w:rFonts w:ascii="Trebuchet MS" w:hAnsi="Trebuchet MS"/>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625504" w:rsidRPr="00B44C2F" w:rsidRDefault="0022790B" w:rsidP="00AF3FE4">
      <w:pPr>
        <w:spacing w:line="240" w:lineRule="auto"/>
        <w:rPr>
          <w:rFonts w:ascii="Trebuchet MS" w:eastAsia="Times New Roman" w:hAnsi="Trebuchet MS"/>
          <w:color w:val="000000"/>
        </w:rPr>
      </w:pPr>
      <w:r w:rsidRPr="00B44C2F">
        <w:rPr>
          <w:rFonts w:ascii="Trebuchet MS" w:eastAsia="Times New Roman" w:hAnsi="Trebuchet MS"/>
          <w:color w:val="000000"/>
        </w:rPr>
        <w:t>National Planning Practice Guidance</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lastRenderedPageBreak/>
        <w:t>The Town and Country Planning (General Permitted Development) (England) Order 2015 (GPDO)</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Permitted development rights for householders</w:t>
      </w:r>
      <w:r w:rsidR="00246D7F" w:rsidRPr="00B44C2F">
        <w:rPr>
          <w:rFonts w:ascii="Trebuchet MS" w:eastAsia="Times New Roman" w:hAnsi="Trebuchet MS"/>
          <w:color w:val="000000"/>
        </w:rPr>
        <w:t xml:space="preserve"> – Technical Guidance April 2017</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b/>
          <w:color w:val="000000"/>
        </w:rPr>
        <w:t>Assessment</w:t>
      </w:r>
    </w:p>
    <w:p w:rsidR="00625504"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2469F3" w:rsidRPr="00B44C2F" w:rsidRDefault="002469F3" w:rsidP="00AF3FE4">
      <w:pPr>
        <w:spacing w:line="240" w:lineRule="auto"/>
        <w:rPr>
          <w:rFonts w:ascii="Trebuchet MS" w:eastAsia="Times New Roman" w:hAnsi="Trebuchet MS"/>
          <w:color w:val="000000"/>
        </w:rPr>
      </w:pPr>
      <w:r>
        <w:rPr>
          <w:rFonts w:ascii="Trebuchet MS" w:eastAsia="Times New Roman" w:hAnsi="Trebuchet MS"/>
          <w:color w:val="000000"/>
        </w:rPr>
        <w:t>The agent has supplied evidence dating to 2011, showing the use of the property as a house in multiple occupation</w:t>
      </w:r>
      <w:r w:rsidR="000B5E4F">
        <w:rPr>
          <w:rFonts w:ascii="Trebuchet MS" w:eastAsia="Times New Roman" w:hAnsi="Trebuchet MS"/>
          <w:color w:val="000000"/>
        </w:rPr>
        <w:t xml:space="preserve"> </w:t>
      </w:r>
      <w:bookmarkStart w:id="0" w:name="_GoBack"/>
      <w:bookmarkEnd w:id="0"/>
      <w:r w:rsidR="000B5E4F">
        <w:rPr>
          <w:rFonts w:ascii="Trebuchet MS" w:eastAsia="Times New Roman" w:hAnsi="Trebuchet MS"/>
          <w:color w:val="000000"/>
        </w:rPr>
        <w:t>- Use Class C4</w:t>
      </w:r>
      <w:r>
        <w:rPr>
          <w:rFonts w:ascii="Trebuchet MS" w:eastAsia="Times New Roman" w:hAnsi="Trebuchet MS"/>
          <w:color w:val="000000"/>
        </w:rPr>
        <w:t xml:space="preserve">. Officers are satisfied that the evidence provided is sufficient to show that the property has been </w:t>
      </w:r>
      <w:r w:rsidR="000B5E4F">
        <w:rPr>
          <w:rFonts w:ascii="Trebuchet MS" w:eastAsia="Times New Roman" w:hAnsi="Trebuchet MS"/>
          <w:color w:val="000000"/>
        </w:rPr>
        <w:t xml:space="preserve">occupied </w:t>
      </w:r>
      <w:r w:rsidR="00FA4A00">
        <w:rPr>
          <w:rFonts w:ascii="Trebuchet MS" w:eastAsia="Times New Roman" w:hAnsi="Trebuchet MS"/>
          <w:color w:val="000000"/>
        </w:rPr>
        <w:t xml:space="preserve">by no more than </w:t>
      </w:r>
      <w:r w:rsidR="000B5E4F">
        <w:rPr>
          <w:rFonts w:ascii="Trebuchet MS" w:eastAsia="Times New Roman" w:hAnsi="Trebuchet MS"/>
          <w:color w:val="000000"/>
        </w:rPr>
        <w:t xml:space="preserve">4 tenants </w:t>
      </w:r>
      <w:r w:rsidR="00FA4A00">
        <w:rPr>
          <w:rFonts w:ascii="Trebuchet MS" w:eastAsia="Times New Roman" w:hAnsi="Trebuchet MS"/>
          <w:color w:val="000000"/>
        </w:rPr>
        <w:t xml:space="preserve">at any one time </w:t>
      </w:r>
      <w:r>
        <w:rPr>
          <w:rFonts w:ascii="Trebuchet MS" w:eastAsia="Times New Roman" w:hAnsi="Trebuchet MS"/>
          <w:color w:val="000000"/>
        </w:rPr>
        <w:t xml:space="preserve">since July 2011, and continues to be so. Having regard to the foregoing, it is considered on the balance of probability, the property known as 28 St Peters Road, Reading, RG6 1PA has been in use as a </w:t>
      </w:r>
      <w:r w:rsidR="00FA4A00">
        <w:rPr>
          <w:rFonts w:ascii="Trebuchet MS" w:eastAsia="Times New Roman" w:hAnsi="Trebuchet MS"/>
          <w:color w:val="000000"/>
        </w:rPr>
        <w:t xml:space="preserve">small </w:t>
      </w:r>
      <w:r>
        <w:rPr>
          <w:rFonts w:ascii="Trebuchet MS" w:eastAsia="Times New Roman" w:hAnsi="Trebuchet MS"/>
          <w:color w:val="000000"/>
        </w:rPr>
        <w:t xml:space="preserve">house in multiple occupation </w:t>
      </w:r>
      <w:r w:rsidR="00FA4A00">
        <w:rPr>
          <w:rFonts w:ascii="Trebuchet MS" w:eastAsia="Times New Roman" w:hAnsi="Trebuchet MS"/>
          <w:color w:val="000000"/>
        </w:rPr>
        <w:t xml:space="preserve">(Use Class C4) </w:t>
      </w:r>
      <w:r>
        <w:rPr>
          <w:rFonts w:ascii="Trebuchet MS" w:eastAsia="Times New Roman" w:hAnsi="Trebuchet MS"/>
          <w:color w:val="000000"/>
        </w:rPr>
        <w:t xml:space="preserve">prior to the designation of the Article 4 area on 16/05/13.  </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The proposed</w:t>
      </w:r>
      <w:r w:rsidR="00075F51" w:rsidRPr="00B44C2F">
        <w:rPr>
          <w:rFonts w:ascii="Trebuchet MS" w:eastAsia="Times New Roman" w:hAnsi="Trebuchet MS"/>
          <w:color w:val="000000"/>
        </w:rPr>
        <w:t xml:space="preserve"> </w:t>
      </w:r>
      <w:r w:rsidRPr="00B44C2F">
        <w:rPr>
          <w:rFonts w:ascii="Trebuchet MS" w:eastAsia="Times New Roman" w:hAnsi="Trebuchet MS"/>
          <w:color w:val="000000"/>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The releva</w:t>
      </w:r>
      <w:r w:rsidR="00075F51" w:rsidRPr="00B44C2F">
        <w:rPr>
          <w:rFonts w:ascii="Trebuchet MS" w:eastAsia="Times New Roman" w:hAnsi="Trebuchet MS"/>
          <w:color w:val="000000"/>
        </w:rPr>
        <w:t xml:space="preserve">nt conditions of the GPDO for a single storey </w:t>
      </w:r>
      <w:r w:rsidR="008C16B4">
        <w:rPr>
          <w:rFonts w:ascii="Trebuchet MS" w:eastAsia="Times New Roman" w:hAnsi="Trebuchet MS"/>
          <w:color w:val="000000"/>
        </w:rPr>
        <w:t>side</w:t>
      </w:r>
      <w:r w:rsidR="00075F51" w:rsidRPr="00B44C2F">
        <w:rPr>
          <w:rFonts w:ascii="Trebuchet MS" w:eastAsia="Times New Roman" w:hAnsi="Trebuchet MS"/>
          <w:color w:val="000000"/>
        </w:rPr>
        <w:t xml:space="preserve"> extension</w:t>
      </w:r>
      <w:r w:rsidRPr="00B44C2F">
        <w:rPr>
          <w:rFonts w:ascii="Trebuchet MS" w:eastAsia="Times New Roman" w:hAnsi="Trebuchet MS"/>
          <w:color w:val="000000"/>
        </w:rPr>
        <w:t xml:space="preserve">, which is not listed or in a conservation area, are as follows: </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 xml:space="preserve">A.1 Development is not permitted by Class A if:  </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 xml:space="preserve">A.1 (a) permission to use the dwellinghouse as a dwellinghouse has been granted only by virtue of Class M, N, P or Q of Part 3 of this Schedule (changes of use);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 xml:space="preserve">A.1 (c) the height of the part of the dwellinghouse enlarged, improved or altered would exceed the height of the highest part of the roof of the existing dwellinghouse; </w:t>
      </w:r>
      <w:r w:rsidR="00075F51" w:rsidRPr="00B44C2F">
        <w:rPr>
          <w:rFonts w:ascii="Trebuchet MS" w:eastAsia="Times New Roman" w:hAnsi="Trebuchet MS"/>
          <w:b/>
          <w:color w:val="000000"/>
        </w:rPr>
        <w:t>complies</w:t>
      </w:r>
    </w:p>
    <w:p w:rsidR="00075F51"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 xml:space="preserve">A.1 (d) the height of the eaves of the part of the dwellinghouse enlarged, improved or altered would exceed the height of the eaves of the existing dwellinghouse;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A.1 (e) the enlarged part of the dwellinghouse would extend beyond a wall which (</w:t>
      </w:r>
      <w:proofErr w:type="spellStart"/>
      <w:r w:rsidRPr="00B44C2F">
        <w:rPr>
          <w:rFonts w:ascii="Trebuchet MS" w:eastAsia="Times New Roman" w:hAnsi="Trebuchet MS"/>
          <w:color w:val="000000"/>
        </w:rPr>
        <w:t>i</w:t>
      </w:r>
      <w:proofErr w:type="spellEnd"/>
      <w:r w:rsidRPr="00B44C2F">
        <w:rPr>
          <w:rFonts w:ascii="Trebuchet MS" w:eastAsia="Times New Roman" w:hAnsi="Trebuchet MS"/>
          <w:color w:val="000000"/>
        </w:rPr>
        <w:t xml:space="preserve">) forms the principle elevation of the original dwellinghouse; </w:t>
      </w:r>
      <w:r w:rsidR="00075F51" w:rsidRPr="00B44C2F">
        <w:rPr>
          <w:rFonts w:ascii="Trebuchet MS" w:eastAsia="Times New Roman" w:hAnsi="Trebuchet MS"/>
          <w:b/>
          <w:color w:val="000000"/>
        </w:rPr>
        <w:t>complies</w:t>
      </w:r>
      <w:r w:rsidRPr="00B44C2F">
        <w:rPr>
          <w:rFonts w:ascii="Trebuchet MS" w:eastAsia="Times New Roman" w:hAnsi="Trebuchet MS"/>
          <w:color w:val="000000"/>
        </w:rPr>
        <w:t xml:space="preserve"> or (ii) fronts a highway and forms a side elevation of the original dwellinghouse;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A.1 (f) subject to paragraph (g), the enlarged part of the dwellinghouse would have a single storey and – (</w:t>
      </w:r>
      <w:proofErr w:type="spellStart"/>
      <w:r w:rsidRPr="00B44C2F">
        <w:rPr>
          <w:rFonts w:ascii="Trebuchet MS" w:eastAsia="Times New Roman" w:hAnsi="Trebuchet MS"/>
          <w:color w:val="000000"/>
        </w:rPr>
        <w:t>i</w:t>
      </w:r>
      <w:proofErr w:type="spellEnd"/>
      <w:r w:rsidRPr="00B44C2F">
        <w:rPr>
          <w:rFonts w:ascii="Trebuchet MS" w:eastAsia="Times New Roman" w:hAnsi="Trebuchet MS"/>
          <w:color w:val="000000"/>
        </w:rPr>
        <w:t>) extend beyond the rear wall of the original dwellinghouse by more than 4 metres in the case of a detached dwellinghouse, or 3 metres in the case of any other dwellinghouse,</w:t>
      </w:r>
      <w:r w:rsidR="00075F51" w:rsidRPr="00B44C2F">
        <w:rPr>
          <w:rFonts w:ascii="Trebuchet MS" w:eastAsia="Times New Roman" w:hAnsi="Trebuchet MS"/>
          <w:color w:val="000000"/>
        </w:rPr>
        <w:t xml:space="preserve"> </w:t>
      </w:r>
      <w:r w:rsidR="00075F51" w:rsidRPr="00B44C2F">
        <w:rPr>
          <w:rFonts w:ascii="Trebuchet MS" w:eastAsia="Times New Roman" w:hAnsi="Trebuchet MS"/>
          <w:b/>
          <w:color w:val="000000"/>
        </w:rPr>
        <w:t>complies</w:t>
      </w:r>
      <w:r w:rsidRPr="00B44C2F">
        <w:rPr>
          <w:rFonts w:ascii="Trebuchet MS" w:eastAsia="Times New Roman" w:hAnsi="Trebuchet MS"/>
          <w:color w:val="000000"/>
        </w:rPr>
        <w:t xml:space="preserve"> or (ii) exceed 4 metres in height;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A.1 (g) until 30</w:t>
      </w:r>
      <w:r w:rsidRPr="00B44C2F">
        <w:rPr>
          <w:rFonts w:ascii="Trebuchet MS" w:eastAsia="Times New Roman" w:hAnsi="Trebuchet MS"/>
          <w:color w:val="000000"/>
          <w:vertAlign w:val="superscript"/>
        </w:rPr>
        <w:t>th</w:t>
      </w:r>
      <w:r w:rsidRPr="00B44C2F">
        <w:rPr>
          <w:rFonts w:ascii="Trebuchet MS" w:eastAsia="Times New Roman" w:hAnsi="Trebuchet MS"/>
          <w:color w:val="000000"/>
        </w:rPr>
        <w:t xml:space="preserve"> May 2019, for a dwellinghouse not on article 2(3) land nor on a site of special scientific interest, the enlarged part of the dwellinghouse would have a single storey and – (</w:t>
      </w:r>
      <w:proofErr w:type="spellStart"/>
      <w:r w:rsidRPr="00B44C2F">
        <w:rPr>
          <w:rFonts w:ascii="Trebuchet MS" w:eastAsia="Times New Roman" w:hAnsi="Trebuchet MS"/>
          <w:color w:val="000000"/>
        </w:rPr>
        <w:t>i</w:t>
      </w:r>
      <w:proofErr w:type="spellEnd"/>
      <w:r w:rsidRPr="00B44C2F">
        <w:rPr>
          <w:rFonts w:ascii="Trebuchet MS" w:eastAsia="Times New Roman" w:hAnsi="Trebuchet MS"/>
          <w:color w:val="000000"/>
        </w:rPr>
        <w:t xml:space="preserve">) extend beyond the rear wall of the original dwellinghouse by more than 8 metres in the case of a detached dwellinghouse, or 6 metres in the case of any other dwellinghouse, </w:t>
      </w:r>
      <w:r w:rsidR="00075F51" w:rsidRPr="00B44C2F">
        <w:rPr>
          <w:rFonts w:ascii="Trebuchet MS" w:eastAsia="Times New Roman" w:hAnsi="Trebuchet MS"/>
          <w:b/>
          <w:color w:val="000000"/>
        </w:rPr>
        <w:t>complies</w:t>
      </w:r>
      <w:r w:rsidRPr="00B44C2F">
        <w:rPr>
          <w:rFonts w:ascii="Trebuchet MS" w:eastAsia="Times New Roman" w:hAnsi="Trebuchet MS"/>
          <w:color w:val="000000"/>
        </w:rPr>
        <w:t xml:space="preserve"> or (ii) exceed 4 metres in height;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lastRenderedPageBreak/>
        <w:t>A.1 (h) the enlarged part of the dwellinghouse would have more than a single storey and – (</w:t>
      </w:r>
      <w:proofErr w:type="spellStart"/>
      <w:r w:rsidRPr="00B44C2F">
        <w:rPr>
          <w:rFonts w:ascii="Trebuchet MS" w:eastAsia="Times New Roman" w:hAnsi="Trebuchet MS"/>
          <w:color w:val="000000"/>
        </w:rPr>
        <w:t>i</w:t>
      </w:r>
      <w:proofErr w:type="spellEnd"/>
      <w:r w:rsidRPr="00B44C2F">
        <w:rPr>
          <w:rFonts w:ascii="Trebuchet MS" w:eastAsia="Times New Roman" w:hAnsi="Trebuchet MS"/>
          <w:color w:val="000000"/>
        </w:rPr>
        <w:t xml:space="preserve">) extend beyond the rear wall of the original dwellinghouse by more than 3 metres, </w:t>
      </w:r>
      <w:r w:rsidR="00075F51" w:rsidRPr="00B44C2F">
        <w:rPr>
          <w:rFonts w:ascii="Trebuchet MS" w:eastAsia="Times New Roman" w:hAnsi="Trebuchet MS"/>
          <w:b/>
          <w:color w:val="000000"/>
        </w:rPr>
        <w:t xml:space="preserve">complies </w:t>
      </w:r>
      <w:r w:rsidRPr="00B44C2F">
        <w:rPr>
          <w:rFonts w:ascii="Trebuchet MS" w:eastAsia="Times New Roman" w:hAnsi="Trebuchet MS"/>
          <w:color w:val="000000"/>
        </w:rPr>
        <w:t xml:space="preserve">or (ii) be within 7 metres of any boundary of the curtilage of the dwellinghouse opposite the rear wall of the dwellinghouse;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A.1 (</w:t>
      </w:r>
      <w:proofErr w:type="spellStart"/>
      <w:r w:rsidRPr="00B44C2F">
        <w:rPr>
          <w:rFonts w:ascii="Trebuchet MS" w:eastAsia="Times New Roman" w:hAnsi="Trebuchet MS"/>
          <w:color w:val="000000"/>
        </w:rPr>
        <w:t>i</w:t>
      </w:r>
      <w:proofErr w:type="spellEnd"/>
      <w:r w:rsidRPr="00B44C2F">
        <w:rPr>
          <w:rFonts w:ascii="Trebuchet MS" w:eastAsia="Times New Roman" w:hAnsi="Trebuchet MS"/>
          <w:color w:val="000000"/>
        </w:rPr>
        <w:t xml:space="preserve">) the enlarged part of the dwellinghouse would be within 2 metres of the boundary of the curtilage of the dwellinghouse, and the height of the eaves of the enlarged part would exceed 3 metres;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A.1 (j) the enlarged part of the dwellinghouse would extend beyond a wall forming a side elevation of the original dwellinghouse, and would – (</w:t>
      </w:r>
      <w:proofErr w:type="spellStart"/>
      <w:r w:rsidRPr="00B44C2F">
        <w:rPr>
          <w:rFonts w:ascii="Trebuchet MS" w:eastAsia="Times New Roman" w:hAnsi="Trebuchet MS"/>
          <w:color w:val="000000"/>
        </w:rPr>
        <w:t>i</w:t>
      </w:r>
      <w:proofErr w:type="spellEnd"/>
      <w:r w:rsidRPr="00B44C2F">
        <w:rPr>
          <w:rFonts w:ascii="Trebuchet MS" w:eastAsia="Times New Roman" w:hAnsi="Trebuchet MS"/>
          <w:color w:val="000000"/>
        </w:rPr>
        <w:t xml:space="preserve">) exceed 4 metres in height, </w:t>
      </w:r>
      <w:r w:rsidR="00075F51" w:rsidRPr="00B44C2F">
        <w:rPr>
          <w:rFonts w:ascii="Trebuchet MS" w:eastAsia="Times New Roman" w:hAnsi="Trebuchet MS"/>
          <w:b/>
          <w:color w:val="000000"/>
        </w:rPr>
        <w:t xml:space="preserve">complies </w:t>
      </w:r>
      <w:r w:rsidRPr="00B44C2F">
        <w:rPr>
          <w:rFonts w:ascii="Trebuchet MS" w:eastAsia="Times New Roman" w:hAnsi="Trebuchet MS"/>
          <w:color w:val="000000"/>
        </w:rPr>
        <w:t xml:space="preserve">(ii) have more than a single storey, </w:t>
      </w:r>
      <w:r w:rsidR="00075F51" w:rsidRPr="00B44C2F">
        <w:rPr>
          <w:rFonts w:ascii="Trebuchet MS" w:eastAsia="Times New Roman" w:hAnsi="Trebuchet MS"/>
          <w:b/>
          <w:color w:val="000000"/>
        </w:rPr>
        <w:t xml:space="preserve">complies </w:t>
      </w:r>
      <w:r w:rsidRPr="00B44C2F">
        <w:rPr>
          <w:rFonts w:ascii="Trebuchet MS" w:eastAsia="Times New Roman" w:hAnsi="Trebuchet MS"/>
          <w:color w:val="000000"/>
        </w:rPr>
        <w:t>or (iii) have a width greater than half the width of the original dwellinghouse;</w:t>
      </w:r>
      <w:r w:rsidR="00075F51" w:rsidRPr="00B44C2F">
        <w:rPr>
          <w:rFonts w:ascii="Trebuchet MS" w:eastAsia="Times New Roman" w:hAnsi="Trebuchet MS"/>
          <w:color w:val="000000"/>
        </w:rPr>
        <w:t xml:space="preserve"> </w:t>
      </w:r>
      <w:r w:rsidR="00075F51" w:rsidRPr="00B44C2F">
        <w:rPr>
          <w:rFonts w:ascii="Trebuchet MS" w:eastAsia="Times New Roman" w:hAnsi="Trebuchet MS"/>
          <w:b/>
          <w:color w:val="000000"/>
        </w:rPr>
        <w:t>complies</w:t>
      </w:r>
    </w:p>
    <w:p w:rsidR="00246D7F" w:rsidRPr="00E159E3" w:rsidRDefault="00246D7F"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A.1 (ja) any total enlargement (being the enlarged part together with any existing enlargement of the original dwellinghouse to which it will be joined) exceeds or would exceed the limits set out in sub-paragraphs (e) to (j);</w:t>
      </w:r>
      <w:r w:rsidR="00E159E3">
        <w:rPr>
          <w:rFonts w:ascii="Trebuchet MS" w:eastAsia="Times New Roman" w:hAnsi="Trebuchet MS"/>
          <w:color w:val="000000"/>
        </w:rPr>
        <w:t xml:space="preserve"> </w:t>
      </w:r>
      <w:r w:rsidR="00E159E3">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A.1 (k) it would consist of or include – (</w:t>
      </w:r>
      <w:proofErr w:type="spellStart"/>
      <w:r w:rsidRPr="00B44C2F">
        <w:rPr>
          <w:rFonts w:ascii="Trebuchet MS" w:eastAsia="Times New Roman" w:hAnsi="Trebuchet MS"/>
          <w:color w:val="000000"/>
        </w:rPr>
        <w:t>i</w:t>
      </w:r>
      <w:proofErr w:type="spellEnd"/>
      <w:r w:rsidRPr="00B44C2F">
        <w:rPr>
          <w:rFonts w:ascii="Trebuchet MS" w:eastAsia="Times New Roman" w:hAnsi="Trebuchet MS"/>
          <w:color w:val="000000"/>
        </w:rPr>
        <w:t>) the construction or provision of a verandah, balcony or raised platform,</w:t>
      </w:r>
      <w:r w:rsidR="00075F51" w:rsidRPr="00B44C2F">
        <w:rPr>
          <w:rFonts w:ascii="Trebuchet MS" w:eastAsia="Times New Roman" w:hAnsi="Trebuchet MS"/>
          <w:color w:val="000000"/>
        </w:rPr>
        <w:t xml:space="preserve"> </w:t>
      </w:r>
      <w:r w:rsidR="00075F51" w:rsidRPr="00B44C2F">
        <w:rPr>
          <w:rFonts w:ascii="Trebuchet MS" w:eastAsia="Times New Roman" w:hAnsi="Trebuchet MS"/>
          <w:b/>
          <w:color w:val="000000"/>
        </w:rPr>
        <w:t>complies</w:t>
      </w:r>
      <w:r w:rsidRPr="00B44C2F">
        <w:rPr>
          <w:rFonts w:ascii="Trebuchet MS" w:eastAsia="Times New Roman" w:hAnsi="Trebuchet MS"/>
          <w:color w:val="000000"/>
        </w:rPr>
        <w:t xml:space="preserve"> (ii) the installation, alteration or replacement of a microwave antenna,</w:t>
      </w:r>
      <w:r w:rsidR="00075F51" w:rsidRPr="00B44C2F">
        <w:rPr>
          <w:rFonts w:ascii="Trebuchet MS" w:eastAsia="Times New Roman" w:hAnsi="Trebuchet MS"/>
          <w:color w:val="000000"/>
        </w:rPr>
        <w:t xml:space="preserve"> </w:t>
      </w:r>
      <w:r w:rsidR="00075F51" w:rsidRPr="00B44C2F">
        <w:rPr>
          <w:rFonts w:ascii="Trebuchet MS" w:eastAsia="Times New Roman" w:hAnsi="Trebuchet MS"/>
          <w:b/>
          <w:color w:val="000000"/>
        </w:rPr>
        <w:t>complies</w:t>
      </w:r>
      <w:r w:rsidRPr="00B44C2F">
        <w:rPr>
          <w:rFonts w:ascii="Trebuchet MS" w:eastAsia="Times New Roman" w:hAnsi="Trebuchet MS"/>
          <w:color w:val="000000"/>
        </w:rPr>
        <w:t xml:space="preserve"> (iii) the installation, alteration or replacement of a chimney, flue or soil and vent pipe, </w:t>
      </w:r>
      <w:r w:rsidR="00075F51" w:rsidRPr="00B44C2F">
        <w:rPr>
          <w:rFonts w:ascii="Trebuchet MS" w:eastAsia="Times New Roman" w:hAnsi="Trebuchet MS"/>
          <w:b/>
          <w:color w:val="000000"/>
        </w:rPr>
        <w:t xml:space="preserve">complies </w:t>
      </w:r>
      <w:r w:rsidRPr="00B44C2F">
        <w:rPr>
          <w:rFonts w:ascii="Trebuchet MS" w:eastAsia="Times New Roman" w:hAnsi="Trebuchet MS"/>
          <w:color w:val="000000"/>
        </w:rPr>
        <w:t xml:space="preserve">or (iv) an alteration to any part of the roof of the dwellinghouse.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A.2 In the case of a dwellinghouse on article 2(3) land, development is not permitted by Class A if:</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 xml:space="preserve">A.2 (a) it would consist of or include the cladding of any part of the exterior of the dwellinghouse with stone, artificial stone, pebble dash, render, timber, plastic or tiles; </w:t>
      </w:r>
      <w:r w:rsidR="00E159E3">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A.2 (b) the enlarged part of the dwellinghouse would extend beyond a wall forming a side elevation of the original dwellinghouse;</w:t>
      </w:r>
      <w:r w:rsidR="00075F51" w:rsidRPr="00B44C2F">
        <w:rPr>
          <w:rFonts w:ascii="Trebuchet MS" w:eastAsia="Times New Roman" w:hAnsi="Trebuchet MS"/>
          <w:color w:val="000000"/>
        </w:rPr>
        <w:t xml:space="preserve"> </w:t>
      </w:r>
      <w:r w:rsidR="00E159E3">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A.2 (c) the enlarged part of the dwellinghouse would have more than a single storey and extend beyond the rear wal</w:t>
      </w:r>
      <w:r w:rsidR="00246D7F" w:rsidRPr="00B44C2F">
        <w:rPr>
          <w:rFonts w:ascii="Trebuchet MS" w:eastAsia="Times New Roman" w:hAnsi="Trebuchet MS"/>
          <w:color w:val="000000"/>
        </w:rPr>
        <w:t>l of the original dwellinghouse;</w:t>
      </w:r>
      <w:r w:rsidRPr="00B44C2F">
        <w:rPr>
          <w:rFonts w:ascii="Trebuchet MS" w:eastAsia="Times New Roman" w:hAnsi="Trebuchet MS"/>
          <w:color w:val="000000"/>
        </w:rPr>
        <w:t xml:space="preserve"> </w:t>
      </w:r>
      <w:r w:rsidR="00E159E3">
        <w:rPr>
          <w:rFonts w:ascii="Trebuchet MS" w:eastAsia="Times New Roman" w:hAnsi="Trebuchet MS"/>
          <w:b/>
          <w:color w:val="000000"/>
        </w:rPr>
        <w:t>complies</w:t>
      </w:r>
    </w:p>
    <w:p w:rsidR="00246D7F" w:rsidRPr="00E159E3" w:rsidRDefault="00246D7F"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A.2 (d) any total enlargement (being the enlarged part together with any existing enlargement of the original dwellinghouse to which it will be joined) exceeds or would exceed the limits set out in sub-paragraphs (b) and (c).</w:t>
      </w:r>
      <w:r w:rsidR="00E159E3">
        <w:rPr>
          <w:rFonts w:ascii="Trebuchet MS" w:eastAsia="Times New Roman" w:hAnsi="Trebuchet MS"/>
          <w:color w:val="000000"/>
        </w:rPr>
        <w:t xml:space="preserve"> </w:t>
      </w:r>
      <w:r w:rsidR="00E159E3">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Conditions</w:t>
      </w:r>
    </w:p>
    <w:p w:rsidR="00625504" w:rsidRPr="00B44C2F" w:rsidRDefault="00E1716B" w:rsidP="00AF3FE4">
      <w:pPr>
        <w:spacing w:line="240" w:lineRule="auto"/>
        <w:rPr>
          <w:rFonts w:ascii="Trebuchet MS" w:eastAsia="Times New Roman" w:hAnsi="Trebuchet MS"/>
          <w:color w:val="000000"/>
        </w:rPr>
      </w:pPr>
      <w:r w:rsidRPr="00B44C2F">
        <w:rPr>
          <w:rFonts w:ascii="Trebuchet MS" w:eastAsia="Times New Roman" w:hAnsi="Trebuchet MS"/>
          <w:color w:val="000000"/>
        </w:rPr>
        <w:t>Development</w:t>
      </w:r>
      <w:r w:rsidR="00625504" w:rsidRPr="00B44C2F">
        <w:rPr>
          <w:rFonts w:ascii="Trebuchet MS" w:eastAsia="Times New Roman" w:hAnsi="Trebuchet MS"/>
          <w:color w:val="000000"/>
        </w:rPr>
        <w:t xml:space="preserve"> is permitted by Class A subject to the following conditions: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 xml:space="preserve">A.3 (a) the materials used in any exterior work (other than materials used in the construction of a conservatory) must be of a similar appearance to those used in the construction of the exterior of the dwellinghouse; </w:t>
      </w:r>
      <w:r w:rsidR="00075F51" w:rsidRPr="00B44C2F">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color w:val="000000"/>
        </w:rPr>
      </w:pPr>
      <w:r w:rsidRPr="00B44C2F">
        <w:rPr>
          <w:rFonts w:ascii="Trebuchet MS" w:eastAsia="Times New Roman" w:hAnsi="Trebuchet MS"/>
          <w:color w:val="000000"/>
        </w:rPr>
        <w:t>A.3 (b) any upper-floor window located in a wall or roof slope forming a side elevation of the dwellinghouse must be (</w:t>
      </w:r>
      <w:proofErr w:type="spellStart"/>
      <w:r w:rsidRPr="00B44C2F">
        <w:rPr>
          <w:rFonts w:ascii="Trebuchet MS" w:eastAsia="Times New Roman" w:hAnsi="Trebuchet MS"/>
          <w:color w:val="000000"/>
        </w:rPr>
        <w:t>i</w:t>
      </w:r>
      <w:proofErr w:type="spellEnd"/>
      <w:r w:rsidRPr="00B44C2F">
        <w:rPr>
          <w:rFonts w:ascii="Trebuchet MS" w:eastAsia="Times New Roman" w:hAnsi="Trebuchet MS"/>
          <w:color w:val="000000"/>
        </w:rPr>
        <w:t xml:space="preserve">) obscure-glazed, </w:t>
      </w:r>
      <w:r w:rsidR="00E159E3">
        <w:rPr>
          <w:rFonts w:ascii="Trebuchet MS" w:eastAsia="Times New Roman" w:hAnsi="Trebuchet MS"/>
          <w:b/>
          <w:color w:val="000000"/>
        </w:rPr>
        <w:t>complies</w:t>
      </w:r>
      <w:r w:rsidR="00075F51" w:rsidRPr="00B44C2F">
        <w:rPr>
          <w:rFonts w:ascii="Trebuchet MS" w:eastAsia="Times New Roman" w:hAnsi="Trebuchet MS"/>
          <w:b/>
          <w:color w:val="000000"/>
        </w:rPr>
        <w:t xml:space="preserve"> </w:t>
      </w:r>
      <w:r w:rsidRPr="00B44C2F">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E159E3">
        <w:rPr>
          <w:rFonts w:ascii="Trebuchet MS" w:eastAsia="Times New Roman" w:hAnsi="Trebuchet MS"/>
          <w:b/>
          <w:color w:val="000000"/>
        </w:rPr>
        <w:t>complies</w:t>
      </w:r>
      <w:r w:rsidRPr="00B44C2F">
        <w:rPr>
          <w:rFonts w:ascii="Trebuchet MS" w:eastAsia="Times New Roman" w:hAnsi="Trebuchet MS"/>
          <w:color w:val="000000"/>
        </w:rPr>
        <w:t xml:space="preserve"> and</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color w:val="000000"/>
        </w:rPr>
        <w:t xml:space="preserve">A.3 (c) where the enlarged part of the dwellinghouse has more than a single storey, </w:t>
      </w:r>
      <w:r w:rsidR="00246D7F" w:rsidRPr="00B44C2F">
        <w:rPr>
          <w:rFonts w:ascii="Trebuchet MS" w:eastAsia="Times New Roman" w:hAnsi="Trebuchet MS"/>
          <w:color w:val="000000"/>
        </w:rPr>
        <w:t xml:space="preserve">or forms an upper storey on an existing enlargement of the original dwellinghouse, the roof </w:t>
      </w:r>
      <w:r w:rsidR="00246D7F" w:rsidRPr="00B44C2F">
        <w:rPr>
          <w:rFonts w:ascii="Trebuchet MS" w:eastAsia="Times New Roman" w:hAnsi="Trebuchet MS"/>
          <w:color w:val="000000"/>
        </w:rPr>
        <w:lastRenderedPageBreak/>
        <w:t>pitch of the enlarged part must, so far as practicable, be the same as the roof pitch</w:t>
      </w:r>
      <w:r w:rsidR="0041701F" w:rsidRPr="00B44C2F">
        <w:rPr>
          <w:rFonts w:ascii="Trebuchet MS" w:eastAsia="Times New Roman" w:hAnsi="Trebuchet MS"/>
          <w:color w:val="000000"/>
        </w:rPr>
        <w:t xml:space="preserve"> of the original dwellinghouse. </w:t>
      </w:r>
      <w:r w:rsidR="00E159E3">
        <w:rPr>
          <w:rFonts w:ascii="Trebuchet MS" w:eastAsia="Times New Roman" w:hAnsi="Trebuchet MS"/>
          <w:b/>
          <w:color w:val="000000"/>
        </w:rPr>
        <w:t>complies</w:t>
      </w:r>
    </w:p>
    <w:p w:rsidR="00625504" w:rsidRPr="00B44C2F" w:rsidRDefault="00625504" w:rsidP="00AF3FE4">
      <w:pPr>
        <w:spacing w:line="240" w:lineRule="auto"/>
        <w:rPr>
          <w:rFonts w:ascii="Trebuchet MS" w:eastAsia="Times New Roman" w:hAnsi="Trebuchet MS"/>
          <w:b/>
          <w:color w:val="000000"/>
        </w:rPr>
      </w:pPr>
      <w:r w:rsidRPr="00B44C2F">
        <w:rPr>
          <w:rFonts w:ascii="Trebuchet MS" w:eastAsia="Times New Roman" w:hAnsi="Trebuchet MS"/>
          <w:b/>
          <w:color w:val="000000"/>
        </w:rPr>
        <w:t>Recommendation</w:t>
      </w:r>
    </w:p>
    <w:p w:rsidR="00E159E3" w:rsidRDefault="003A191B" w:rsidP="00E159E3">
      <w:pPr>
        <w:spacing w:line="240" w:lineRule="auto"/>
        <w:rPr>
          <w:rFonts w:ascii="Trebuchet MS" w:hAnsi="Trebuchet MS"/>
        </w:rPr>
      </w:pPr>
      <w:r w:rsidRPr="00B44C2F">
        <w:rPr>
          <w:rFonts w:ascii="Trebuchet MS" w:hAnsi="Trebuchet MS"/>
        </w:rPr>
        <w:t xml:space="preserve">The proposal has been assessed against the Town and Country Planning Act 1990 (as amended) and Class </w:t>
      </w:r>
      <w:r w:rsidR="00E159E3">
        <w:rPr>
          <w:rFonts w:ascii="Trebuchet MS" w:hAnsi="Trebuchet MS"/>
        </w:rPr>
        <w:t>A</w:t>
      </w:r>
      <w:r w:rsidRPr="00B44C2F">
        <w:rPr>
          <w:rFonts w:ascii="Trebuchet MS" w:hAnsi="Trebuchet MS"/>
        </w:rPr>
        <w:t>, Part 1, Schedule 2 of the Town and Country Planning (General Permitted Development) (England) Order 2015. It can be confi</w:t>
      </w:r>
      <w:r w:rsidR="007B63A0">
        <w:rPr>
          <w:rFonts w:ascii="Trebuchet MS" w:hAnsi="Trebuchet MS"/>
        </w:rPr>
        <w:t>rmed that the proposed development</w:t>
      </w:r>
      <w:r w:rsidRPr="00B44C2F">
        <w:rPr>
          <w:rFonts w:ascii="Trebuchet MS" w:hAnsi="Trebuchet MS"/>
        </w:rPr>
        <w:t xml:space="preserve"> would be lawful for planning purposes on the basis of the drawings received on </w:t>
      </w:r>
      <w:r w:rsidR="00E159E3">
        <w:rPr>
          <w:rFonts w:ascii="Trebuchet MS" w:hAnsi="Trebuchet MS"/>
        </w:rPr>
        <w:t>29/12/17:</w:t>
      </w:r>
    </w:p>
    <w:p w:rsidR="00E159E3" w:rsidRDefault="00E159E3" w:rsidP="00E159E3">
      <w:pPr>
        <w:spacing w:line="240" w:lineRule="auto"/>
        <w:rPr>
          <w:rFonts w:ascii="Trebuchet MS" w:hAnsi="Trebuchet MS"/>
        </w:rPr>
      </w:pPr>
      <w:r>
        <w:rPr>
          <w:rFonts w:ascii="Trebuchet MS" w:hAnsi="Trebuchet MS"/>
        </w:rPr>
        <w:t>Drawing No: StP:003 – Existing and Proposed Floor Plans</w:t>
      </w:r>
    </w:p>
    <w:p w:rsidR="00E159E3" w:rsidRDefault="00E159E3" w:rsidP="007B63A0">
      <w:pPr>
        <w:spacing w:line="240" w:lineRule="auto"/>
        <w:rPr>
          <w:rFonts w:ascii="Trebuchet MS" w:hAnsi="Trebuchet MS"/>
        </w:rPr>
      </w:pPr>
      <w:r>
        <w:rPr>
          <w:rFonts w:ascii="Trebuchet MS" w:hAnsi="Trebuchet MS"/>
        </w:rPr>
        <w:t>Drawing No: StP:005 – Proposed Elevations</w:t>
      </w:r>
    </w:p>
    <w:p w:rsidR="003A191B" w:rsidRPr="00B44C2F" w:rsidRDefault="00E159E3" w:rsidP="007B63A0">
      <w:pPr>
        <w:spacing w:line="240" w:lineRule="auto"/>
        <w:rPr>
          <w:rFonts w:ascii="Trebuchet MS" w:hAnsi="Trebuchet MS"/>
        </w:rPr>
      </w:pPr>
      <w:r>
        <w:rPr>
          <w:rFonts w:ascii="Trebuchet MS" w:hAnsi="Trebuchet MS"/>
        </w:rPr>
        <w:t>Drawing No: StP:001 – Block Plan</w:t>
      </w:r>
      <w:r w:rsidR="007B63A0">
        <w:rPr>
          <w:rFonts w:ascii="Trebuchet MS" w:hAnsi="Trebuchet MS"/>
        </w:rPr>
        <w:t xml:space="preserve"> (received 10/01/18)</w:t>
      </w:r>
    </w:p>
    <w:p w:rsidR="003A191B" w:rsidRPr="00B44C2F" w:rsidRDefault="003A191B" w:rsidP="003A191B">
      <w:pPr>
        <w:rPr>
          <w:rFonts w:ascii="Trebuchet MS" w:hAnsi="Trebuchet MS"/>
        </w:rPr>
      </w:pPr>
      <w:r w:rsidRPr="00B44C2F">
        <w:rPr>
          <w:rFonts w:ascii="Trebuchet MS" w:hAnsi="Trebuchet MS"/>
          <w:color w:val="000000"/>
        </w:rPr>
        <w:t>Sufficient evidence has been provided to demonstrate that a Certificate of Lawfulness should be granted for the proposed</w:t>
      </w:r>
      <w:r w:rsidR="007B63A0">
        <w:rPr>
          <w:rFonts w:ascii="Trebuchet MS" w:hAnsi="Trebuchet MS"/>
          <w:color w:val="000000"/>
        </w:rPr>
        <w:t xml:space="preserve"> single storey side extension</w:t>
      </w:r>
      <w:r w:rsidRPr="00B44C2F">
        <w:rPr>
          <w:rFonts w:ascii="Trebuchet MS" w:hAnsi="Trebuchet MS"/>
          <w:color w:val="000000"/>
        </w:rPr>
        <w:t xml:space="preserve">. </w:t>
      </w:r>
      <w:r w:rsidRPr="00B44C2F">
        <w:rPr>
          <w:rFonts w:ascii="Trebuchet MS" w:hAnsi="Trebuchet MS"/>
        </w:rPr>
        <w:t>Therefore the Local Planning Authority can issue the applicant with a Certificate of Lawfulness for the proposed development.</w:t>
      </w:r>
    </w:p>
    <w:p w:rsidR="00625504" w:rsidRPr="00B44C2F" w:rsidRDefault="00625504" w:rsidP="00AF3FE4">
      <w:pPr>
        <w:spacing w:line="240" w:lineRule="auto"/>
        <w:rPr>
          <w:rFonts w:ascii="Trebuchet MS" w:eastAsia="Times New Roman" w:hAnsi="Trebuchet MS"/>
          <w:b/>
        </w:rPr>
      </w:pPr>
      <w:r w:rsidRPr="00B44C2F">
        <w:rPr>
          <w:rFonts w:ascii="Trebuchet MS" w:eastAsia="Times New Roman" w:hAnsi="Trebuchet MS"/>
          <w:b/>
        </w:rPr>
        <w:t>Informatives</w:t>
      </w:r>
    </w:p>
    <w:p w:rsidR="00021541" w:rsidRPr="00B44C2F" w:rsidRDefault="00021541" w:rsidP="00AF3FE4">
      <w:pPr>
        <w:spacing w:line="240" w:lineRule="auto"/>
        <w:rPr>
          <w:rFonts w:ascii="Trebuchet MS" w:eastAsia="Times New Roman" w:hAnsi="Trebuchet MS"/>
        </w:rPr>
      </w:pPr>
      <w:r w:rsidRPr="00B44C2F">
        <w:rPr>
          <w:rFonts w:ascii="Trebuchet MS" w:eastAsia="Times New Roman" w:hAnsi="Trebuchet MS"/>
        </w:rPr>
        <w:t>Building Regulations</w:t>
      </w:r>
    </w:p>
    <w:p w:rsidR="00021541" w:rsidRPr="00B44C2F" w:rsidRDefault="00021541" w:rsidP="00AF3FE4">
      <w:pPr>
        <w:spacing w:line="240" w:lineRule="auto"/>
        <w:rPr>
          <w:rFonts w:ascii="Trebuchet MS" w:eastAsia="Times New Roman" w:hAnsi="Trebuchet MS"/>
        </w:rPr>
      </w:pPr>
      <w:r w:rsidRPr="00B44C2F">
        <w:rPr>
          <w:rFonts w:ascii="Trebuchet MS" w:eastAsia="Times New Roman" w:hAnsi="Trebuchet MS"/>
        </w:rPr>
        <w:t>Encroachment and Party Wall Act</w:t>
      </w:r>
    </w:p>
    <w:p w:rsidR="00021541" w:rsidRPr="00B44C2F" w:rsidRDefault="00021541" w:rsidP="00AF3FE4">
      <w:pPr>
        <w:spacing w:line="240" w:lineRule="auto"/>
        <w:rPr>
          <w:rFonts w:ascii="Trebuchet MS" w:eastAsia="Times New Roman" w:hAnsi="Trebuchet MS"/>
        </w:rPr>
      </w:pPr>
      <w:r w:rsidRPr="00B44C2F">
        <w:rPr>
          <w:rFonts w:ascii="Trebuchet MS" w:eastAsia="Times New Roman" w:hAnsi="Trebuchet MS"/>
        </w:rPr>
        <w:t>Construction and Demolition</w:t>
      </w:r>
    </w:p>
    <w:p w:rsidR="00021541" w:rsidRPr="00021541" w:rsidRDefault="001C7FA2" w:rsidP="00AF3FE4">
      <w:pPr>
        <w:spacing w:line="240" w:lineRule="auto"/>
        <w:rPr>
          <w:rFonts w:ascii="Trebuchet MS" w:eastAsia="Times New Roman" w:hAnsi="Trebuchet MS"/>
          <w:sz w:val="24"/>
          <w:szCs w:val="24"/>
        </w:rPr>
      </w:pPr>
      <w:r>
        <w:rPr>
          <w:noProof/>
        </w:rPr>
        <w:lastRenderedPageBreak/>
        <w:drawing>
          <wp:inline distT="0" distB="0" distL="0" distR="0" wp14:anchorId="2E92BF99" wp14:editId="2BB9B2C2">
            <wp:extent cx="5249636" cy="746855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49636" cy="7468554"/>
                    </a:xfrm>
                    <a:prstGeom prst="rect">
                      <a:avLst/>
                    </a:prstGeom>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B5E4F"/>
    <w:rsid w:val="000E5A3F"/>
    <w:rsid w:val="0014241C"/>
    <w:rsid w:val="0017663F"/>
    <w:rsid w:val="001C7FA2"/>
    <w:rsid w:val="00215C25"/>
    <w:rsid w:val="00225DA7"/>
    <w:rsid w:val="0022790B"/>
    <w:rsid w:val="002461E2"/>
    <w:rsid w:val="002469F3"/>
    <w:rsid w:val="00246D7F"/>
    <w:rsid w:val="00270CCE"/>
    <w:rsid w:val="003065BE"/>
    <w:rsid w:val="003A191B"/>
    <w:rsid w:val="003C6957"/>
    <w:rsid w:val="003D179A"/>
    <w:rsid w:val="00407804"/>
    <w:rsid w:val="0041701F"/>
    <w:rsid w:val="005B391B"/>
    <w:rsid w:val="00625504"/>
    <w:rsid w:val="006810EF"/>
    <w:rsid w:val="006A17A0"/>
    <w:rsid w:val="006A5B04"/>
    <w:rsid w:val="007B11DE"/>
    <w:rsid w:val="007B63A0"/>
    <w:rsid w:val="007F7924"/>
    <w:rsid w:val="008A59CB"/>
    <w:rsid w:val="008C16B4"/>
    <w:rsid w:val="00912B7D"/>
    <w:rsid w:val="009A3326"/>
    <w:rsid w:val="009F782D"/>
    <w:rsid w:val="009F78CC"/>
    <w:rsid w:val="00AF3FE4"/>
    <w:rsid w:val="00B44C2F"/>
    <w:rsid w:val="00B76348"/>
    <w:rsid w:val="00BC092F"/>
    <w:rsid w:val="00C22524"/>
    <w:rsid w:val="00C40D2F"/>
    <w:rsid w:val="00CF48AE"/>
    <w:rsid w:val="00D330DE"/>
    <w:rsid w:val="00D8485F"/>
    <w:rsid w:val="00E159E3"/>
    <w:rsid w:val="00E1716B"/>
    <w:rsid w:val="00E302F2"/>
    <w:rsid w:val="00FA4A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81957D0</Template>
  <TotalTime>80</TotalTime>
  <Pages>6</Pages>
  <Words>1905</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2018-03-27T15:44:00Z</dcterms:created>
  <dcterms:modified xsi:type="dcterms:W3CDTF">2018-03-28T11:50:00Z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