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2AE" w:rsidRPr="000B02AE" w:rsidRDefault="00332A73" w:rsidP="000B02AE">
      <w:pPr>
        <w:rPr>
          <w:rFonts w:cstheme="minorHAnsi"/>
          <w:sz w:val="20"/>
          <w:szCs w:val="20"/>
        </w:rPr>
      </w:pPr>
      <w:r w:rsidRPr="00332A73">
        <w:rPr>
          <w:rFonts w:cstheme="minorHAnsi"/>
          <w:b/>
          <w:sz w:val="20"/>
          <w:szCs w:val="20"/>
          <w:u w:val="single"/>
        </w:rPr>
        <w:t xml:space="preserve">Heritage Statement – The Waterhouse, 7-9 </w:t>
      </w:r>
      <w:proofErr w:type="spellStart"/>
      <w:r w:rsidRPr="00332A73">
        <w:rPr>
          <w:rFonts w:cstheme="minorHAnsi"/>
          <w:b/>
          <w:sz w:val="20"/>
          <w:szCs w:val="20"/>
          <w:u w:val="single"/>
        </w:rPr>
        <w:t>Gosbrook</w:t>
      </w:r>
      <w:proofErr w:type="spellEnd"/>
      <w:r w:rsidRPr="00332A73">
        <w:rPr>
          <w:rFonts w:cstheme="minorHAnsi"/>
          <w:b/>
          <w:sz w:val="20"/>
          <w:szCs w:val="20"/>
          <w:u w:val="single"/>
        </w:rPr>
        <w:t xml:space="preserve"> Road</w:t>
      </w:r>
      <w:r>
        <w:rPr>
          <w:rFonts w:cstheme="minorHAnsi"/>
          <w:sz w:val="20"/>
          <w:szCs w:val="20"/>
          <w:u w:val="single"/>
        </w:rPr>
        <w:br/>
      </w:r>
      <w:r>
        <w:rPr>
          <w:rFonts w:cstheme="minorHAnsi"/>
          <w:sz w:val="20"/>
          <w:szCs w:val="20"/>
          <w:u w:val="single"/>
        </w:rPr>
        <w:br/>
      </w:r>
      <w:r w:rsidR="00D25E68">
        <w:rPr>
          <w:rFonts w:cstheme="minorHAnsi"/>
          <w:b/>
          <w:sz w:val="20"/>
          <w:szCs w:val="20"/>
        </w:rPr>
        <w:t>1.</w:t>
      </w:r>
      <w:r w:rsidR="00D25E68">
        <w:rPr>
          <w:rFonts w:cstheme="minorHAnsi"/>
          <w:b/>
          <w:sz w:val="20"/>
          <w:szCs w:val="20"/>
        </w:rPr>
        <w:tab/>
      </w:r>
      <w:r w:rsidRPr="000B02AE">
        <w:rPr>
          <w:rFonts w:cstheme="minorHAnsi"/>
          <w:b/>
          <w:sz w:val="20"/>
          <w:szCs w:val="20"/>
        </w:rPr>
        <w:t xml:space="preserve">Introduction </w:t>
      </w:r>
      <w:r>
        <w:rPr>
          <w:rFonts w:cstheme="minorHAnsi"/>
          <w:sz w:val="20"/>
          <w:szCs w:val="20"/>
          <w:u w:val="single"/>
        </w:rPr>
        <w:br/>
      </w:r>
      <w:r>
        <w:rPr>
          <w:rFonts w:cstheme="minorHAnsi"/>
          <w:sz w:val="20"/>
          <w:szCs w:val="20"/>
          <w:u w:val="single"/>
        </w:rPr>
        <w:br/>
      </w:r>
      <w:r w:rsidRPr="000B02AE">
        <w:rPr>
          <w:rFonts w:cstheme="minorHAnsi"/>
          <w:sz w:val="20"/>
          <w:szCs w:val="20"/>
        </w:rPr>
        <w:t xml:space="preserve">This Heritage Statement supports Planning Application </w:t>
      </w:r>
      <w:r w:rsidR="000B02AE" w:rsidRPr="000B02AE">
        <w:rPr>
          <w:rFonts w:cstheme="minorHAnsi"/>
          <w:sz w:val="20"/>
          <w:szCs w:val="20"/>
        </w:rPr>
        <w:t xml:space="preserve">reference </w:t>
      </w:r>
      <w:r w:rsidR="000B02AE" w:rsidRPr="000B02AE">
        <w:rPr>
          <w:rFonts w:cstheme="minorHAnsi"/>
          <w:sz w:val="20"/>
          <w:szCs w:val="20"/>
        </w:rPr>
        <w:t>PP-06770300</w:t>
      </w:r>
      <w:r w:rsidR="000B02AE">
        <w:rPr>
          <w:rFonts w:cstheme="minorHAnsi"/>
          <w:sz w:val="20"/>
          <w:szCs w:val="20"/>
        </w:rPr>
        <w:t xml:space="preserve"> relating to the </w:t>
      </w:r>
      <w:r w:rsidR="000B02AE" w:rsidRPr="000B02AE">
        <w:rPr>
          <w:rFonts w:cstheme="minorHAnsi"/>
          <w:sz w:val="20"/>
          <w:szCs w:val="20"/>
        </w:rPr>
        <w:t xml:space="preserve">erection of an internal light weight stud partition wall to form a bedroom space together with an additional doorway in the bathroom at Flat 1, 7-9 </w:t>
      </w:r>
      <w:proofErr w:type="spellStart"/>
      <w:r w:rsidR="000B02AE" w:rsidRPr="000B02AE">
        <w:rPr>
          <w:rFonts w:cstheme="minorHAnsi"/>
          <w:sz w:val="20"/>
          <w:szCs w:val="20"/>
        </w:rPr>
        <w:t>Gosbrook</w:t>
      </w:r>
      <w:proofErr w:type="spellEnd"/>
      <w:r w:rsidR="000B02AE" w:rsidRPr="000B02AE">
        <w:rPr>
          <w:rFonts w:cstheme="minorHAnsi"/>
          <w:sz w:val="20"/>
          <w:szCs w:val="20"/>
        </w:rPr>
        <w:t xml:space="preserve"> Road, </w:t>
      </w:r>
      <w:proofErr w:type="spellStart"/>
      <w:r w:rsidR="000B02AE" w:rsidRPr="000B02AE">
        <w:rPr>
          <w:rFonts w:cstheme="minorHAnsi"/>
          <w:sz w:val="20"/>
          <w:szCs w:val="20"/>
        </w:rPr>
        <w:t>Caversham</w:t>
      </w:r>
      <w:proofErr w:type="spellEnd"/>
      <w:r w:rsidR="000B02AE" w:rsidRPr="000B02AE">
        <w:rPr>
          <w:rFonts w:cstheme="minorHAnsi"/>
          <w:sz w:val="20"/>
          <w:szCs w:val="20"/>
        </w:rPr>
        <w:t xml:space="preserve"> (‘the Site’).</w:t>
      </w:r>
      <w:r>
        <w:rPr>
          <w:rFonts w:cstheme="minorHAnsi"/>
          <w:sz w:val="20"/>
          <w:szCs w:val="20"/>
          <w:u w:val="single"/>
        </w:rPr>
        <w:br/>
      </w:r>
      <w:r>
        <w:rPr>
          <w:rFonts w:cstheme="minorHAnsi"/>
          <w:sz w:val="20"/>
          <w:szCs w:val="20"/>
          <w:u w:val="single"/>
        </w:rPr>
        <w:br/>
      </w:r>
      <w:r w:rsidR="00D25E68">
        <w:rPr>
          <w:rFonts w:cstheme="minorHAnsi"/>
          <w:b/>
          <w:sz w:val="20"/>
          <w:szCs w:val="20"/>
        </w:rPr>
        <w:t>2.</w:t>
      </w:r>
      <w:r w:rsidR="00D25E68">
        <w:rPr>
          <w:rFonts w:cstheme="minorHAnsi"/>
          <w:b/>
          <w:sz w:val="20"/>
          <w:szCs w:val="20"/>
        </w:rPr>
        <w:tab/>
      </w:r>
      <w:r w:rsidRPr="000B02AE">
        <w:rPr>
          <w:rFonts w:cstheme="minorHAnsi"/>
          <w:b/>
          <w:sz w:val="20"/>
          <w:szCs w:val="20"/>
        </w:rPr>
        <w:t>Hist</w:t>
      </w:r>
      <w:r w:rsidR="00D25E68">
        <w:rPr>
          <w:rFonts w:cstheme="minorHAnsi"/>
          <w:b/>
          <w:sz w:val="20"/>
          <w:szCs w:val="20"/>
        </w:rPr>
        <w:t xml:space="preserve">ory, Character and Significance </w:t>
      </w:r>
      <w:r w:rsidRPr="000B02AE">
        <w:rPr>
          <w:rFonts w:cstheme="minorHAnsi"/>
          <w:b/>
          <w:sz w:val="20"/>
          <w:szCs w:val="20"/>
        </w:rPr>
        <w:t>of the Building</w:t>
      </w:r>
      <w:r>
        <w:rPr>
          <w:rFonts w:cstheme="minorHAnsi"/>
          <w:sz w:val="20"/>
          <w:szCs w:val="20"/>
          <w:u w:val="single"/>
        </w:rPr>
        <w:t xml:space="preserve"> </w:t>
      </w:r>
      <w:r w:rsidR="000B02AE">
        <w:rPr>
          <w:rFonts w:cstheme="minorHAnsi"/>
          <w:sz w:val="20"/>
          <w:szCs w:val="20"/>
          <w:u w:val="single"/>
        </w:rPr>
        <w:br/>
      </w:r>
      <w:r w:rsidR="000B02AE">
        <w:rPr>
          <w:rFonts w:cstheme="minorHAnsi"/>
          <w:sz w:val="20"/>
          <w:szCs w:val="20"/>
          <w:u w:val="single"/>
        </w:rPr>
        <w:br/>
      </w:r>
      <w:r w:rsidR="00CD5ACB" w:rsidRPr="00CD5ACB">
        <w:rPr>
          <w:rFonts w:cstheme="minorHAnsi"/>
          <w:sz w:val="20"/>
          <w:szCs w:val="20"/>
        </w:rPr>
        <w:t>2.1</w:t>
      </w:r>
      <w:r w:rsidR="00CD5ACB" w:rsidRPr="00CD5ACB">
        <w:rPr>
          <w:rFonts w:cstheme="minorHAnsi"/>
          <w:sz w:val="20"/>
          <w:szCs w:val="20"/>
        </w:rPr>
        <w:tab/>
      </w:r>
      <w:r w:rsidR="000B02AE">
        <w:rPr>
          <w:rFonts w:cstheme="minorHAnsi"/>
          <w:sz w:val="20"/>
          <w:szCs w:val="20"/>
          <w:u w:val="single"/>
        </w:rPr>
        <w:t xml:space="preserve">The Waterhouse (formerly the West Memorial Hall) </w:t>
      </w:r>
      <w:r w:rsidR="000B02AE">
        <w:rPr>
          <w:rFonts w:cstheme="minorHAnsi"/>
          <w:sz w:val="20"/>
          <w:szCs w:val="20"/>
          <w:u w:val="single"/>
        </w:rPr>
        <w:br/>
      </w:r>
      <w:r w:rsidR="00CD5ACB">
        <w:rPr>
          <w:rFonts w:cstheme="minorHAnsi"/>
          <w:i/>
          <w:sz w:val="20"/>
          <w:szCs w:val="20"/>
        </w:rPr>
        <w:tab/>
        <w:t>Image</w:t>
      </w:r>
      <w:r w:rsidR="000B02AE">
        <w:rPr>
          <w:rFonts w:cstheme="minorHAnsi"/>
          <w:i/>
          <w:sz w:val="20"/>
          <w:szCs w:val="20"/>
        </w:rPr>
        <w:br/>
      </w:r>
      <w:r w:rsidR="000B02AE">
        <w:rPr>
          <w:rFonts w:cstheme="minorHAnsi"/>
          <w:i/>
          <w:sz w:val="20"/>
          <w:szCs w:val="20"/>
        </w:rPr>
        <w:br/>
      </w:r>
      <w:r w:rsidR="000B02AE">
        <w:rPr>
          <w:rFonts w:ascii="Arial" w:hAnsi="Arial" w:cs="Arial"/>
          <w:noProof/>
          <w:color w:val="0000FF"/>
          <w:sz w:val="27"/>
          <w:szCs w:val="27"/>
          <w:lang w:eastAsia="en-GB"/>
        </w:rPr>
        <w:drawing>
          <wp:inline distT="0" distB="0" distL="0" distR="0" wp14:anchorId="3065A428" wp14:editId="7A8E391A">
            <wp:extent cx="5229225" cy="3486150"/>
            <wp:effectExtent l="0" t="0" r="9525" b="0"/>
            <wp:docPr id="1" name="Picture 1" descr="Image result for the waterhouse caversham">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he waterhouse caversham">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29225" cy="3486150"/>
                    </a:xfrm>
                    <a:prstGeom prst="rect">
                      <a:avLst/>
                    </a:prstGeom>
                    <a:noFill/>
                    <a:ln>
                      <a:noFill/>
                    </a:ln>
                  </pic:spPr>
                </pic:pic>
              </a:graphicData>
            </a:graphic>
          </wp:inline>
        </w:drawing>
      </w:r>
      <w:r w:rsidR="000B02AE">
        <w:rPr>
          <w:rFonts w:cstheme="minorHAnsi"/>
          <w:i/>
          <w:sz w:val="20"/>
          <w:szCs w:val="20"/>
        </w:rPr>
        <w:br/>
      </w:r>
      <w:r w:rsidR="000B02AE">
        <w:rPr>
          <w:rFonts w:cstheme="minorHAnsi"/>
          <w:i/>
          <w:sz w:val="20"/>
          <w:szCs w:val="20"/>
        </w:rPr>
        <w:br/>
      </w:r>
      <w:r w:rsidR="000B02AE" w:rsidRPr="000B02AE">
        <w:rPr>
          <w:rFonts w:cstheme="minorHAnsi"/>
          <w:sz w:val="20"/>
          <w:szCs w:val="20"/>
        </w:rPr>
        <w:br/>
      </w:r>
      <w:r w:rsidR="000B02AE" w:rsidRPr="000B02AE">
        <w:rPr>
          <w:rFonts w:cstheme="minorHAnsi"/>
          <w:sz w:val="20"/>
          <w:szCs w:val="20"/>
        </w:rPr>
        <w:t xml:space="preserve">The West memorial hall was listed in 1978 as GII being considered a nationally important building of special interest.  It is located to the south side of </w:t>
      </w:r>
      <w:proofErr w:type="spellStart"/>
      <w:r w:rsidR="000B02AE" w:rsidRPr="000B02AE">
        <w:rPr>
          <w:rFonts w:cstheme="minorHAnsi"/>
          <w:sz w:val="20"/>
          <w:szCs w:val="20"/>
        </w:rPr>
        <w:t>Gosbrook</w:t>
      </w:r>
      <w:proofErr w:type="spellEnd"/>
      <w:r w:rsidR="000B02AE" w:rsidRPr="000B02AE">
        <w:rPr>
          <w:rFonts w:cstheme="minorHAnsi"/>
          <w:sz w:val="20"/>
          <w:szCs w:val="20"/>
        </w:rPr>
        <w:t xml:space="preserve"> Road, to the east of the Site and almost opposite </w:t>
      </w:r>
      <w:proofErr w:type="spellStart"/>
      <w:r w:rsidR="000B02AE" w:rsidRPr="000B02AE">
        <w:rPr>
          <w:rFonts w:cstheme="minorHAnsi"/>
          <w:sz w:val="20"/>
          <w:szCs w:val="20"/>
        </w:rPr>
        <w:t>Caversham</w:t>
      </w:r>
      <w:proofErr w:type="spellEnd"/>
      <w:r w:rsidR="000B02AE" w:rsidRPr="000B02AE">
        <w:rPr>
          <w:rFonts w:cstheme="minorHAnsi"/>
          <w:sz w:val="20"/>
          <w:szCs w:val="20"/>
        </w:rPr>
        <w:t xml:space="preserve"> Baptist Free Church.  The building is now identified as “The Waterhouse”. </w:t>
      </w:r>
    </w:p>
    <w:p w:rsidR="000B02AE" w:rsidRPr="000B02AE" w:rsidRDefault="000B02AE" w:rsidP="000B02AE">
      <w:pPr>
        <w:rPr>
          <w:rFonts w:cstheme="minorHAnsi"/>
          <w:sz w:val="20"/>
          <w:szCs w:val="20"/>
        </w:rPr>
      </w:pPr>
      <w:r w:rsidRPr="000B02AE">
        <w:rPr>
          <w:rFonts w:cstheme="minorHAnsi"/>
          <w:sz w:val="20"/>
          <w:szCs w:val="20"/>
        </w:rPr>
        <w:br/>
        <w:t xml:space="preserve">The list entry advises: </w:t>
      </w:r>
    </w:p>
    <w:p w:rsidR="000B02AE" w:rsidRPr="000B02AE" w:rsidRDefault="000B02AE" w:rsidP="000B02AE">
      <w:pPr>
        <w:rPr>
          <w:rFonts w:cstheme="minorHAnsi"/>
          <w:i/>
          <w:sz w:val="20"/>
          <w:szCs w:val="20"/>
        </w:rPr>
      </w:pPr>
      <w:proofErr w:type="gramStart"/>
      <w:r w:rsidRPr="000B02AE">
        <w:rPr>
          <w:rFonts w:cstheme="minorHAnsi"/>
          <w:i/>
          <w:sz w:val="20"/>
          <w:szCs w:val="20"/>
        </w:rPr>
        <w:t>“1865-66 by Alfred Waterhouse.</w:t>
      </w:r>
      <w:proofErr w:type="gramEnd"/>
      <w:r w:rsidRPr="000B02AE">
        <w:rPr>
          <w:rFonts w:cstheme="minorHAnsi"/>
          <w:i/>
          <w:sz w:val="20"/>
          <w:szCs w:val="20"/>
        </w:rPr>
        <w:t xml:space="preserve"> </w:t>
      </w:r>
      <w:proofErr w:type="gramStart"/>
      <w:r w:rsidRPr="000B02AE">
        <w:rPr>
          <w:rFonts w:cstheme="minorHAnsi"/>
          <w:i/>
          <w:sz w:val="20"/>
          <w:szCs w:val="20"/>
        </w:rPr>
        <w:t>Gothic.</w:t>
      </w:r>
      <w:proofErr w:type="gramEnd"/>
      <w:r w:rsidRPr="000B02AE">
        <w:rPr>
          <w:rFonts w:cstheme="minorHAnsi"/>
          <w:i/>
          <w:sz w:val="20"/>
          <w:szCs w:val="20"/>
        </w:rPr>
        <w:t xml:space="preserve"> Red brick former Baptist Free Church, gable end to street. </w:t>
      </w:r>
      <w:proofErr w:type="gramStart"/>
      <w:r w:rsidRPr="000B02AE">
        <w:rPr>
          <w:rFonts w:cstheme="minorHAnsi"/>
          <w:i/>
          <w:sz w:val="20"/>
          <w:szCs w:val="20"/>
        </w:rPr>
        <w:t>Stone plinth and dressings.</w:t>
      </w:r>
      <w:proofErr w:type="gramEnd"/>
      <w:r w:rsidRPr="000B02AE">
        <w:rPr>
          <w:rFonts w:cstheme="minorHAnsi"/>
          <w:i/>
          <w:sz w:val="20"/>
          <w:szCs w:val="20"/>
        </w:rPr>
        <w:t xml:space="preserve"> </w:t>
      </w:r>
      <w:proofErr w:type="gramStart"/>
      <w:r w:rsidRPr="000B02AE">
        <w:rPr>
          <w:rFonts w:cstheme="minorHAnsi"/>
          <w:i/>
          <w:sz w:val="20"/>
          <w:szCs w:val="20"/>
        </w:rPr>
        <w:t>Banded tile roof.</w:t>
      </w:r>
      <w:proofErr w:type="gramEnd"/>
      <w:r w:rsidRPr="000B02AE">
        <w:rPr>
          <w:rFonts w:cstheme="minorHAnsi"/>
          <w:i/>
          <w:sz w:val="20"/>
          <w:szCs w:val="20"/>
        </w:rPr>
        <w:t xml:space="preserve"> Blue brick bands in gable above and below rose window. </w:t>
      </w:r>
      <w:proofErr w:type="gramStart"/>
      <w:r w:rsidRPr="000B02AE">
        <w:rPr>
          <w:rFonts w:cstheme="minorHAnsi"/>
          <w:i/>
          <w:sz w:val="20"/>
          <w:szCs w:val="20"/>
        </w:rPr>
        <w:t>Tumbled brick in chimney to south gable.</w:t>
      </w:r>
      <w:proofErr w:type="gramEnd"/>
      <w:r w:rsidRPr="000B02AE">
        <w:rPr>
          <w:rFonts w:cstheme="minorHAnsi"/>
          <w:i/>
          <w:sz w:val="20"/>
          <w:szCs w:val="20"/>
        </w:rPr>
        <w:t xml:space="preserve"> Blue and red brick herring bone work in tympanum over pair of lancets to left. The main feature is the right hand bay - this has a hipped rectangular stair turret to gallery with external stairs on quadrant wall to base. 4 bay side wall to west with arched passage below buttresses, cogged eaves cornice, paired lancets, except to 1/2 dormer to north. </w:t>
      </w:r>
      <w:proofErr w:type="gramStart"/>
      <w:r w:rsidRPr="000B02AE">
        <w:rPr>
          <w:rFonts w:cstheme="minorHAnsi"/>
          <w:i/>
          <w:sz w:val="20"/>
          <w:szCs w:val="20"/>
        </w:rPr>
        <w:t>1911 extension to east with central gable, echoes style of north gable.</w:t>
      </w:r>
      <w:proofErr w:type="gramEnd"/>
      <w:r w:rsidRPr="000B02AE">
        <w:rPr>
          <w:rFonts w:cstheme="minorHAnsi"/>
          <w:i/>
          <w:sz w:val="20"/>
          <w:szCs w:val="20"/>
        </w:rPr>
        <w:t xml:space="preserve"> Interior rearranged. </w:t>
      </w:r>
      <w:proofErr w:type="gramStart"/>
      <w:r w:rsidRPr="000B02AE">
        <w:rPr>
          <w:rFonts w:cstheme="minorHAnsi"/>
          <w:i/>
          <w:sz w:val="20"/>
          <w:szCs w:val="20"/>
        </w:rPr>
        <w:t>An interesting display of materials.”</w:t>
      </w:r>
      <w:proofErr w:type="gramEnd"/>
      <w:r w:rsidRPr="000B02AE">
        <w:rPr>
          <w:rFonts w:cstheme="minorHAnsi"/>
          <w:i/>
          <w:sz w:val="20"/>
          <w:szCs w:val="20"/>
        </w:rPr>
        <w:t xml:space="preserve">  </w:t>
      </w:r>
    </w:p>
    <w:p w:rsidR="000B02AE" w:rsidRPr="000B02AE" w:rsidRDefault="000B02AE" w:rsidP="000B02AE">
      <w:pPr>
        <w:rPr>
          <w:rFonts w:cstheme="minorHAnsi"/>
          <w:sz w:val="20"/>
          <w:szCs w:val="20"/>
        </w:rPr>
      </w:pPr>
      <w:r w:rsidRPr="000B02AE">
        <w:rPr>
          <w:rFonts w:cstheme="minorHAnsi"/>
          <w:sz w:val="20"/>
          <w:szCs w:val="20"/>
        </w:rPr>
        <w:t xml:space="preserve"> </w:t>
      </w:r>
    </w:p>
    <w:p w:rsidR="000B02AE" w:rsidRPr="000B02AE" w:rsidRDefault="000B02AE" w:rsidP="000B02AE">
      <w:pPr>
        <w:rPr>
          <w:rFonts w:cstheme="minorHAnsi"/>
          <w:sz w:val="20"/>
          <w:szCs w:val="20"/>
        </w:rPr>
      </w:pPr>
      <w:r w:rsidRPr="000B02AE">
        <w:rPr>
          <w:rFonts w:cstheme="minorHAnsi"/>
          <w:sz w:val="20"/>
          <w:szCs w:val="20"/>
        </w:rPr>
        <w:lastRenderedPageBreak/>
        <w:t xml:space="preserve">The front (north) elevation is in red facing brickwork with some bands of contrasting brickwork, with a projecting, gabled entrance and arched doorway, and small hipped roofed projection to the northwest corner with high level door and external steps.  There is a modest stone circular “rose” window within the elevation comprising a small circular centre light encircled by five larger circular lights.  This feature was recreated with some modifications within the north elevation of the subsequent Church. </w:t>
      </w:r>
    </w:p>
    <w:p w:rsidR="000B02AE" w:rsidRPr="000B02AE" w:rsidRDefault="000B02AE" w:rsidP="000B02AE">
      <w:pPr>
        <w:rPr>
          <w:rFonts w:cstheme="minorHAnsi"/>
          <w:sz w:val="20"/>
          <w:szCs w:val="20"/>
        </w:rPr>
      </w:pPr>
      <w:r w:rsidRPr="000B02AE">
        <w:rPr>
          <w:rFonts w:cstheme="minorHAnsi"/>
          <w:sz w:val="20"/>
          <w:szCs w:val="20"/>
        </w:rPr>
        <w:t xml:space="preserve">Windows are generally simple timber double hung sashes within brick reveals with stone lintels.  A brick relieving arch over the two ground floor windows to the north is infilled with tumbling contrasting brickwork. </w:t>
      </w:r>
    </w:p>
    <w:p w:rsidR="000B02AE" w:rsidRPr="000B02AE" w:rsidRDefault="000B02AE" w:rsidP="000B02AE">
      <w:pPr>
        <w:rPr>
          <w:rFonts w:cstheme="minorHAnsi"/>
          <w:sz w:val="20"/>
          <w:szCs w:val="20"/>
        </w:rPr>
      </w:pPr>
      <w:r w:rsidRPr="000B02AE">
        <w:rPr>
          <w:rFonts w:cstheme="minorHAnsi"/>
          <w:sz w:val="20"/>
          <w:szCs w:val="20"/>
        </w:rPr>
        <w:t xml:space="preserve">The side elevations are supported by brick buttresses designed to “fly” over a ground level access pathway with brick pointed arched heads.  As recorded in the list entry the building was extended to the north in 1911 with a rectangular addition having steeply pitched roof, and matching external features. </w:t>
      </w:r>
    </w:p>
    <w:p w:rsidR="00BE5FB6" w:rsidRDefault="000B02AE" w:rsidP="00CD5ACB">
      <w:pPr>
        <w:rPr>
          <w:rFonts w:cstheme="minorHAnsi"/>
          <w:sz w:val="20"/>
          <w:szCs w:val="20"/>
        </w:rPr>
      </w:pPr>
      <w:r w:rsidRPr="000B02AE">
        <w:rPr>
          <w:rFonts w:cstheme="minorHAnsi"/>
          <w:sz w:val="20"/>
          <w:szCs w:val="20"/>
        </w:rPr>
        <w:t>The building is enclosed to the west by a small two storey residential building and to the east by modern residential dwellings.</w:t>
      </w:r>
      <w:r>
        <w:rPr>
          <w:rFonts w:cstheme="minorHAnsi"/>
          <w:sz w:val="20"/>
          <w:szCs w:val="20"/>
        </w:rPr>
        <w:br/>
      </w:r>
      <w:r>
        <w:rPr>
          <w:rFonts w:cstheme="minorHAnsi"/>
          <w:sz w:val="20"/>
          <w:szCs w:val="20"/>
        </w:rPr>
        <w:br/>
      </w:r>
      <w:r w:rsidRPr="000B02AE">
        <w:rPr>
          <w:rFonts w:cstheme="minorHAnsi"/>
          <w:sz w:val="20"/>
          <w:szCs w:val="20"/>
        </w:rPr>
        <w:t>GII Listed Buildings with such aesthetic qualities wou</w:t>
      </w:r>
      <w:r>
        <w:rPr>
          <w:rFonts w:cstheme="minorHAnsi"/>
          <w:sz w:val="20"/>
          <w:szCs w:val="20"/>
        </w:rPr>
        <w:t xml:space="preserve">ld be sufficient to establish an ordinary </w:t>
      </w:r>
      <w:r w:rsidRPr="000B02AE">
        <w:rPr>
          <w:rFonts w:cstheme="minorHAnsi"/>
          <w:sz w:val="20"/>
          <w:szCs w:val="20"/>
        </w:rPr>
        <w:t>level</w:t>
      </w:r>
      <w:r>
        <w:rPr>
          <w:rFonts w:cstheme="minorHAnsi"/>
          <w:sz w:val="20"/>
          <w:szCs w:val="20"/>
        </w:rPr>
        <w:t xml:space="preserve"> of significance but its connection </w:t>
      </w:r>
      <w:r w:rsidRPr="000B02AE">
        <w:rPr>
          <w:rFonts w:cstheme="minorHAnsi"/>
          <w:sz w:val="20"/>
          <w:szCs w:val="20"/>
        </w:rPr>
        <w:t>with Alfred Waterhouse increases its significance</w:t>
      </w:r>
      <w:r>
        <w:rPr>
          <w:rFonts w:cstheme="minorHAnsi"/>
          <w:sz w:val="20"/>
          <w:szCs w:val="20"/>
        </w:rPr>
        <w:t xml:space="preserve">. </w:t>
      </w:r>
      <w:r w:rsidR="00332A73" w:rsidRPr="000B02AE">
        <w:rPr>
          <w:rFonts w:cstheme="minorHAnsi"/>
          <w:sz w:val="20"/>
          <w:szCs w:val="20"/>
        </w:rPr>
        <w:br/>
      </w:r>
      <w:r w:rsidR="00332A73">
        <w:rPr>
          <w:rFonts w:cstheme="minorHAnsi"/>
          <w:sz w:val="20"/>
          <w:szCs w:val="20"/>
          <w:u w:val="single"/>
        </w:rPr>
        <w:br/>
      </w:r>
      <w:r w:rsidR="00D25E68">
        <w:rPr>
          <w:rFonts w:cstheme="minorHAnsi"/>
          <w:b/>
          <w:sz w:val="20"/>
          <w:szCs w:val="20"/>
        </w:rPr>
        <w:t>3.</w:t>
      </w:r>
      <w:r w:rsidR="00D25E68">
        <w:rPr>
          <w:rFonts w:cstheme="minorHAnsi"/>
          <w:b/>
          <w:sz w:val="20"/>
          <w:szCs w:val="20"/>
        </w:rPr>
        <w:tab/>
      </w:r>
      <w:r w:rsidR="00332A73" w:rsidRPr="000B02AE">
        <w:rPr>
          <w:rFonts w:cstheme="minorHAnsi"/>
          <w:b/>
          <w:sz w:val="20"/>
          <w:szCs w:val="20"/>
        </w:rPr>
        <w:t xml:space="preserve">Nature and Extent of the Proposed Development </w:t>
      </w:r>
      <w:r w:rsidR="006A1669">
        <w:rPr>
          <w:rFonts w:cstheme="minorHAnsi"/>
          <w:b/>
          <w:sz w:val="20"/>
          <w:szCs w:val="20"/>
        </w:rPr>
        <w:br/>
      </w:r>
      <w:r w:rsidR="006A1669">
        <w:rPr>
          <w:rFonts w:cstheme="minorHAnsi"/>
          <w:b/>
          <w:sz w:val="20"/>
          <w:szCs w:val="20"/>
        </w:rPr>
        <w:br/>
      </w:r>
      <w:r w:rsidR="006A1669">
        <w:rPr>
          <w:rFonts w:cstheme="minorHAnsi"/>
          <w:sz w:val="20"/>
          <w:szCs w:val="20"/>
        </w:rPr>
        <w:t>The works relate to the e</w:t>
      </w:r>
      <w:r w:rsidR="006A1669" w:rsidRPr="006A1669">
        <w:rPr>
          <w:rFonts w:cstheme="minorHAnsi"/>
          <w:sz w:val="20"/>
          <w:szCs w:val="20"/>
        </w:rPr>
        <w:t>rection of internal light weight stud partition wall to form a bedroom space together with an additional doorway in the bathroom.</w:t>
      </w:r>
      <w:r w:rsidR="006A1669">
        <w:rPr>
          <w:rFonts w:cstheme="minorHAnsi"/>
          <w:sz w:val="20"/>
          <w:szCs w:val="20"/>
        </w:rPr>
        <w:br/>
      </w:r>
      <w:r w:rsidR="006A1669">
        <w:rPr>
          <w:rFonts w:cstheme="minorHAnsi"/>
          <w:sz w:val="20"/>
          <w:szCs w:val="20"/>
        </w:rPr>
        <w:br/>
      </w:r>
      <w:r w:rsidR="00CD5ACB">
        <w:rPr>
          <w:rFonts w:cstheme="minorHAnsi"/>
          <w:sz w:val="20"/>
          <w:szCs w:val="20"/>
        </w:rPr>
        <w:t>3.1</w:t>
      </w:r>
      <w:r w:rsidR="00CD5ACB">
        <w:rPr>
          <w:rFonts w:cstheme="minorHAnsi"/>
          <w:sz w:val="20"/>
          <w:szCs w:val="20"/>
        </w:rPr>
        <w:tab/>
      </w:r>
      <w:r w:rsidR="006A1669">
        <w:rPr>
          <w:rFonts w:cstheme="minorHAnsi"/>
          <w:sz w:val="20"/>
          <w:szCs w:val="20"/>
          <w:u w:val="single"/>
        </w:rPr>
        <w:t>The Proposed Works</w:t>
      </w:r>
      <w:r w:rsidR="006A1669">
        <w:rPr>
          <w:rFonts w:cstheme="minorHAnsi"/>
          <w:sz w:val="20"/>
          <w:szCs w:val="20"/>
          <w:u w:val="single"/>
        </w:rPr>
        <w:br/>
      </w:r>
      <w:r w:rsidR="00CD5ACB">
        <w:rPr>
          <w:rFonts w:cstheme="minorHAnsi"/>
          <w:i/>
          <w:sz w:val="20"/>
          <w:szCs w:val="20"/>
        </w:rPr>
        <w:tab/>
        <w:t>Image</w:t>
      </w:r>
      <w:r w:rsidR="006A1669">
        <w:rPr>
          <w:rFonts w:cstheme="minorHAnsi"/>
          <w:sz w:val="20"/>
          <w:szCs w:val="20"/>
          <w:u w:val="single"/>
        </w:rPr>
        <w:br/>
      </w:r>
      <w:r w:rsidR="006A1669">
        <w:rPr>
          <w:rFonts w:cstheme="minorHAnsi"/>
          <w:sz w:val="20"/>
          <w:szCs w:val="20"/>
        </w:rPr>
        <w:br/>
      </w:r>
      <w:r w:rsidR="006A1669">
        <w:rPr>
          <w:rFonts w:cstheme="minorHAnsi"/>
          <w:sz w:val="20"/>
          <w:szCs w:val="20"/>
        </w:rPr>
        <w:br/>
      </w:r>
      <w:r w:rsidR="006A1669">
        <w:rPr>
          <w:noProof/>
          <w:lang w:eastAsia="en-GB"/>
        </w:rPr>
        <w:drawing>
          <wp:inline distT="0" distB="0" distL="0" distR="0" wp14:anchorId="435F877F" wp14:editId="42DDE51C">
            <wp:extent cx="5731510" cy="2967404"/>
            <wp:effectExtent l="0" t="0" r="254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731510" cy="2967404"/>
                    </a:xfrm>
                    <a:prstGeom prst="rect">
                      <a:avLst/>
                    </a:prstGeom>
                  </pic:spPr>
                </pic:pic>
              </a:graphicData>
            </a:graphic>
          </wp:inline>
        </w:drawing>
      </w:r>
      <w:r w:rsidR="00332A73" w:rsidRPr="006A1669">
        <w:rPr>
          <w:rFonts w:cstheme="minorHAnsi"/>
          <w:sz w:val="20"/>
          <w:szCs w:val="20"/>
        </w:rPr>
        <w:br/>
      </w:r>
      <w:r w:rsidR="00CD5ACB">
        <w:rPr>
          <w:rFonts w:cstheme="minorHAnsi"/>
          <w:b/>
          <w:sz w:val="20"/>
          <w:szCs w:val="20"/>
        </w:rPr>
        <w:t>4.</w:t>
      </w:r>
      <w:r w:rsidR="00CD5ACB">
        <w:rPr>
          <w:rFonts w:cstheme="minorHAnsi"/>
          <w:b/>
          <w:sz w:val="20"/>
          <w:szCs w:val="20"/>
        </w:rPr>
        <w:tab/>
      </w:r>
      <w:r w:rsidR="00332A73" w:rsidRPr="006A1669">
        <w:rPr>
          <w:rFonts w:cstheme="minorHAnsi"/>
          <w:b/>
          <w:sz w:val="20"/>
          <w:szCs w:val="20"/>
        </w:rPr>
        <w:t xml:space="preserve">Impact on the Heritage Asset </w:t>
      </w:r>
      <w:r w:rsidR="006A1669">
        <w:rPr>
          <w:rFonts w:cstheme="minorHAnsi"/>
          <w:b/>
          <w:sz w:val="20"/>
          <w:szCs w:val="20"/>
        </w:rPr>
        <w:br/>
      </w:r>
      <w:r w:rsidR="006A1669">
        <w:rPr>
          <w:rFonts w:cstheme="minorHAnsi"/>
          <w:b/>
          <w:sz w:val="20"/>
          <w:szCs w:val="20"/>
        </w:rPr>
        <w:br/>
      </w:r>
      <w:proofErr w:type="gramStart"/>
      <w:r w:rsidR="006A1669" w:rsidRPr="006A1669">
        <w:rPr>
          <w:rFonts w:cstheme="minorHAnsi"/>
          <w:sz w:val="20"/>
          <w:szCs w:val="20"/>
        </w:rPr>
        <w:t>The</w:t>
      </w:r>
      <w:proofErr w:type="gramEnd"/>
      <w:r w:rsidR="006A1669" w:rsidRPr="006A1669">
        <w:rPr>
          <w:rFonts w:cstheme="minorHAnsi"/>
          <w:sz w:val="20"/>
          <w:szCs w:val="20"/>
        </w:rPr>
        <w:t xml:space="preserve"> Applicant </w:t>
      </w:r>
      <w:r w:rsidR="006A1669">
        <w:rPr>
          <w:rFonts w:cstheme="minorHAnsi"/>
          <w:sz w:val="20"/>
          <w:szCs w:val="20"/>
        </w:rPr>
        <w:t>recognises the i</w:t>
      </w:r>
      <w:r w:rsidR="00D25E68">
        <w:rPr>
          <w:rFonts w:cstheme="minorHAnsi"/>
          <w:sz w:val="20"/>
          <w:szCs w:val="20"/>
        </w:rPr>
        <w:t xml:space="preserve">mportance of the Heritage Asset and has fully </w:t>
      </w:r>
      <w:r w:rsidR="00D25E68" w:rsidRPr="00D25E68">
        <w:rPr>
          <w:rFonts w:cstheme="minorHAnsi"/>
          <w:sz w:val="20"/>
          <w:szCs w:val="20"/>
        </w:rPr>
        <w:t>taken</w:t>
      </w:r>
      <w:r w:rsidR="00D25E68">
        <w:rPr>
          <w:rFonts w:cstheme="minorHAnsi"/>
          <w:sz w:val="20"/>
          <w:szCs w:val="20"/>
        </w:rPr>
        <w:t xml:space="preserve"> this into account in the Design &amp; Access Statement attached to the application to which there is no change to the existing lay-out as well as in consideration of the materials used for the Proposed Works and set out in Section 3. </w:t>
      </w:r>
      <w:r w:rsidR="00D25E68">
        <w:rPr>
          <w:rFonts w:cstheme="minorHAnsi"/>
          <w:sz w:val="20"/>
          <w:szCs w:val="20"/>
        </w:rPr>
        <w:br/>
      </w:r>
      <w:r w:rsidR="00D25E68">
        <w:rPr>
          <w:rFonts w:cstheme="minorHAnsi"/>
          <w:sz w:val="20"/>
          <w:szCs w:val="20"/>
        </w:rPr>
        <w:br/>
      </w:r>
      <w:r w:rsidR="00D25E68">
        <w:rPr>
          <w:rFonts w:cstheme="minorHAnsi"/>
          <w:sz w:val="20"/>
          <w:szCs w:val="20"/>
        </w:rPr>
        <w:br/>
      </w:r>
      <w:r w:rsidR="00D25E68">
        <w:rPr>
          <w:rFonts w:cstheme="minorHAnsi"/>
          <w:sz w:val="20"/>
          <w:szCs w:val="20"/>
        </w:rPr>
        <w:lastRenderedPageBreak/>
        <w:t xml:space="preserve">The Proposed Works (above) relate exclusively to the internal parts of Flat 1 and have no impact on the appearance and architectural significance of the Heritage Asset. </w:t>
      </w:r>
      <w:r w:rsidR="00D25E68">
        <w:rPr>
          <w:rFonts w:cstheme="minorHAnsi"/>
          <w:sz w:val="20"/>
          <w:szCs w:val="20"/>
        </w:rPr>
        <w:br/>
      </w:r>
      <w:r w:rsidR="00D25E68">
        <w:rPr>
          <w:rFonts w:cstheme="minorHAnsi"/>
          <w:sz w:val="20"/>
          <w:szCs w:val="20"/>
        </w:rPr>
        <w:br/>
      </w:r>
      <w:r w:rsidR="00D25E68" w:rsidRPr="006A1669">
        <w:rPr>
          <w:rFonts w:cstheme="minorHAnsi"/>
          <w:sz w:val="20"/>
          <w:szCs w:val="20"/>
        </w:rPr>
        <w:t xml:space="preserve">The significant elements of the </w:t>
      </w:r>
      <w:r w:rsidR="00D25E68">
        <w:rPr>
          <w:rFonts w:cstheme="minorHAnsi"/>
          <w:sz w:val="20"/>
          <w:szCs w:val="20"/>
        </w:rPr>
        <w:t xml:space="preserve">Waterhouse set out in section 2 will remain entirely unaltered and create no visual intrusion on the setting for the wider public. </w:t>
      </w:r>
      <w:r w:rsidR="006A1669" w:rsidRPr="006A1669">
        <w:rPr>
          <w:rFonts w:cstheme="minorHAnsi"/>
          <w:sz w:val="20"/>
          <w:szCs w:val="20"/>
        </w:rPr>
        <w:t xml:space="preserve"> </w:t>
      </w:r>
      <w:r w:rsidR="00D25E68">
        <w:rPr>
          <w:rFonts w:cstheme="minorHAnsi"/>
          <w:sz w:val="20"/>
          <w:szCs w:val="20"/>
        </w:rPr>
        <w:br/>
      </w:r>
      <w:r w:rsidR="006A1669" w:rsidRPr="006A1669">
        <w:rPr>
          <w:rFonts w:cstheme="minorHAnsi"/>
          <w:b/>
          <w:sz w:val="20"/>
          <w:szCs w:val="20"/>
        </w:rPr>
        <w:br/>
      </w:r>
      <w:r w:rsidR="00CD5ACB">
        <w:rPr>
          <w:rFonts w:cstheme="minorHAnsi"/>
          <w:b/>
          <w:sz w:val="20"/>
          <w:szCs w:val="20"/>
        </w:rPr>
        <w:t>5</w:t>
      </w:r>
      <w:r w:rsidR="004E70F4">
        <w:rPr>
          <w:rFonts w:cstheme="minorHAnsi"/>
          <w:b/>
          <w:sz w:val="20"/>
          <w:szCs w:val="20"/>
        </w:rPr>
        <w:t>.</w:t>
      </w:r>
      <w:r w:rsidR="004E70F4">
        <w:rPr>
          <w:rFonts w:cstheme="minorHAnsi"/>
          <w:b/>
          <w:sz w:val="20"/>
          <w:szCs w:val="20"/>
        </w:rPr>
        <w:tab/>
      </w:r>
      <w:r w:rsidR="006A1669" w:rsidRPr="006A1669">
        <w:rPr>
          <w:rFonts w:cstheme="minorHAnsi"/>
          <w:b/>
          <w:sz w:val="20"/>
          <w:szCs w:val="20"/>
        </w:rPr>
        <w:t>Justification for the Works</w:t>
      </w:r>
      <w:r w:rsidR="006A1669">
        <w:rPr>
          <w:rFonts w:cstheme="minorHAnsi"/>
          <w:sz w:val="20"/>
          <w:szCs w:val="20"/>
          <w:u w:val="single"/>
        </w:rPr>
        <w:t xml:space="preserve"> </w:t>
      </w:r>
      <w:r w:rsidR="004E70F4">
        <w:rPr>
          <w:rFonts w:cstheme="minorHAnsi"/>
          <w:sz w:val="20"/>
          <w:szCs w:val="20"/>
          <w:u w:val="single"/>
        </w:rPr>
        <w:br/>
      </w:r>
      <w:r w:rsidR="004E70F4">
        <w:rPr>
          <w:rFonts w:cstheme="minorHAnsi"/>
          <w:sz w:val="20"/>
          <w:szCs w:val="20"/>
          <w:u w:val="single"/>
        </w:rPr>
        <w:br/>
      </w:r>
      <w:r w:rsidR="00CD5ACB">
        <w:rPr>
          <w:rFonts w:cstheme="minorHAnsi"/>
          <w:sz w:val="20"/>
          <w:szCs w:val="20"/>
        </w:rPr>
        <w:t>5</w:t>
      </w:r>
      <w:r w:rsidR="004E70F4">
        <w:rPr>
          <w:rFonts w:cstheme="minorHAnsi"/>
          <w:sz w:val="20"/>
          <w:szCs w:val="20"/>
        </w:rPr>
        <w:t>.1</w:t>
      </w:r>
      <w:r w:rsidR="004E70F4">
        <w:rPr>
          <w:rFonts w:cstheme="minorHAnsi"/>
          <w:sz w:val="20"/>
          <w:szCs w:val="20"/>
        </w:rPr>
        <w:tab/>
      </w:r>
      <w:r w:rsidR="004E70F4">
        <w:rPr>
          <w:rFonts w:cstheme="minorHAnsi"/>
          <w:sz w:val="20"/>
          <w:szCs w:val="20"/>
          <w:u w:val="single"/>
        </w:rPr>
        <w:t>Privacy</w:t>
      </w:r>
      <w:r w:rsidR="00332A73">
        <w:rPr>
          <w:rFonts w:cstheme="minorHAnsi"/>
          <w:sz w:val="20"/>
          <w:szCs w:val="20"/>
          <w:u w:val="single"/>
        </w:rPr>
        <w:br/>
      </w:r>
      <w:r w:rsidR="006A1669">
        <w:rPr>
          <w:rFonts w:cstheme="minorHAnsi"/>
          <w:sz w:val="20"/>
          <w:szCs w:val="20"/>
          <w:u w:val="single"/>
        </w:rPr>
        <w:br/>
      </w:r>
      <w:r w:rsidR="00D25E68">
        <w:rPr>
          <w:rFonts w:cstheme="minorHAnsi"/>
          <w:sz w:val="20"/>
          <w:szCs w:val="20"/>
        </w:rPr>
        <w:t>Th</w:t>
      </w:r>
      <w:r w:rsidR="004E70F4">
        <w:rPr>
          <w:rFonts w:cstheme="minorHAnsi"/>
          <w:sz w:val="20"/>
          <w:szCs w:val="20"/>
        </w:rPr>
        <w:t xml:space="preserve">e Proposed Works will maintain the Applicants privacy in the bedroom which is currently visible from the Ground Floor windows of the North Elevation (highlighted yellow). </w:t>
      </w:r>
      <w:r w:rsidR="00BE5FB6">
        <w:rPr>
          <w:rFonts w:cstheme="minorHAnsi"/>
          <w:sz w:val="20"/>
          <w:szCs w:val="20"/>
        </w:rPr>
        <w:t xml:space="preserve"> The additional doorway to the bathroom will also allow guests to use the Bathroom without entering the Applicants bedroom. </w:t>
      </w:r>
      <w:r w:rsidR="004E70F4">
        <w:rPr>
          <w:rFonts w:cstheme="minorHAnsi"/>
          <w:sz w:val="20"/>
          <w:szCs w:val="20"/>
        </w:rPr>
        <w:br/>
      </w:r>
      <w:r w:rsidR="004E70F4">
        <w:rPr>
          <w:rFonts w:cstheme="minorHAnsi"/>
          <w:sz w:val="20"/>
          <w:szCs w:val="20"/>
        </w:rPr>
        <w:br/>
      </w:r>
      <w:r w:rsidR="004E70F4">
        <w:rPr>
          <w:rFonts w:cstheme="minorHAnsi"/>
          <w:i/>
          <w:sz w:val="20"/>
          <w:szCs w:val="20"/>
        </w:rPr>
        <w:t xml:space="preserve">Image </w:t>
      </w:r>
      <w:r w:rsidR="004E70F4">
        <w:rPr>
          <w:rFonts w:cstheme="minorHAnsi"/>
          <w:sz w:val="20"/>
          <w:szCs w:val="20"/>
        </w:rPr>
        <w:br/>
      </w:r>
      <w:r w:rsidR="004E70F4">
        <w:rPr>
          <w:rFonts w:cstheme="minorHAnsi"/>
          <w:sz w:val="20"/>
          <w:szCs w:val="20"/>
        </w:rPr>
        <w:br/>
      </w:r>
      <w:r w:rsidR="004E70F4">
        <w:rPr>
          <w:noProof/>
          <w:lang w:eastAsia="en-GB"/>
        </w:rPr>
        <w:drawing>
          <wp:inline distT="0" distB="0" distL="0" distR="0" wp14:anchorId="07B01886" wp14:editId="09A98EC5">
            <wp:extent cx="1958196" cy="2027207"/>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962150" cy="2031300"/>
                    </a:xfrm>
                    <a:prstGeom prst="rect">
                      <a:avLst/>
                    </a:prstGeom>
                  </pic:spPr>
                </pic:pic>
              </a:graphicData>
            </a:graphic>
          </wp:inline>
        </w:drawing>
      </w:r>
      <w:r w:rsidR="00332A73">
        <w:rPr>
          <w:rFonts w:cstheme="minorHAnsi"/>
          <w:sz w:val="20"/>
          <w:szCs w:val="20"/>
          <w:u w:val="single"/>
        </w:rPr>
        <w:br/>
      </w:r>
      <w:r w:rsidR="004E70F4">
        <w:rPr>
          <w:rFonts w:cstheme="minorHAnsi"/>
          <w:sz w:val="20"/>
          <w:szCs w:val="20"/>
          <w:u w:val="single"/>
        </w:rPr>
        <w:br/>
      </w:r>
      <w:r w:rsidR="00CD5ACB">
        <w:rPr>
          <w:rFonts w:cstheme="minorHAnsi"/>
          <w:sz w:val="20"/>
          <w:szCs w:val="20"/>
        </w:rPr>
        <w:t>5</w:t>
      </w:r>
      <w:r w:rsidR="004E70F4">
        <w:rPr>
          <w:rFonts w:cstheme="minorHAnsi"/>
          <w:sz w:val="20"/>
          <w:szCs w:val="20"/>
        </w:rPr>
        <w:t>.2</w:t>
      </w:r>
      <w:r w:rsidR="004E70F4">
        <w:rPr>
          <w:rFonts w:cstheme="minorHAnsi"/>
          <w:sz w:val="20"/>
          <w:szCs w:val="20"/>
        </w:rPr>
        <w:tab/>
      </w:r>
      <w:r w:rsidR="004E70F4">
        <w:rPr>
          <w:rFonts w:cstheme="minorHAnsi"/>
          <w:sz w:val="20"/>
          <w:szCs w:val="20"/>
          <w:u w:val="single"/>
        </w:rPr>
        <w:t xml:space="preserve">Noise </w:t>
      </w:r>
      <w:r w:rsidR="004E70F4">
        <w:rPr>
          <w:rFonts w:cstheme="minorHAnsi"/>
          <w:sz w:val="20"/>
          <w:szCs w:val="20"/>
          <w:u w:val="single"/>
        </w:rPr>
        <w:br/>
      </w:r>
      <w:r w:rsidR="004E70F4">
        <w:rPr>
          <w:rFonts w:cstheme="minorHAnsi"/>
          <w:sz w:val="20"/>
          <w:szCs w:val="20"/>
          <w:u w:val="single"/>
        </w:rPr>
        <w:br/>
      </w:r>
      <w:r w:rsidR="004E70F4">
        <w:rPr>
          <w:rFonts w:cstheme="minorHAnsi"/>
          <w:sz w:val="20"/>
          <w:szCs w:val="20"/>
        </w:rPr>
        <w:t xml:space="preserve">The Proposed Works will provide the Applicant with the quiet enjoyment of the bedroom of Flat 1 which is currently exposed to the noise from </w:t>
      </w:r>
      <w:proofErr w:type="spellStart"/>
      <w:r w:rsidR="004E70F4">
        <w:rPr>
          <w:rFonts w:cstheme="minorHAnsi"/>
          <w:sz w:val="20"/>
          <w:szCs w:val="20"/>
        </w:rPr>
        <w:t>Gosbrook</w:t>
      </w:r>
      <w:proofErr w:type="spellEnd"/>
      <w:r w:rsidR="004E70F4">
        <w:rPr>
          <w:rFonts w:cstheme="minorHAnsi"/>
          <w:sz w:val="20"/>
          <w:szCs w:val="20"/>
        </w:rPr>
        <w:t xml:space="preserve"> Road High-Street</w:t>
      </w:r>
      <w:r w:rsidR="001703D4">
        <w:rPr>
          <w:rFonts w:cstheme="minorHAnsi"/>
          <w:sz w:val="20"/>
          <w:szCs w:val="20"/>
        </w:rPr>
        <w:t>. There is,</w:t>
      </w:r>
      <w:r w:rsidR="004E70F4">
        <w:rPr>
          <w:rFonts w:cstheme="minorHAnsi"/>
          <w:sz w:val="20"/>
          <w:szCs w:val="20"/>
        </w:rPr>
        <w:t xml:space="preserve"> within 50m of the Site</w:t>
      </w:r>
      <w:r w:rsidR="001703D4">
        <w:rPr>
          <w:rFonts w:cstheme="minorHAnsi"/>
          <w:sz w:val="20"/>
          <w:szCs w:val="20"/>
        </w:rPr>
        <w:t xml:space="preserve">, a Waitrose Supermarket and the adjoining carpark, a busy roundabout connecting Prospect Street with </w:t>
      </w:r>
      <w:proofErr w:type="spellStart"/>
      <w:r w:rsidR="001703D4">
        <w:rPr>
          <w:rFonts w:cstheme="minorHAnsi"/>
          <w:sz w:val="20"/>
          <w:szCs w:val="20"/>
        </w:rPr>
        <w:t>Gosbrook</w:t>
      </w:r>
      <w:proofErr w:type="spellEnd"/>
      <w:r w:rsidR="001703D4">
        <w:rPr>
          <w:rFonts w:cstheme="minorHAnsi"/>
          <w:sz w:val="20"/>
          <w:szCs w:val="20"/>
        </w:rPr>
        <w:t xml:space="preserve"> Road and the Clifton Arms Pub. </w:t>
      </w:r>
      <w:r w:rsidR="001703D4">
        <w:rPr>
          <w:rFonts w:cstheme="minorHAnsi"/>
          <w:sz w:val="20"/>
          <w:szCs w:val="20"/>
        </w:rPr>
        <w:br/>
      </w:r>
      <w:r w:rsidR="001703D4">
        <w:rPr>
          <w:rFonts w:cstheme="minorHAnsi"/>
          <w:sz w:val="20"/>
          <w:szCs w:val="20"/>
        </w:rPr>
        <w:br/>
      </w:r>
      <w:r w:rsidR="001703D4">
        <w:rPr>
          <w:rFonts w:cstheme="minorHAnsi"/>
          <w:i/>
          <w:sz w:val="20"/>
          <w:szCs w:val="20"/>
        </w:rPr>
        <w:t xml:space="preserve">Image </w:t>
      </w:r>
      <w:r w:rsidR="001703D4">
        <w:rPr>
          <w:rFonts w:cstheme="minorHAnsi"/>
          <w:sz w:val="20"/>
          <w:szCs w:val="20"/>
        </w:rPr>
        <w:br/>
      </w:r>
      <w:r w:rsidR="001703D4">
        <w:rPr>
          <w:rFonts w:cstheme="minorHAnsi"/>
          <w:sz w:val="20"/>
          <w:szCs w:val="20"/>
        </w:rPr>
        <w:br/>
      </w:r>
      <w:r w:rsidR="001703D4" w:rsidRPr="001703D4">
        <w:rPr>
          <w:noProof/>
          <w:lang w:eastAsia="en-GB"/>
        </w:rPr>
        <w:t xml:space="preserve"> </w:t>
      </w:r>
      <w:r w:rsidR="001703D4">
        <w:rPr>
          <w:noProof/>
          <w:lang w:eastAsia="en-GB"/>
        </w:rPr>
        <w:drawing>
          <wp:inline distT="0" distB="0" distL="0" distR="0" wp14:anchorId="0F8BD252" wp14:editId="02105595">
            <wp:extent cx="5632857" cy="2225615"/>
            <wp:effectExtent l="0" t="0" r="635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627530" cy="2223510"/>
                    </a:xfrm>
                    <a:prstGeom prst="rect">
                      <a:avLst/>
                    </a:prstGeom>
                  </pic:spPr>
                </pic:pic>
              </a:graphicData>
            </a:graphic>
          </wp:inline>
        </w:drawing>
      </w:r>
      <w:r w:rsidR="001703D4">
        <w:rPr>
          <w:rFonts w:cstheme="minorHAnsi"/>
          <w:i/>
          <w:sz w:val="20"/>
          <w:szCs w:val="20"/>
        </w:rPr>
        <w:br/>
      </w:r>
      <w:proofErr w:type="spellStart"/>
      <w:r w:rsidR="001703D4">
        <w:rPr>
          <w:rFonts w:cstheme="minorHAnsi"/>
          <w:sz w:val="20"/>
          <w:szCs w:val="20"/>
        </w:rPr>
        <w:t>Caversham</w:t>
      </w:r>
      <w:proofErr w:type="spellEnd"/>
      <w:r w:rsidR="001703D4">
        <w:rPr>
          <w:rFonts w:cstheme="minorHAnsi"/>
          <w:sz w:val="20"/>
          <w:szCs w:val="20"/>
        </w:rPr>
        <w:t xml:space="preserve"> </w:t>
      </w:r>
      <w:r w:rsidR="001703D4" w:rsidRPr="001703D4">
        <w:rPr>
          <w:rFonts w:cstheme="minorHAnsi"/>
          <w:sz w:val="20"/>
          <w:szCs w:val="20"/>
        </w:rPr>
        <w:t xml:space="preserve">Roundabout </w:t>
      </w:r>
      <w:r w:rsidR="001703D4">
        <w:rPr>
          <w:rFonts w:cstheme="minorHAnsi"/>
          <w:i/>
          <w:sz w:val="20"/>
          <w:szCs w:val="20"/>
        </w:rPr>
        <w:br/>
      </w:r>
      <w:r w:rsidR="001703D4">
        <w:rPr>
          <w:rFonts w:cstheme="minorHAnsi"/>
          <w:i/>
          <w:sz w:val="20"/>
          <w:szCs w:val="20"/>
        </w:rPr>
        <w:lastRenderedPageBreak/>
        <w:t>Image</w:t>
      </w:r>
      <w:r w:rsidR="001703D4">
        <w:rPr>
          <w:rFonts w:cstheme="minorHAnsi"/>
          <w:i/>
          <w:sz w:val="20"/>
          <w:szCs w:val="20"/>
        </w:rPr>
        <w:br/>
      </w:r>
      <w:r w:rsidR="001703D4">
        <w:rPr>
          <w:rFonts w:cstheme="minorHAnsi"/>
          <w:i/>
          <w:sz w:val="20"/>
          <w:szCs w:val="20"/>
        </w:rPr>
        <w:br/>
      </w:r>
      <w:r w:rsidR="001703D4">
        <w:rPr>
          <w:noProof/>
          <w:lang w:eastAsia="en-GB"/>
        </w:rPr>
        <w:drawing>
          <wp:inline distT="0" distB="0" distL="0" distR="0" wp14:anchorId="76B54A8F" wp14:editId="7A9C2E11">
            <wp:extent cx="5629275" cy="29337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636373" cy="2937399"/>
                    </a:xfrm>
                    <a:prstGeom prst="rect">
                      <a:avLst/>
                    </a:prstGeom>
                  </pic:spPr>
                </pic:pic>
              </a:graphicData>
            </a:graphic>
          </wp:inline>
        </w:drawing>
      </w:r>
      <w:r w:rsidR="001703D4">
        <w:rPr>
          <w:rFonts w:cstheme="minorHAnsi"/>
          <w:i/>
          <w:sz w:val="20"/>
          <w:szCs w:val="20"/>
        </w:rPr>
        <w:br/>
      </w:r>
      <w:r w:rsidR="001703D4">
        <w:rPr>
          <w:rFonts w:cstheme="minorHAnsi"/>
          <w:sz w:val="20"/>
          <w:szCs w:val="20"/>
        </w:rPr>
        <w:t xml:space="preserve">Waitrose Car Park </w:t>
      </w:r>
      <w:r w:rsidR="001703D4">
        <w:rPr>
          <w:rFonts w:cstheme="minorHAnsi"/>
          <w:i/>
          <w:sz w:val="20"/>
          <w:szCs w:val="20"/>
        </w:rPr>
        <w:br/>
      </w:r>
      <w:r w:rsidR="001703D4">
        <w:rPr>
          <w:rFonts w:cstheme="minorHAnsi"/>
          <w:sz w:val="20"/>
          <w:szCs w:val="20"/>
          <w:u w:val="single"/>
        </w:rPr>
        <w:br/>
      </w:r>
      <w:proofErr w:type="gramStart"/>
      <w:r w:rsidR="001703D4">
        <w:rPr>
          <w:rFonts w:cstheme="minorHAnsi"/>
          <w:i/>
          <w:sz w:val="20"/>
          <w:szCs w:val="20"/>
        </w:rPr>
        <w:t xml:space="preserve">Image </w:t>
      </w:r>
      <w:r w:rsidR="001703D4">
        <w:rPr>
          <w:rFonts w:cstheme="minorHAnsi"/>
          <w:i/>
          <w:sz w:val="20"/>
          <w:szCs w:val="20"/>
        </w:rPr>
        <w:br/>
      </w:r>
      <w:r w:rsidR="001703D4">
        <w:rPr>
          <w:rFonts w:cstheme="minorHAnsi"/>
          <w:i/>
          <w:sz w:val="20"/>
          <w:szCs w:val="20"/>
        </w:rPr>
        <w:br/>
      </w:r>
      <w:r w:rsidR="001703D4">
        <w:rPr>
          <w:noProof/>
          <w:lang w:eastAsia="en-GB"/>
        </w:rPr>
        <w:drawing>
          <wp:inline distT="0" distB="0" distL="0" distR="0" wp14:anchorId="31CBAE12" wp14:editId="04C90482">
            <wp:extent cx="5633049" cy="3381555"/>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637648" cy="3384316"/>
                    </a:xfrm>
                    <a:prstGeom prst="rect">
                      <a:avLst/>
                    </a:prstGeom>
                  </pic:spPr>
                </pic:pic>
              </a:graphicData>
            </a:graphic>
          </wp:inline>
        </w:drawing>
      </w:r>
      <w:r w:rsidR="00BE5FB6">
        <w:rPr>
          <w:rFonts w:cstheme="minorHAnsi"/>
          <w:sz w:val="20"/>
          <w:szCs w:val="20"/>
        </w:rPr>
        <w:t>The</w:t>
      </w:r>
      <w:proofErr w:type="gramEnd"/>
      <w:r w:rsidR="00BE5FB6">
        <w:rPr>
          <w:rFonts w:cstheme="minorHAnsi"/>
          <w:sz w:val="20"/>
          <w:szCs w:val="20"/>
        </w:rPr>
        <w:t xml:space="preserve"> Clifton Arms Pub</w:t>
      </w:r>
      <w:r w:rsidR="004E70F4">
        <w:rPr>
          <w:rFonts w:cstheme="minorHAnsi"/>
          <w:sz w:val="20"/>
          <w:szCs w:val="20"/>
          <w:u w:val="single"/>
        </w:rPr>
        <w:br/>
      </w:r>
      <w:r w:rsidR="00BE5FB6">
        <w:rPr>
          <w:rFonts w:cstheme="minorHAnsi"/>
          <w:sz w:val="20"/>
          <w:szCs w:val="20"/>
          <w:u w:val="single"/>
        </w:rPr>
        <w:br/>
      </w:r>
      <w:r w:rsidR="00CD5ACB">
        <w:rPr>
          <w:rFonts w:cstheme="minorHAnsi"/>
          <w:sz w:val="20"/>
          <w:szCs w:val="20"/>
        </w:rPr>
        <w:t>5</w:t>
      </w:r>
      <w:r w:rsidR="00BE5FB6">
        <w:rPr>
          <w:rFonts w:cstheme="minorHAnsi"/>
          <w:sz w:val="20"/>
          <w:szCs w:val="20"/>
        </w:rPr>
        <w:t xml:space="preserve">.3 </w:t>
      </w:r>
      <w:r w:rsidR="00BE5FB6">
        <w:rPr>
          <w:rFonts w:cstheme="minorHAnsi"/>
          <w:sz w:val="20"/>
          <w:szCs w:val="20"/>
        </w:rPr>
        <w:tab/>
      </w:r>
      <w:r w:rsidR="00BE5FB6" w:rsidRPr="00BE5FB6">
        <w:rPr>
          <w:rFonts w:cstheme="minorHAnsi"/>
          <w:sz w:val="20"/>
          <w:szCs w:val="20"/>
          <w:u w:val="single"/>
        </w:rPr>
        <w:t>Smell</w:t>
      </w:r>
      <w:r w:rsidR="00BE5FB6">
        <w:rPr>
          <w:rFonts w:cstheme="minorHAnsi"/>
          <w:sz w:val="20"/>
          <w:szCs w:val="20"/>
          <w:u w:val="single"/>
        </w:rPr>
        <w:br/>
      </w:r>
      <w:r w:rsidR="00BE5FB6">
        <w:rPr>
          <w:rFonts w:cstheme="minorHAnsi"/>
          <w:sz w:val="20"/>
          <w:szCs w:val="20"/>
          <w:u w:val="single"/>
        </w:rPr>
        <w:br/>
      </w:r>
      <w:r w:rsidR="00BE5FB6">
        <w:rPr>
          <w:rFonts w:cstheme="minorHAnsi"/>
          <w:sz w:val="20"/>
          <w:szCs w:val="20"/>
        </w:rPr>
        <w:t xml:space="preserve">The current open-plan layout of Flat 1 causes smells to travel from the Kitchen into the Bedroom after cooking reducing the sleep-quality for the Applicant. </w:t>
      </w:r>
      <w:r w:rsidR="00BE5FB6">
        <w:rPr>
          <w:rFonts w:cstheme="minorHAnsi"/>
          <w:sz w:val="20"/>
          <w:szCs w:val="20"/>
        </w:rPr>
        <w:br/>
      </w:r>
      <w:r w:rsidR="00BE5FB6">
        <w:rPr>
          <w:rFonts w:cstheme="minorHAnsi"/>
          <w:sz w:val="20"/>
          <w:szCs w:val="20"/>
        </w:rPr>
        <w:br/>
      </w:r>
      <w:r w:rsidR="00BE5FB6">
        <w:rPr>
          <w:rFonts w:cstheme="minorHAnsi"/>
          <w:sz w:val="20"/>
          <w:szCs w:val="20"/>
        </w:rPr>
        <w:br/>
      </w:r>
    </w:p>
    <w:p w:rsidR="00CD5ACB" w:rsidRPr="00CD5ACB" w:rsidRDefault="00CD5ACB" w:rsidP="00CD5ACB">
      <w:pPr>
        <w:rPr>
          <w:rFonts w:cstheme="minorHAnsi"/>
          <w:sz w:val="20"/>
          <w:szCs w:val="20"/>
        </w:rPr>
      </w:pPr>
      <w:r w:rsidRPr="00CD5ACB">
        <w:rPr>
          <w:rFonts w:cstheme="minorHAnsi"/>
          <w:i/>
          <w:noProof/>
          <w:sz w:val="20"/>
          <w:szCs w:val="20"/>
          <w:lang w:eastAsia="en-GB"/>
        </w:rPr>
        <w:lastRenderedPageBreak/>
        <mc:AlternateContent>
          <mc:Choice Requires="wps">
            <w:drawing>
              <wp:anchor distT="0" distB="0" distL="114300" distR="114300" simplePos="0" relativeHeight="251661312" behindDoc="0" locked="0" layoutInCell="1" allowOverlap="1" wp14:anchorId="75D5C11F" wp14:editId="245EAD30">
                <wp:simplePos x="0" y="0"/>
                <wp:positionH relativeFrom="column">
                  <wp:posOffset>2406770</wp:posOffset>
                </wp:positionH>
                <wp:positionV relativeFrom="paragraph">
                  <wp:posOffset>2311879</wp:posOffset>
                </wp:positionV>
                <wp:extent cx="1173192" cy="198168"/>
                <wp:effectExtent l="0" t="0" r="27305" b="1143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192" cy="198168"/>
                        </a:xfrm>
                        <a:prstGeom prst="rect">
                          <a:avLst/>
                        </a:prstGeom>
                        <a:solidFill>
                          <a:srgbClr val="FFFFFF"/>
                        </a:solidFill>
                        <a:ln w="9525">
                          <a:solidFill>
                            <a:srgbClr val="000000"/>
                          </a:solidFill>
                          <a:miter lim="800000"/>
                          <a:headEnd/>
                          <a:tailEnd/>
                        </a:ln>
                      </wps:spPr>
                      <wps:txbx>
                        <w:txbxContent>
                          <w:p w:rsidR="00CD5ACB" w:rsidRPr="00CD5ACB" w:rsidRDefault="00CD5ACB">
                            <w:pPr>
                              <w:rPr>
                                <w:i/>
                                <w:sz w:val="16"/>
                                <w:szCs w:val="16"/>
                              </w:rPr>
                            </w:pPr>
                            <w:r w:rsidRPr="00CD5ACB">
                              <w:rPr>
                                <w:i/>
                                <w:sz w:val="16"/>
                                <w:szCs w:val="16"/>
                              </w:rPr>
                              <w:t>Smells from the Kitchen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89.5pt;margin-top:182.05pt;width:92.4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">
                <v:textbox>
                  <w:txbxContent>
                    <w:p w:rsidR="00CD5ACB" w:rsidRPr="00CD5ACB" w:rsidRDefault="00CD5ACB">
                      <w:pPr>
                        <w:rPr>
                          <w:i/>
                          <w:sz w:val="16"/>
                          <w:szCs w:val="16"/>
                        </w:rPr>
                      </w:pPr>
                      <w:r w:rsidRPr="00CD5ACB">
                        <w:rPr>
                          <w:i/>
                          <w:sz w:val="16"/>
                          <w:szCs w:val="16"/>
                        </w:rPr>
                        <w:t>Smells from the Kitchen</w:t>
                      </w:r>
                    </w:p>
                  </w:txbxContent>
                </v:textbox>
              </v:shape>
            </w:pict>
          </mc:Fallback>
        </mc:AlternateContent>
      </w:r>
      <w:r>
        <w:rPr>
          <w:rFonts w:cstheme="minorHAnsi"/>
          <w:i/>
          <w:noProof/>
          <w:sz w:val="20"/>
          <w:szCs w:val="20"/>
          <w:lang w:eastAsia="en-GB"/>
        </w:rPr>
        <mc:AlternateContent>
          <mc:Choice Requires="wps">
            <w:drawing>
              <wp:anchor distT="0" distB="0" distL="114300" distR="114300" simplePos="0" relativeHeight="251659264" behindDoc="0" locked="0" layoutInCell="1" allowOverlap="1" wp14:anchorId="5F26C5B4" wp14:editId="6D7B7E3A">
                <wp:simplePos x="0" y="0"/>
                <wp:positionH relativeFrom="column">
                  <wp:posOffset>1966248</wp:posOffset>
                </wp:positionH>
                <wp:positionV relativeFrom="paragraph">
                  <wp:posOffset>2509952</wp:posOffset>
                </wp:positionV>
                <wp:extent cx="2191110" cy="388189"/>
                <wp:effectExtent l="19050" t="19050" r="19050" b="12065"/>
                <wp:wrapNone/>
                <wp:docPr id="12" name="Bent Arrow 12"/>
                <wp:cNvGraphicFramePr/>
                <a:graphic xmlns:a="http://schemas.openxmlformats.org/drawingml/2006/main">
                  <a:graphicData uri="http://schemas.microsoft.com/office/word/2010/wordprocessingShape">
                    <wps:wsp>
                      <wps:cNvSpPr/>
                      <wps:spPr>
                        <a:xfrm rot="10800000" flipV="1">
                          <a:off x="0" y="0"/>
                          <a:ext cx="2191110" cy="388189"/>
                        </a:xfrm>
                        <a:prstGeom prst="ben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Bent Arrow 12" o:spid="_x0000_s1026" style="position:absolute;margin-left:154.8pt;margin-top:197.65pt;width:172.55pt;height:30.55pt;rotation:180;flip:y;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2191110,388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" path="m,388189l,218356c,124560,76037,48523,169833,48523r1924230,1l2094063,r97047,97047l2094063,194095r,-48524l169833,145571v-40198,,-72785,32587,-72785,72785c97048,274967,97047,331578,97047,388189l,388189xe" fillcolor="#4472c4 [3204]" strokecolor="#1f3763 [1604]" strokeweight="1pt">
                <v:stroke joinstyle="miter"/>
                <v:path arrowok="t" o:connecttype="custom" o:connectlocs="0,388189;0,218356;169833,48523;2094063,48524;2094063,0;2191110,97047;2094063,194095;2094063,145571;169833,145571;97048,218356;97047,388189;0,388189" o:connectangles="0,0,0,0,0,0,0,0,0,0,0,0"/>
              </v:shape>
            </w:pict>
          </mc:Fallback>
        </mc:AlternateContent>
      </w:r>
      <w:r w:rsidR="00BE5FB6" w:rsidRPr="00BE5FB6">
        <w:rPr>
          <w:rFonts w:cstheme="minorHAnsi"/>
          <w:i/>
          <w:sz w:val="20"/>
          <w:szCs w:val="20"/>
        </w:rPr>
        <w:t>Image</w:t>
      </w:r>
      <w:bookmarkStart w:id="0" w:name="_GoBack"/>
      <w:bookmarkEnd w:id="0"/>
      <w:r w:rsidR="00BE5FB6">
        <w:rPr>
          <w:rFonts w:cstheme="minorHAnsi"/>
          <w:sz w:val="20"/>
          <w:szCs w:val="20"/>
          <w:u w:val="single"/>
        </w:rPr>
        <w:br/>
      </w:r>
      <w:r w:rsidR="00BE5FB6">
        <w:rPr>
          <w:rFonts w:cstheme="minorHAnsi"/>
          <w:sz w:val="20"/>
          <w:szCs w:val="20"/>
          <w:u w:val="single"/>
        </w:rPr>
        <w:br/>
      </w:r>
      <w:r w:rsidR="00BE5FB6">
        <w:rPr>
          <w:noProof/>
          <w:lang w:eastAsia="en-GB"/>
        </w:rPr>
        <w:drawing>
          <wp:inline distT="0" distB="0" distL="0" distR="0" wp14:anchorId="35A6703B" wp14:editId="4D2C5655">
            <wp:extent cx="5723022" cy="3942272"/>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731510" cy="3948119"/>
                    </a:xfrm>
                    <a:prstGeom prst="rect">
                      <a:avLst/>
                    </a:prstGeom>
                  </pic:spPr>
                </pic:pic>
              </a:graphicData>
            </a:graphic>
          </wp:inline>
        </w:drawing>
      </w:r>
      <w:r w:rsidR="001703D4">
        <w:rPr>
          <w:rFonts w:cstheme="minorHAnsi"/>
          <w:sz w:val="20"/>
          <w:szCs w:val="20"/>
          <w:u w:val="single"/>
        </w:rPr>
        <w:br/>
      </w:r>
      <w:r w:rsidR="00BE5FB6" w:rsidRPr="00BE5FB6">
        <w:rPr>
          <w:rFonts w:cstheme="minorHAnsi"/>
          <w:sz w:val="20"/>
          <w:szCs w:val="20"/>
        </w:rPr>
        <w:t>Current Floorplan</w:t>
      </w:r>
      <w:r w:rsidR="00BE5FB6">
        <w:rPr>
          <w:rFonts w:cstheme="minorHAnsi"/>
          <w:i/>
          <w:sz w:val="20"/>
          <w:szCs w:val="20"/>
        </w:rPr>
        <w:br/>
      </w:r>
      <w:r w:rsidR="00BE5FB6">
        <w:rPr>
          <w:rFonts w:cstheme="minorHAnsi"/>
          <w:sz w:val="20"/>
          <w:szCs w:val="20"/>
          <w:u w:val="single"/>
        </w:rPr>
        <w:br/>
      </w:r>
      <w:r>
        <w:rPr>
          <w:rFonts w:cstheme="minorHAnsi"/>
          <w:b/>
          <w:sz w:val="20"/>
          <w:szCs w:val="20"/>
        </w:rPr>
        <w:t>6</w:t>
      </w:r>
      <w:r w:rsidR="00BE5FB6">
        <w:rPr>
          <w:rFonts w:cstheme="minorHAnsi"/>
          <w:b/>
          <w:sz w:val="20"/>
          <w:szCs w:val="20"/>
        </w:rPr>
        <w:t>.</w:t>
      </w:r>
      <w:r w:rsidR="00BE5FB6">
        <w:rPr>
          <w:rFonts w:cstheme="minorHAnsi"/>
          <w:b/>
          <w:sz w:val="20"/>
          <w:szCs w:val="20"/>
        </w:rPr>
        <w:tab/>
      </w:r>
      <w:r w:rsidR="00332A73" w:rsidRPr="00BE5FB6">
        <w:rPr>
          <w:rFonts w:cstheme="minorHAnsi"/>
          <w:b/>
          <w:sz w:val="20"/>
          <w:szCs w:val="20"/>
        </w:rPr>
        <w:t>Conclusion</w:t>
      </w:r>
      <w:r w:rsidR="00332A73">
        <w:rPr>
          <w:rFonts w:cstheme="minorHAnsi"/>
          <w:sz w:val="20"/>
          <w:szCs w:val="20"/>
          <w:u w:val="single"/>
        </w:rPr>
        <w:br/>
      </w:r>
      <w:r w:rsidR="00332A73">
        <w:rPr>
          <w:rFonts w:cstheme="minorHAnsi"/>
          <w:sz w:val="20"/>
          <w:szCs w:val="20"/>
          <w:u w:val="single"/>
        </w:rPr>
        <w:br/>
      </w:r>
      <w:r w:rsidRPr="00CD5ACB">
        <w:rPr>
          <w:rFonts w:cstheme="minorHAnsi"/>
          <w:sz w:val="20"/>
          <w:szCs w:val="20"/>
        </w:rPr>
        <w:t>This Heritage Statement seeks to understand the historic context of the Site and to use this information to influence the design proposals. It explains how the Applicant has understood the significance of the designated heritage assets and their settings, and how this has influenced the designs for the proposed development.  Having applied the results of our research to the proposed designs we have considered the impact they may have upon the designated heritage assets.</w:t>
      </w:r>
      <w:r>
        <w:rPr>
          <w:rFonts w:cstheme="minorHAnsi"/>
          <w:sz w:val="20"/>
          <w:szCs w:val="20"/>
        </w:rPr>
        <w:br/>
      </w:r>
      <w:r>
        <w:rPr>
          <w:rFonts w:cstheme="minorHAnsi"/>
          <w:sz w:val="20"/>
          <w:szCs w:val="20"/>
        </w:rPr>
        <w:br/>
      </w:r>
      <w:r w:rsidRPr="00CD5ACB">
        <w:rPr>
          <w:rFonts w:cstheme="minorHAnsi"/>
          <w:sz w:val="20"/>
          <w:szCs w:val="20"/>
        </w:rPr>
        <w:t xml:space="preserve">We therefore consider that the proposals will have no detrimental effect on the designated heritage assets and the designs satisfy the appropriate local and national planning policy for the setting of heritage assets.  </w:t>
      </w:r>
    </w:p>
    <w:p w:rsidR="00332A73" w:rsidRPr="00332A73" w:rsidRDefault="00332A73" w:rsidP="000B02AE">
      <w:pPr>
        <w:rPr>
          <w:rFonts w:cstheme="minorHAnsi"/>
          <w:sz w:val="20"/>
          <w:szCs w:val="20"/>
        </w:rPr>
      </w:pPr>
    </w:p>
    <w:p w:rsidR="00D14AF6" w:rsidRPr="00332A73" w:rsidRDefault="00D14AF6" w:rsidP="00332A73">
      <w:pPr>
        <w:rPr>
          <w:rFonts w:cstheme="minorHAnsi"/>
          <w:sz w:val="20"/>
          <w:szCs w:val="20"/>
        </w:rPr>
      </w:pPr>
    </w:p>
    <w:sectPr w:rsidR="00D14AF6" w:rsidRPr="00332A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A73"/>
    <w:rsid w:val="000B02AE"/>
    <w:rsid w:val="001703D4"/>
    <w:rsid w:val="00332A73"/>
    <w:rsid w:val="004E70F4"/>
    <w:rsid w:val="006A1669"/>
    <w:rsid w:val="00BE5FB6"/>
    <w:rsid w:val="00CD5ACB"/>
    <w:rsid w:val="00D14AF6"/>
    <w:rsid w:val="00D25E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02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02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02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02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hyperlink" Target="https://www.google.co.uk/url?sa=i&amp;rct=j&amp;q=&amp;esrc=s&amp;source=images&amp;cd=&amp;cad=rja&amp;uact=8&amp;ved=2ahUKEwia48bTlYfaAhXC1qQKHfGKBP8QjRx6BAgAEAU&amp;url=http://www.rightmove.co.uk/property-for-sale/property-63356602.html&amp;psig=AOvVaw0bFMj8YGE8-n2oikD8ysYy&amp;ust=1522056820235010"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5</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Parfitt</dc:creator>
  <cp:lastModifiedBy>David Parfitt</cp:lastModifiedBy>
  <cp:revision>1</cp:revision>
  <dcterms:created xsi:type="dcterms:W3CDTF">2018-03-25T09:18:00Z</dcterms:created>
  <dcterms:modified xsi:type="dcterms:W3CDTF">2018-03-25T10:38:00Z</dcterms:modified>
</cp:coreProperties>
</file>