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5504" w:rsidRPr="00AF3FE4" w:rsidRDefault="00625504" w:rsidP="00AF3FE4">
      <w:pPr>
        <w:spacing w:line="240" w:lineRule="auto"/>
        <w:rPr>
          <w:rFonts w:ascii="Trebuchet MS" w:hAnsi="Trebuchet MS"/>
          <w:sz w:val="24"/>
          <w:szCs w:val="24"/>
        </w:rPr>
      </w:pPr>
      <w:r w:rsidRPr="00AF3FE4">
        <w:rPr>
          <w:rFonts w:ascii="Trebuchet MS" w:hAnsi="Trebuchet MS"/>
          <w:b/>
          <w:sz w:val="24"/>
          <w:szCs w:val="24"/>
          <w:u w:val="single"/>
        </w:rPr>
        <w:t>Delegated Application Report</w:t>
      </w:r>
      <w:r w:rsidR="006A17A0" w:rsidRPr="00AF3FE4">
        <w:rPr>
          <w:rFonts w:ascii="Trebuchet MS" w:hAnsi="Trebuchet MS"/>
          <w:sz w:val="24"/>
          <w:szCs w:val="24"/>
        </w:rPr>
        <w:t xml:space="preserve"> </w:t>
      </w:r>
      <w:r w:rsidR="006A17A0" w:rsidRPr="00AF3FE4">
        <w:rPr>
          <w:rFonts w:ascii="Trebuchet MS" w:hAnsi="Trebuchet MS"/>
          <w:sz w:val="24"/>
          <w:szCs w:val="24"/>
        </w:rPr>
        <w:tab/>
      </w:r>
      <w:r w:rsidR="006A17A0" w:rsidRPr="00AF3FE4">
        <w:rPr>
          <w:rFonts w:ascii="Trebuchet MS" w:hAnsi="Trebuchet MS"/>
          <w:sz w:val="24"/>
          <w:szCs w:val="24"/>
        </w:rPr>
        <w:tab/>
      </w:r>
      <w:r w:rsidR="006A17A0" w:rsidRPr="00AF3FE4">
        <w:rPr>
          <w:rFonts w:ascii="Trebuchet MS" w:hAnsi="Trebuchet MS"/>
          <w:sz w:val="24"/>
          <w:szCs w:val="24"/>
        </w:rPr>
        <w:tab/>
      </w:r>
      <w:r w:rsidR="006A17A0" w:rsidRPr="00AF3FE4">
        <w:rPr>
          <w:rFonts w:ascii="Trebuchet MS" w:hAnsi="Trebuchet MS"/>
          <w:sz w:val="24"/>
          <w:szCs w:val="24"/>
        </w:rPr>
        <w:tab/>
      </w:r>
      <w:r w:rsidR="00225DA7">
        <w:rPr>
          <w:rFonts w:ascii="Trebuchet MS" w:hAnsi="Trebuchet MS"/>
          <w:sz w:val="24"/>
          <w:szCs w:val="24"/>
        </w:rPr>
        <w:t xml:space="preserve">          </w:t>
      </w:r>
      <w:r w:rsidRPr="00AF3FE4">
        <w:rPr>
          <w:rFonts w:ascii="Trebuchet MS" w:hAnsi="Trebuchet MS"/>
          <w:b/>
          <w:sz w:val="24"/>
          <w:szCs w:val="24"/>
        </w:rPr>
        <w:t>Target Date:</w:t>
      </w:r>
      <w:r w:rsidRPr="00AF3FE4">
        <w:rPr>
          <w:rFonts w:ascii="Trebuchet MS" w:hAnsi="Trebuchet MS"/>
          <w:sz w:val="24"/>
          <w:szCs w:val="24"/>
        </w:rPr>
        <w:t xml:space="preserve"> </w:t>
      </w:r>
      <w:r w:rsidR="001A7C4F">
        <w:rPr>
          <w:rFonts w:ascii="Trebuchet MS" w:hAnsi="Trebuchet MS"/>
          <w:sz w:val="24"/>
          <w:szCs w:val="24"/>
        </w:rPr>
        <w:t>27/03/18</w:t>
      </w:r>
    </w:p>
    <w:p w:rsidR="00625504" w:rsidRPr="001A7C4F" w:rsidRDefault="00625504" w:rsidP="00AF3FE4">
      <w:pPr>
        <w:spacing w:line="240" w:lineRule="auto"/>
        <w:rPr>
          <w:rFonts w:ascii="Trebuchet MS" w:hAnsi="Trebuchet MS"/>
          <w:sz w:val="24"/>
          <w:szCs w:val="24"/>
        </w:rPr>
      </w:pPr>
      <w:r w:rsidRPr="00AF3FE4">
        <w:rPr>
          <w:rFonts w:ascii="Trebuchet MS" w:hAnsi="Trebuchet MS"/>
          <w:b/>
          <w:sz w:val="24"/>
          <w:szCs w:val="24"/>
        </w:rPr>
        <w:t xml:space="preserve">Address: </w:t>
      </w:r>
      <w:r w:rsidR="001A7C4F">
        <w:rPr>
          <w:rFonts w:ascii="Trebuchet MS" w:hAnsi="Trebuchet MS"/>
          <w:sz w:val="24"/>
          <w:szCs w:val="24"/>
        </w:rPr>
        <w:t>3 Park Crescent</w:t>
      </w:r>
    </w:p>
    <w:p w:rsidR="00625504" w:rsidRPr="001A7C4F" w:rsidRDefault="00625504" w:rsidP="00AF3FE4">
      <w:pPr>
        <w:spacing w:line="240" w:lineRule="auto"/>
        <w:rPr>
          <w:rFonts w:ascii="Trebuchet MS" w:hAnsi="Trebuchet MS"/>
          <w:sz w:val="24"/>
          <w:szCs w:val="24"/>
        </w:rPr>
      </w:pPr>
      <w:r w:rsidRPr="00AF3FE4">
        <w:rPr>
          <w:rFonts w:ascii="Trebuchet MS" w:hAnsi="Trebuchet MS"/>
          <w:b/>
          <w:sz w:val="24"/>
          <w:szCs w:val="24"/>
        </w:rPr>
        <w:t xml:space="preserve">Application No: </w:t>
      </w:r>
      <w:r w:rsidR="001A7C4F">
        <w:rPr>
          <w:rFonts w:ascii="Trebuchet MS" w:hAnsi="Trebuchet MS"/>
          <w:sz w:val="24"/>
          <w:szCs w:val="24"/>
        </w:rPr>
        <w:t>180172/CLP</w:t>
      </w:r>
    </w:p>
    <w:p w:rsidR="00625504" w:rsidRPr="001A7C4F" w:rsidRDefault="00625504" w:rsidP="00AF3FE4">
      <w:pPr>
        <w:spacing w:line="240" w:lineRule="auto"/>
        <w:rPr>
          <w:rFonts w:ascii="Trebuchet MS" w:hAnsi="Trebuchet MS"/>
          <w:sz w:val="24"/>
          <w:szCs w:val="24"/>
        </w:rPr>
      </w:pPr>
      <w:r w:rsidRPr="00AF3FE4">
        <w:rPr>
          <w:rFonts w:ascii="Trebuchet MS" w:hAnsi="Trebuchet MS"/>
          <w:b/>
          <w:sz w:val="24"/>
          <w:szCs w:val="24"/>
        </w:rPr>
        <w:t xml:space="preserve">Proposal: </w:t>
      </w:r>
      <w:r w:rsidR="001A7C4F">
        <w:rPr>
          <w:rFonts w:ascii="Trebuchet MS" w:hAnsi="Trebuchet MS"/>
          <w:sz w:val="24"/>
          <w:szCs w:val="24"/>
        </w:rPr>
        <w:t xml:space="preserve">Loft conversion with side box dormers and </w:t>
      </w:r>
      <w:r w:rsidR="00D95A99">
        <w:rPr>
          <w:rFonts w:ascii="Trebuchet MS" w:hAnsi="Trebuchet MS"/>
          <w:sz w:val="24"/>
          <w:szCs w:val="24"/>
        </w:rPr>
        <w:t xml:space="preserve">a </w:t>
      </w:r>
      <w:r w:rsidR="001A7C4F">
        <w:rPr>
          <w:rFonts w:ascii="Trebuchet MS" w:hAnsi="Trebuchet MS"/>
          <w:sz w:val="24"/>
          <w:szCs w:val="24"/>
        </w:rPr>
        <w:t>flue</w:t>
      </w:r>
    </w:p>
    <w:p w:rsidR="00625504" w:rsidRPr="00AF3FE4" w:rsidRDefault="00625504" w:rsidP="00AF3FE4">
      <w:pPr>
        <w:spacing w:line="240" w:lineRule="auto"/>
        <w:rPr>
          <w:rFonts w:ascii="Trebuchet MS" w:hAnsi="Trebuchet MS"/>
          <w:sz w:val="24"/>
          <w:szCs w:val="24"/>
        </w:rPr>
      </w:pPr>
      <w:r w:rsidRPr="00AF3FE4">
        <w:rPr>
          <w:rFonts w:ascii="Trebuchet MS" w:hAnsi="Trebuchet MS"/>
          <w:b/>
          <w:sz w:val="24"/>
          <w:szCs w:val="24"/>
        </w:rPr>
        <w:t>Case Officer:</w:t>
      </w:r>
      <w:r w:rsidRPr="00AF3FE4">
        <w:rPr>
          <w:rFonts w:ascii="Trebuchet MS" w:hAnsi="Trebuchet MS"/>
          <w:sz w:val="24"/>
          <w:szCs w:val="24"/>
        </w:rPr>
        <w:t xml:space="preserve"> Tom Hughes</w:t>
      </w:r>
    </w:p>
    <w:p w:rsidR="00625504" w:rsidRDefault="00625504" w:rsidP="00AF3FE4">
      <w:pPr>
        <w:spacing w:line="240" w:lineRule="auto"/>
        <w:rPr>
          <w:rFonts w:ascii="Trebuchet MS" w:hAnsi="Trebuchet MS"/>
          <w:b/>
          <w:sz w:val="24"/>
          <w:szCs w:val="24"/>
        </w:rPr>
      </w:pPr>
      <w:r w:rsidRPr="00AF3FE4">
        <w:rPr>
          <w:rFonts w:ascii="Trebuchet MS" w:hAnsi="Trebuchet MS"/>
          <w:b/>
          <w:sz w:val="24"/>
          <w:szCs w:val="24"/>
        </w:rPr>
        <w:t>Introduction and Proposal</w:t>
      </w:r>
    </w:p>
    <w:p w:rsidR="001A7C4F" w:rsidRDefault="001A7C4F" w:rsidP="00AF3FE4">
      <w:pPr>
        <w:spacing w:line="240" w:lineRule="auto"/>
        <w:rPr>
          <w:rFonts w:ascii="Trebuchet MS" w:hAnsi="Trebuchet MS"/>
          <w:sz w:val="24"/>
          <w:szCs w:val="24"/>
        </w:rPr>
      </w:pPr>
      <w:r>
        <w:rPr>
          <w:rFonts w:ascii="Trebuchet MS" w:hAnsi="Trebuchet MS"/>
          <w:sz w:val="24"/>
          <w:szCs w:val="24"/>
        </w:rPr>
        <w:t xml:space="preserve">The application site is a bungalow with a pitched roof. The dwelling is of a style and design consistent with those in the surrounding area. </w:t>
      </w:r>
    </w:p>
    <w:p w:rsidR="001A7C4F" w:rsidRDefault="001A7C4F" w:rsidP="00AF3FE4">
      <w:pPr>
        <w:spacing w:line="240" w:lineRule="auto"/>
        <w:rPr>
          <w:rFonts w:ascii="Trebuchet MS" w:hAnsi="Trebuchet MS"/>
          <w:sz w:val="24"/>
          <w:szCs w:val="24"/>
        </w:rPr>
      </w:pPr>
      <w:r>
        <w:rPr>
          <w:rFonts w:ascii="Trebuchet MS" w:hAnsi="Trebuchet MS"/>
          <w:sz w:val="24"/>
          <w:szCs w:val="24"/>
        </w:rPr>
        <w:t xml:space="preserve">The proposal is for a loft conversion with the provision of side box dormers and a flue to the roof of the previously approved single storey rear extension. The dormers would be located to each sideward roof slope, extending to a length of 8.4m, with a maximum height of 1.9m, with a maximum projection of 2.9m. </w:t>
      </w:r>
      <w:r w:rsidR="00DE7999">
        <w:rPr>
          <w:rFonts w:ascii="Trebuchet MS" w:hAnsi="Trebuchet MS"/>
          <w:sz w:val="24"/>
          <w:szCs w:val="24"/>
        </w:rPr>
        <w:t xml:space="preserve">Each dormer would be set down from the existing ridgeline by 0.4m, and set back from the existing eaves by 0.45m. Each dormer would have a volume of 23.14 cubic metres, a total additional volume of 46.28 cubic metres. Each dormer would have three windows, to the sideward elevations, obscure-glazed and non-opening to 1.7m above the floor level of the room in which they are located. Materials have been selected to be of a similar appearance to those of the existing dwelling. </w:t>
      </w:r>
    </w:p>
    <w:p w:rsidR="00DE7999" w:rsidRPr="001A7C4F" w:rsidRDefault="00DE7999" w:rsidP="00AF3FE4">
      <w:pPr>
        <w:spacing w:line="240" w:lineRule="auto"/>
        <w:rPr>
          <w:rFonts w:ascii="Trebuchet MS" w:hAnsi="Trebuchet MS"/>
          <w:sz w:val="24"/>
          <w:szCs w:val="24"/>
        </w:rPr>
      </w:pPr>
      <w:r>
        <w:rPr>
          <w:rFonts w:ascii="Trebuchet MS" w:hAnsi="Trebuchet MS"/>
          <w:sz w:val="24"/>
          <w:szCs w:val="24"/>
        </w:rPr>
        <w:t xml:space="preserve">To the south-eastward corner of the previously approved single storey rear extension would be located a flue for a log burner. The flue would have a height of 1.9m, approximately 1m below the ridgeline of the existing roof. </w:t>
      </w:r>
    </w:p>
    <w:p w:rsidR="00625504" w:rsidRPr="00AF3FE4" w:rsidRDefault="00625504" w:rsidP="00AF3FE4">
      <w:pPr>
        <w:spacing w:line="240" w:lineRule="auto"/>
        <w:rPr>
          <w:rFonts w:ascii="Trebuchet MS" w:hAnsi="Trebuchet MS"/>
          <w:b/>
          <w:sz w:val="24"/>
          <w:szCs w:val="24"/>
        </w:rPr>
      </w:pPr>
      <w:r w:rsidRPr="00AF3FE4">
        <w:rPr>
          <w:rFonts w:ascii="Trebuchet MS" w:hAnsi="Trebuchet MS"/>
          <w:b/>
          <w:sz w:val="24"/>
          <w:szCs w:val="24"/>
        </w:rPr>
        <w:t>Plans Submitted</w:t>
      </w:r>
    </w:p>
    <w:p w:rsidR="00872EBC" w:rsidRDefault="00625504" w:rsidP="003C6957">
      <w:pPr>
        <w:spacing w:line="240" w:lineRule="auto"/>
        <w:rPr>
          <w:rFonts w:ascii="Trebuchet MS" w:hAnsi="Trebuchet MS"/>
          <w:sz w:val="24"/>
          <w:szCs w:val="24"/>
        </w:rPr>
      </w:pPr>
      <w:r w:rsidRPr="00AF3FE4">
        <w:rPr>
          <w:rFonts w:ascii="Trebuchet MS" w:hAnsi="Trebuchet MS"/>
          <w:sz w:val="24"/>
          <w:szCs w:val="24"/>
        </w:rPr>
        <w:t>The agent</w:t>
      </w:r>
      <w:r w:rsidR="00D330DE">
        <w:rPr>
          <w:rFonts w:ascii="Trebuchet MS" w:hAnsi="Trebuchet MS"/>
          <w:sz w:val="24"/>
          <w:szCs w:val="24"/>
        </w:rPr>
        <w:t xml:space="preserve"> supplied the following</w:t>
      </w:r>
      <w:r w:rsidRPr="00AF3FE4">
        <w:rPr>
          <w:rFonts w:ascii="Trebuchet MS" w:hAnsi="Trebuchet MS"/>
          <w:sz w:val="24"/>
          <w:szCs w:val="24"/>
        </w:rPr>
        <w:t>, received</w:t>
      </w:r>
      <w:r w:rsidR="00D330DE">
        <w:rPr>
          <w:rFonts w:ascii="Trebuchet MS" w:hAnsi="Trebuchet MS"/>
          <w:sz w:val="24"/>
          <w:szCs w:val="24"/>
        </w:rPr>
        <w:t xml:space="preserve"> on </w:t>
      </w:r>
      <w:r w:rsidR="00872EBC">
        <w:rPr>
          <w:rFonts w:ascii="Trebuchet MS" w:hAnsi="Trebuchet MS"/>
          <w:sz w:val="24"/>
          <w:szCs w:val="24"/>
        </w:rPr>
        <w:t>29</w:t>
      </w:r>
      <w:r w:rsidR="00872EBC" w:rsidRPr="00872EBC">
        <w:rPr>
          <w:rFonts w:ascii="Trebuchet MS" w:hAnsi="Trebuchet MS"/>
          <w:sz w:val="24"/>
          <w:szCs w:val="24"/>
          <w:vertAlign w:val="superscript"/>
        </w:rPr>
        <w:t>th</w:t>
      </w:r>
      <w:r w:rsidR="00872EBC">
        <w:rPr>
          <w:rFonts w:ascii="Trebuchet MS" w:hAnsi="Trebuchet MS"/>
          <w:sz w:val="24"/>
          <w:szCs w:val="24"/>
        </w:rPr>
        <w:t xml:space="preserve"> January 2018:</w:t>
      </w:r>
    </w:p>
    <w:p w:rsidR="00872EBC" w:rsidRDefault="00872EBC" w:rsidP="003C6957">
      <w:pPr>
        <w:spacing w:line="240" w:lineRule="auto"/>
        <w:rPr>
          <w:rFonts w:ascii="Trebuchet MS" w:hAnsi="Trebuchet MS"/>
          <w:sz w:val="24"/>
          <w:szCs w:val="24"/>
        </w:rPr>
      </w:pPr>
      <w:r>
        <w:rPr>
          <w:rFonts w:ascii="Trebuchet MS" w:hAnsi="Trebuchet MS"/>
          <w:sz w:val="24"/>
          <w:szCs w:val="24"/>
        </w:rPr>
        <w:t>Drawing No: DN68/250 – Site Location and Block Plan</w:t>
      </w:r>
    </w:p>
    <w:p w:rsidR="00872EBC" w:rsidRDefault="00872EBC" w:rsidP="003C6957">
      <w:pPr>
        <w:spacing w:line="240" w:lineRule="auto"/>
        <w:rPr>
          <w:rFonts w:ascii="Trebuchet MS" w:hAnsi="Trebuchet MS"/>
          <w:sz w:val="24"/>
          <w:szCs w:val="24"/>
        </w:rPr>
      </w:pPr>
      <w:r>
        <w:rPr>
          <w:rFonts w:ascii="Trebuchet MS" w:hAnsi="Trebuchet MS"/>
          <w:sz w:val="24"/>
          <w:szCs w:val="24"/>
        </w:rPr>
        <w:t>Drawing No: DN68/251 – Proposed Floor Plans</w:t>
      </w:r>
    </w:p>
    <w:p w:rsidR="00872EBC" w:rsidRPr="00AF3FE4" w:rsidRDefault="00872EBC" w:rsidP="003C6957">
      <w:pPr>
        <w:spacing w:line="240" w:lineRule="auto"/>
        <w:rPr>
          <w:rFonts w:ascii="Trebuchet MS" w:hAnsi="Trebuchet MS"/>
          <w:sz w:val="24"/>
          <w:szCs w:val="24"/>
        </w:rPr>
      </w:pPr>
      <w:r>
        <w:rPr>
          <w:rFonts w:ascii="Trebuchet MS" w:hAnsi="Trebuchet MS"/>
          <w:sz w:val="24"/>
          <w:szCs w:val="24"/>
        </w:rPr>
        <w:t>Drawing No: DN68/252 – Proposed Elevations and Section</w:t>
      </w:r>
    </w:p>
    <w:p w:rsidR="00625504" w:rsidRDefault="00625504" w:rsidP="00AF3FE4">
      <w:pPr>
        <w:spacing w:line="240" w:lineRule="auto"/>
        <w:rPr>
          <w:rFonts w:ascii="Trebuchet MS" w:hAnsi="Trebuchet MS"/>
          <w:b/>
          <w:sz w:val="24"/>
          <w:szCs w:val="24"/>
        </w:rPr>
      </w:pPr>
      <w:r w:rsidRPr="00AF3FE4">
        <w:rPr>
          <w:rFonts w:ascii="Trebuchet MS" w:hAnsi="Trebuchet MS"/>
          <w:b/>
          <w:sz w:val="24"/>
          <w:szCs w:val="24"/>
        </w:rPr>
        <w:t>Relevant Planning History</w:t>
      </w:r>
    </w:p>
    <w:p w:rsidR="00872EBC" w:rsidRPr="00872EBC" w:rsidRDefault="00872EBC" w:rsidP="00AF3FE4">
      <w:pPr>
        <w:spacing w:line="240" w:lineRule="auto"/>
        <w:rPr>
          <w:rFonts w:ascii="Trebuchet MS" w:hAnsi="Trebuchet MS"/>
          <w:sz w:val="24"/>
          <w:szCs w:val="24"/>
        </w:rPr>
      </w:pPr>
      <w:r>
        <w:rPr>
          <w:rFonts w:ascii="Trebuchet MS" w:hAnsi="Trebuchet MS"/>
          <w:sz w:val="24"/>
          <w:szCs w:val="24"/>
        </w:rPr>
        <w:t>172223/HPA – Single storey rear extension – Prior Approval Notification – Approval 19/01/18</w:t>
      </w:r>
    </w:p>
    <w:p w:rsidR="00625504" w:rsidRPr="00AF3FE4" w:rsidRDefault="00625504" w:rsidP="00AF3FE4">
      <w:pPr>
        <w:spacing w:line="240" w:lineRule="auto"/>
        <w:rPr>
          <w:rFonts w:ascii="Trebuchet MS" w:hAnsi="Trebuchet MS"/>
          <w:b/>
          <w:sz w:val="24"/>
          <w:szCs w:val="24"/>
        </w:rPr>
      </w:pPr>
      <w:r w:rsidRPr="00AF3FE4">
        <w:rPr>
          <w:rFonts w:ascii="Trebuchet MS" w:hAnsi="Trebuchet MS"/>
          <w:b/>
          <w:sz w:val="24"/>
          <w:szCs w:val="24"/>
        </w:rPr>
        <w:t>Summary of Consultations</w:t>
      </w:r>
    </w:p>
    <w:p w:rsidR="00625504" w:rsidRPr="00AF3FE4" w:rsidRDefault="00625504" w:rsidP="00AF3FE4">
      <w:pPr>
        <w:spacing w:line="240" w:lineRule="auto"/>
        <w:rPr>
          <w:rFonts w:ascii="Trebuchet MS" w:hAnsi="Trebuchet MS"/>
          <w:sz w:val="24"/>
          <w:szCs w:val="24"/>
        </w:rPr>
      </w:pPr>
      <w:r w:rsidRPr="00AF3FE4">
        <w:rPr>
          <w:rFonts w:ascii="Trebuchet MS" w:hAnsi="Trebuchet MS"/>
          <w:sz w:val="24"/>
          <w:szCs w:val="24"/>
        </w:rPr>
        <w:t>No consultations were undertaken as it is not required for an application of this type.</w:t>
      </w:r>
    </w:p>
    <w:p w:rsidR="00625504" w:rsidRPr="00AF3FE4" w:rsidRDefault="00625504" w:rsidP="00AF3FE4">
      <w:pPr>
        <w:spacing w:line="240" w:lineRule="auto"/>
        <w:rPr>
          <w:rFonts w:ascii="Trebuchet MS" w:hAnsi="Trebuchet MS"/>
          <w:b/>
          <w:sz w:val="24"/>
          <w:szCs w:val="24"/>
        </w:rPr>
      </w:pPr>
      <w:r w:rsidRPr="00AF3FE4">
        <w:rPr>
          <w:rFonts w:ascii="Trebuchet MS" w:hAnsi="Trebuchet MS"/>
          <w:b/>
          <w:sz w:val="24"/>
          <w:szCs w:val="24"/>
        </w:rPr>
        <w:t>Relevant Planning Policy and Guidance</w:t>
      </w:r>
    </w:p>
    <w:p w:rsidR="00625504" w:rsidRPr="00AF3FE4" w:rsidRDefault="0022790B"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National Planning Practice Guidance</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lastRenderedPageBreak/>
        <w:t>The Town and Country Planning (General Permitted Development) (England) Order 2015 (GPDO)</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Permitted development rights for householders</w:t>
      </w:r>
      <w:r w:rsidR="00246D7F">
        <w:rPr>
          <w:rFonts w:ascii="Trebuchet MS" w:eastAsia="Times New Roman" w:hAnsi="Trebuchet MS"/>
          <w:color w:val="000000"/>
          <w:sz w:val="24"/>
          <w:szCs w:val="24"/>
        </w:rPr>
        <w:t xml:space="preserve"> – Technical Guidance April 2017</w:t>
      </w:r>
    </w:p>
    <w:p w:rsidR="00625504" w:rsidRPr="00AF3FE4"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b/>
          <w:color w:val="000000"/>
          <w:sz w:val="24"/>
          <w:szCs w:val="24"/>
        </w:rPr>
        <w:t>Assessment</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 xml:space="preserve">A Certificate of Lawfulness for a proposed development has been submitted as the applicant considers the proposal falls within the permitted development rights of the property. </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The proposed</w:t>
      </w:r>
      <w:r w:rsidR="00075F51">
        <w:rPr>
          <w:rFonts w:ascii="Trebuchet MS" w:eastAsia="Times New Roman" w:hAnsi="Trebuchet MS"/>
          <w:color w:val="000000"/>
          <w:sz w:val="24"/>
          <w:szCs w:val="24"/>
        </w:rPr>
        <w:t xml:space="preserve"> </w:t>
      </w:r>
      <w:r w:rsidR="00C60527">
        <w:rPr>
          <w:rFonts w:ascii="Trebuchet MS" w:eastAsia="Times New Roman" w:hAnsi="Trebuchet MS"/>
          <w:color w:val="000000"/>
          <w:sz w:val="24"/>
          <w:szCs w:val="24"/>
        </w:rPr>
        <w:t xml:space="preserve">loft conversion with side box dormers and a flue </w:t>
      </w:r>
      <w:r w:rsidRPr="00AF3FE4">
        <w:rPr>
          <w:rFonts w:ascii="Trebuchet MS" w:eastAsia="Times New Roman" w:hAnsi="Trebuchet MS"/>
          <w:color w:val="000000"/>
          <w:sz w:val="24"/>
          <w:szCs w:val="24"/>
        </w:rPr>
        <w:t>mu</w:t>
      </w:r>
      <w:r w:rsidR="00C60527">
        <w:rPr>
          <w:rFonts w:ascii="Trebuchet MS" w:eastAsia="Times New Roman" w:hAnsi="Trebuchet MS"/>
          <w:color w:val="000000"/>
          <w:sz w:val="24"/>
          <w:szCs w:val="24"/>
        </w:rPr>
        <w:t>st be assessed to ensure that they comply with the conditions of Class B and Class G</w:t>
      </w:r>
      <w:r w:rsidRPr="00AF3FE4">
        <w:rPr>
          <w:rFonts w:ascii="Trebuchet MS" w:eastAsia="Times New Roman" w:hAnsi="Trebuchet MS"/>
          <w:color w:val="000000"/>
          <w:sz w:val="24"/>
          <w:szCs w:val="24"/>
        </w:rPr>
        <w:t>, Part 1, Schedule 2 of the Town and Country Planning (General Permitted Development) (En</w:t>
      </w:r>
      <w:r w:rsidR="00C60527">
        <w:rPr>
          <w:rFonts w:ascii="Trebuchet MS" w:eastAsia="Times New Roman" w:hAnsi="Trebuchet MS"/>
          <w:color w:val="000000"/>
          <w:sz w:val="24"/>
          <w:szCs w:val="24"/>
        </w:rPr>
        <w:t>gland) Order 2015, which relate to</w:t>
      </w:r>
      <w:r w:rsidRPr="00AF3FE4">
        <w:rPr>
          <w:rFonts w:ascii="Trebuchet MS" w:eastAsia="Times New Roman" w:hAnsi="Trebuchet MS"/>
          <w:color w:val="000000"/>
          <w:sz w:val="24"/>
          <w:szCs w:val="24"/>
        </w:rPr>
        <w:t xml:space="preserve"> ‘</w:t>
      </w:r>
      <w:r w:rsidR="00C60527">
        <w:rPr>
          <w:rFonts w:ascii="Trebuchet MS" w:eastAsia="Times New Roman" w:hAnsi="Trebuchet MS"/>
          <w:color w:val="000000"/>
          <w:sz w:val="24"/>
          <w:szCs w:val="24"/>
        </w:rPr>
        <w:t xml:space="preserve">additions </w:t>
      </w:r>
      <w:proofErr w:type="spellStart"/>
      <w:r w:rsidR="00C60527">
        <w:rPr>
          <w:rFonts w:ascii="Trebuchet MS" w:eastAsia="Times New Roman" w:hAnsi="Trebuchet MS"/>
          <w:color w:val="000000"/>
          <w:sz w:val="24"/>
          <w:szCs w:val="24"/>
        </w:rPr>
        <w:t>etc</w:t>
      </w:r>
      <w:proofErr w:type="spellEnd"/>
      <w:r w:rsidR="00C60527">
        <w:rPr>
          <w:rFonts w:ascii="Trebuchet MS" w:eastAsia="Times New Roman" w:hAnsi="Trebuchet MS"/>
          <w:color w:val="000000"/>
          <w:sz w:val="24"/>
          <w:szCs w:val="24"/>
        </w:rPr>
        <w:t xml:space="preserve"> to the roof</w:t>
      </w:r>
      <w:r w:rsidRPr="00AF3FE4">
        <w:rPr>
          <w:rFonts w:ascii="Trebuchet MS" w:eastAsia="Times New Roman" w:hAnsi="Trebuchet MS"/>
          <w:color w:val="000000"/>
          <w:sz w:val="24"/>
          <w:szCs w:val="24"/>
        </w:rPr>
        <w:t xml:space="preserve"> of a dwellinghouse’</w:t>
      </w:r>
      <w:r w:rsidR="00C60527">
        <w:rPr>
          <w:rFonts w:ascii="Trebuchet MS" w:eastAsia="Times New Roman" w:hAnsi="Trebuchet MS"/>
          <w:color w:val="000000"/>
          <w:sz w:val="24"/>
          <w:szCs w:val="24"/>
        </w:rPr>
        <w:t xml:space="preserve"> and ‘chimneys, flues </w:t>
      </w:r>
      <w:proofErr w:type="spellStart"/>
      <w:r w:rsidR="00C60527">
        <w:rPr>
          <w:rFonts w:ascii="Trebuchet MS" w:eastAsia="Times New Roman" w:hAnsi="Trebuchet MS"/>
          <w:color w:val="000000"/>
          <w:sz w:val="24"/>
          <w:szCs w:val="24"/>
        </w:rPr>
        <w:t>etc</w:t>
      </w:r>
      <w:proofErr w:type="spellEnd"/>
      <w:r w:rsidR="00C60527">
        <w:rPr>
          <w:rFonts w:ascii="Trebuchet MS" w:eastAsia="Times New Roman" w:hAnsi="Trebuchet MS"/>
          <w:color w:val="000000"/>
          <w:sz w:val="24"/>
          <w:szCs w:val="24"/>
        </w:rPr>
        <w:t xml:space="preserve"> on a dwellinghouse’</w:t>
      </w:r>
      <w:r w:rsidRPr="00AF3FE4">
        <w:rPr>
          <w:rFonts w:ascii="Trebuchet MS" w:eastAsia="Times New Roman" w:hAnsi="Trebuchet MS"/>
          <w:color w:val="000000"/>
          <w:sz w:val="24"/>
          <w:szCs w:val="24"/>
        </w:rPr>
        <w:t>.</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The releva</w:t>
      </w:r>
      <w:r w:rsidR="00075F51">
        <w:rPr>
          <w:rFonts w:ascii="Trebuchet MS" w:eastAsia="Times New Roman" w:hAnsi="Trebuchet MS"/>
          <w:color w:val="000000"/>
          <w:sz w:val="24"/>
          <w:szCs w:val="24"/>
        </w:rPr>
        <w:t xml:space="preserve">nt conditions of the GPDO for a </w:t>
      </w:r>
      <w:r w:rsidR="00C60527">
        <w:rPr>
          <w:rFonts w:ascii="Trebuchet MS" w:eastAsia="Times New Roman" w:hAnsi="Trebuchet MS"/>
          <w:color w:val="000000"/>
          <w:sz w:val="24"/>
          <w:szCs w:val="24"/>
        </w:rPr>
        <w:t>loft conversio</w:t>
      </w:r>
      <w:r w:rsidR="00075F51">
        <w:rPr>
          <w:rFonts w:ascii="Trebuchet MS" w:eastAsia="Times New Roman" w:hAnsi="Trebuchet MS"/>
          <w:color w:val="000000"/>
          <w:sz w:val="24"/>
          <w:szCs w:val="24"/>
        </w:rPr>
        <w:t>n</w:t>
      </w:r>
      <w:r w:rsidR="00C60527">
        <w:rPr>
          <w:rFonts w:ascii="Trebuchet MS" w:eastAsia="Times New Roman" w:hAnsi="Trebuchet MS"/>
          <w:color w:val="000000"/>
          <w:sz w:val="24"/>
          <w:szCs w:val="24"/>
        </w:rPr>
        <w:t xml:space="preserve"> with side box dormers and a flue</w:t>
      </w:r>
      <w:r w:rsidRPr="00AF3FE4">
        <w:rPr>
          <w:rFonts w:ascii="Trebuchet MS" w:eastAsia="Times New Roman" w:hAnsi="Trebuchet MS"/>
          <w:color w:val="000000"/>
          <w:sz w:val="24"/>
          <w:szCs w:val="24"/>
        </w:rPr>
        <w:t xml:space="preserve">, which is not listed or in a conservation area, are as follows: </w:t>
      </w:r>
    </w:p>
    <w:p w:rsidR="00C60527" w:rsidRPr="00C60527" w:rsidRDefault="00C60527" w:rsidP="00AF3FE4">
      <w:pPr>
        <w:spacing w:line="240" w:lineRule="auto"/>
        <w:rPr>
          <w:rFonts w:ascii="Trebuchet MS" w:eastAsia="Times New Roman" w:hAnsi="Trebuchet MS"/>
          <w:color w:val="000000"/>
          <w:sz w:val="24"/>
          <w:szCs w:val="24"/>
          <w:u w:val="single"/>
        </w:rPr>
      </w:pPr>
      <w:r>
        <w:rPr>
          <w:rFonts w:ascii="Trebuchet MS" w:eastAsia="Times New Roman" w:hAnsi="Trebuchet MS"/>
          <w:color w:val="000000"/>
          <w:sz w:val="24"/>
          <w:szCs w:val="24"/>
          <w:u w:val="single"/>
        </w:rPr>
        <w:t>Loft conversion with side box dormers</w:t>
      </w:r>
    </w:p>
    <w:p w:rsidR="00270CCE" w:rsidRDefault="00270CC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B.1 Development is not permitted by Class B if:</w:t>
      </w:r>
    </w:p>
    <w:p w:rsidR="00270CCE" w:rsidRPr="00264BCB"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B.1 (a) permission to use the dwellinghouse as a dwellinghouse has been granted only by virtue of Class M, N, P or Q of Part 3 of this Schedule (changes of use);</w:t>
      </w:r>
      <w:r w:rsidR="00264BCB">
        <w:rPr>
          <w:rFonts w:ascii="Trebuchet MS" w:eastAsia="Times New Roman" w:hAnsi="Trebuchet MS"/>
          <w:color w:val="000000"/>
          <w:sz w:val="24"/>
          <w:szCs w:val="24"/>
        </w:rPr>
        <w:t xml:space="preserve"> </w:t>
      </w:r>
      <w:r w:rsidR="00264BCB">
        <w:rPr>
          <w:rFonts w:ascii="Trebuchet MS" w:eastAsia="Times New Roman" w:hAnsi="Trebuchet MS"/>
          <w:b/>
          <w:color w:val="000000"/>
          <w:sz w:val="24"/>
          <w:szCs w:val="24"/>
        </w:rPr>
        <w:t>complies</w:t>
      </w:r>
    </w:p>
    <w:p w:rsidR="00270CCE" w:rsidRPr="00264BCB"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 xml:space="preserve">B.1 (b) any part of the dwellinghouse would, as a result of the works, exceed the height of the highest part of the existing roof; </w:t>
      </w:r>
      <w:r w:rsidR="00264BCB">
        <w:rPr>
          <w:rFonts w:ascii="Trebuchet MS" w:eastAsia="Times New Roman" w:hAnsi="Trebuchet MS"/>
          <w:b/>
          <w:color w:val="000000"/>
          <w:sz w:val="24"/>
          <w:szCs w:val="24"/>
        </w:rPr>
        <w:t>complies</w:t>
      </w:r>
    </w:p>
    <w:p w:rsidR="00270CCE" w:rsidRPr="00264BCB"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B.1 (c) any part of the dwellinghouse would, as a result of the works, extend beyond the plane of any existing roof slope which forms the principal elevation of the dwellinghouse and fronts a highway;</w:t>
      </w:r>
      <w:r w:rsidR="00264BCB">
        <w:rPr>
          <w:rFonts w:ascii="Trebuchet MS" w:eastAsia="Times New Roman" w:hAnsi="Trebuchet MS"/>
          <w:color w:val="000000"/>
          <w:sz w:val="24"/>
          <w:szCs w:val="24"/>
        </w:rPr>
        <w:t xml:space="preserve"> </w:t>
      </w:r>
      <w:r w:rsidR="00264BCB">
        <w:rPr>
          <w:rFonts w:ascii="Trebuchet MS" w:eastAsia="Times New Roman" w:hAnsi="Trebuchet MS"/>
          <w:b/>
          <w:color w:val="000000"/>
          <w:sz w:val="24"/>
          <w:szCs w:val="24"/>
        </w:rPr>
        <w:t>complies</w:t>
      </w:r>
    </w:p>
    <w:p w:rsidR="00270CCE" w:rsidRPr="00264BCB" w:rsidRDefault="00270CC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B.1 (d) the cubic content of the resulting roof space would exceed the cubic content of the original roof space by more than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40 cubic metres in the case of a terrace house,</w:t>
      </w:r>
      <w:r w:rsidR="00264BCB">
        <w:rPr>
          <w:rFonts w:ascii="Trebuchet MS" w:eastAsia="Times New Roman" w:hAnsi="Trebuchet MS"/>
          <w:color w:val="000000"/>
          <w:sz w:val="24"/>
          <w:szCs w:val="24"/>
        </w:rPr>
        <w:t xml:space="preserve"> </w:t>
      </w:r>
      <w:r w:rsidR="00264BCB">
        <w:rPr>
          <w:rFonts w:ascii="Trebuchet MS" w:eastAsia="Times New Roman" w:hAnsi="Trebuchet MS"/>
          <w:b/>
          <w:color w:val="000000"/>
          <w:sz w:val="24"/>
          <w:szCs w:val="24"/>
        </w:rPr>
        <w:t>n/a</w:t>
      </w:r>
      <w:r>
        <w:rPr>
          <w:rFonts w:ascii="Trebuchet MS" w:eastAsia="Times New Roman" w:hAnsi="Trebuchet MS"/>
          <w:color w:val="000000"/>
          <w:sz w:val="24"/>
          <w:szCs w:val="24"/>
        </w:rPr>
        <w:t xml:space="preserve"> or (ii) 50 cubic metres in any other case;</w:t>
      </w:r>
      <w:r w:rsidR="00264BCB">
        <w:rPr>
          <w:rFonts w:ascii="Trebuchet MS" w:eastAsia="Times New Roman" w:hAnsi="Trebuchet MS"/>
          <w:color w:val="000000"/>
          <w:sz w:val="24"/>
          <w:szCs w:val="24"/>
        </w:rPr>
        <w:t xml:space="preserve"> </w:t>
      </w:r>
      <w:r w:rsidR="00264BCB" w:rsidRPr="00264BCB">
        <w:rPr>
          <w:rFonts w:ascii="Trebuchet MS" w:eastAsia="Times New Roman" w:hAnsi="Trebuchet MS"/>
          <w:b/>
          <w:color w:val="000000"/>
          <w:sz w:val="24"/>
          <w:szCs w:val="24"/>
        </w:rPr>
        <w:t>complies,</w:t>
      </w:r>
      <w:r w:rsidR="00264BCB">
        <w:rPr>
          <w:rFonts w:ascii="Trebuchet MS" w:eastAsia="Times New Roman" w:hAnsi="Trebuchet MS"/>
          <w:color w:val="000000"/>
          <w:sz w:val="24"/>
          <w:szCs w:val="24"/>
        </w:rPr>
        <w:t xml:space="preserve"> </w:t>
      </w:r>
      <w:r w:rsidR="00264BCB">
        <w:rPr>
          <w:rFonts w:ascii="Trebuchet MS" w:eastAsia="Times New Roman" w:hAnsi="Trebuchet MS"/>
          <w:b/>
          <w:color w:val="000000"/>
          <w:sz w:val="24"/>
          <w:szCs w:val="24"/>
        </w:rPr>
        <w:t>the cubic content of the resulting roof space would exceed the cubic content of the original roof space by 46.28 cubic metres</w:t>
      </w:r>
      <w:r w:rsidR="00264BCB" w:rsidRPr="00264BCB">
        <w:rPr>
          <w:rFonts w:ascii="Trebuchet MS" w:eastAsia="Times New Roman" w:hAnsi="Trebuchet MS"/>
          <w:color w:val="000000"/>
          <w:sz w:val="24"/>
          <w:szCs w:val="24"/>
        </w:rPr>
        <w:t xml:space="preserve"> </w:t>
      </w:r>
    </w:p>
    <w:p w:rsidR="00270CCE" w:rsidRDefault="00270CC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B.1 (e) it would consist of or include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xml:space="preserve">) the construction or provision of a veranda, balcony or raised platform, </w:t>
      </w:r>
      <w:r w:rsidR="00264BCB">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 xml:space="preserve">or (ii) the installation, alteration or replacement of a chimney, flue or soil and vent pipe; </w:t>
      </w:r>
      <w:r w:rsidR="00264BCB">
        <w:rPr>
          <w:rFonts w:ascii="Trebuchet MS" w:eastAsia="Times New Roman" w:hAnsi="Trebuchet MS"/>
          <w:b/>
          <w:color w:val="000000"/>
          <w:sz w:val="24"/>
          <w:szCs w:val="24"/>
        </w:rPr>
        <w:t xml:space="preserve">complies, subject to Class G </w:t>
      </w:r>
      <w:r>
        <w:rPr>
          <w:rFonts w:ascii="Trebuchet MS" w:eastAsia="Times New Roman" w:hAnsi="Trebuchet MS"/>
          <w:color w:val="000000"/>
          <w:sz w:val="24"/>
          <w:szCs w:val="24"/>
        </w:rPr>
        <w:t>or</w:t>
      </w:r>
    </w:p>
    <w:p w:rsidR="00270CCE" w:rsidRPr="00264BCB"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B.1 (f) the dwellinghouse is on article 2(3) land.</w:t>
      </w:r>
      <w:r w:rsidR="00264BCB">
        <w:rPr>
          <w:rFonts w:ascii="Trebuchet MS" w:eastAsia="Times New Roman" w:hAnsi="Trebuchet MS"/>
          <w:color w:val="000000"/>
          <w:sz w:val="24"/>
          <w:szCs w:val="24"/>
        </w:rPr>
        <w:t xml:space="preserve"> </w:t>
      </w:r>
      <w:r w:rsidR="00264BCB">
        <w:rPr>
          <w:rFonts w:ascii="Trebuchet MS" w:eastAsia="Times New Roman" w:hAnsi="Trebuchet MS"/>
          <w:b/>
          <w:color w:val="000000"/>
          <w:sz w:val="24"/>
          <w:szCs w:val="24"/>
        </w:rPr>
        <w:t>complies</w:t>
      </w:r>
    </w:p>
    <w:p w:rsidR="00270CCE" w:rsidRDefault="00270CC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Conditions</w:t>
      </w:r>
    </w:p>
    <w:p w:rsidR="00270CCE" w:rsidRDefault="00270CC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B.2 Development is permitted by Class B subject to the following conditions:</w:t>
      </w:r>
    </w:p>
    <w:p w:rsidR="00270CCE" w:rsidRPr="00264BCB"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lastRenderedPageBreak/>
        <w:t xml:space="preserve">B.2 (a) the materials used in </w:t>
      </w:r>
      <w:r w:rsidR="008A59CB">
        <w:rPr>
          <w:rFonts w:ascii="Trebuchet MS" w:eastAsia="Times New Roman" w:hAnsi="Trebuchet MS"/>
          <w:color w:val="000000"/>
          <w:sz w:val="24"/>
          <w:szCs w:val="24"/>
        </w:rPr>
        <w:t>any exterior work must be of a similar appearance to those used in the construction of the exterior of the existing dwellinghouse;</w:t>
      </w:r>
      <w:r w:rsidR="00264BCB">
        <w:rPr>
          <w:rFonts w:ascii="Trebuchet MS" w:eastAsia="Times New Roman" w:hAnsi="Trebuchet MS"/>
          <w:color w:val="000000"/>
          <w:sz w:val="24"/>
          <w:szCs w:val="24"/>
        </w:rPr>
        <w:t xml:space="preserve"> </w:t>
      </w:r>
      <w:r w:rsidR="00264BCB">
        <w:rPr>
          <w:rFonts w:ascii="Trebuchet MS" w:eastAsia="Times New Roman" w:hAnsi="Trebuchet MS"/>
          <w:b/>
          <w:color w:val="000000"/>
          <w:sz w:val="24"/>
          <w:szCs w:val="24"/>
        </w:rPr>
        <w:t>complies</w:t>
      </w:r>
    </w:p>
    <w:p w:rsidR="008A59CB" w:rsidRDefault="008A59CB"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B.2 (b) the enlargement must be constructed so that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xml:space="preserve">) other than in the case of a hip-to-gable enlargement or an enlargement which joins the original roof to the roof of a rear or side extension (aa) the eaves of the original roof are maintained or reinstated; </w:t>
      </w:r>
      <w:r w:rsidR="00264BCB">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 xml:space="preserve">and (bb) the edge of the enlargement closest to the eaves of the original roof is, so far as practicable, not less than 0.2 metres from the eaves, measured along the roof slope from the outside edge of the eaves; </w:t>
      </w:r>
      <w:r w:rsidR="00264BCB">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 xml:space="preserve">and (ii) other than in the case of an enlargement which joins the original roof to the roof of a rear or side extension, no part of the enlargement extends beyond the outside face of any external wall of the original dwellinghouse; </w:t>
      </w:r>
      <w:r w:rsidR="00264BCB">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 xml:space="preserve">and </w:t>
      </w:r>
    </w:p>
    <w:p w:rsidR="008A59CB" w:rsidRPr="00264BCB" w:rsidRDefault="008A59CB"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B.2 (c) any window inserted on a wall or roof slope forming a side elevation of the dwellinghouse must be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xml:space="preserve">) obscure-glazed, </w:t>
      </w:r>
      <w:r w:rsidR="00264BCB">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 xml:space="preserve">and (ii) non-opening unless the parts of the window which can be opened are more than 1.7 metres above the floor of the room in which the window is installed. </w:t>
      </w:r>
      <w:r w:rsidR="00264BCB">
        <w:rPr>
          <w:rFonts w:ascii="Trebuchet MS" w:eastAsia="Times New Roman" w:hAnsi="Trebuchet MS"/>
          <w:b/>
          <w:color w:val="000000"/>
          <w:sz w:val="24"/>
          <w:szCs w:val="24"/>
        </w:rPr>
        <w:t>complies</w:t>
      </w:r>
    </w:p>
    <w:p w:rsidR="008A59CB" w:rsidRDefault="008A59CB"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Interpretation of Class B</w:t>
      </w:r>
    </w:p>
    <w:p w:rsidR="008A59CB" w:rsidRDefault="0014241C"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B.3 For the purposes of Class B, “resulting roof space” means the roof space as enlarged, taking into account any enlargement to the original roof space, whether permitted by this Class or not.</w:t>
      </w:r>
    </w:p>
    <w:p w:rsidR="0014241C" w:rsidRDefault="0014241C"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 xml:space="preserve">B.4 For the purposes of paragraph B.2(b)(ii), roof tiles, guttering, </w:t>
      </w:r>
      <w:proofErr w:type="spellStart"/>
      <w:r>
        <w:rPr>
          <w:rFonts w:ascii="Trebuchet MS" w:eastAsia="Times New Roman" w:hAnsi="Trebuchet MS"/>
          <w:color w:val="000000"/>
          <w:sz w:val="24"/>
          <w:szCs w:val="24"/>
        </w:rPr>
        <w:t>fascias</w:t>
      </w:r>
      <w:proofErr w:type="spellEnd"/>
      <w:r>
        <w:rPr>
          <w:rFonts w:ascii="Trebuchet MS" w:eastAsia="Times New Roman" w:hAnsi="Trebuchet MS"/>
          <w:color w:val="000000"/>
          <w:sz w:val="24"/>
          <w:szCs w:val="24"/>
        </w:rPr>
        <w:t>, barge boards, and other minor roof details overhanging the external wall of the original dwellinghouse are not to be considered part of the enlargement.</w:t>
      </w:r>
    </w:p>
    <w:p w:rsidR="00C60527" w:rsidRPr="00C60527" w:rsidRDefault="00C60527" w:rsidP="00AF3FE4">
      <w:pPr>
        <w:spacing w:line="240" w:lineRule="auto"/>
        <w:rPr>
          <w:rFonts w:ascii="Trebuchet MS" w:eastAsia="Times New Roman" w:hAnsi="Trebuchet MS"/>
          <w:color w:val="000000"/>
          <w:sz w:val="24"/>
          <w:szCs w:val="24"/>
          <w:u w:val="single"/>
        </w:rPr>
      </w:pPr>
      <w:r>
        <w:rPr>
          <w:rFonts w:ascii="Trebuchet MS" w:eastAsia="Times New Roman" w:hAnsi="Trebuchet MS"/>
          <w:color w:val="000000"/>
          <w:sz w:val="24"/>
          <w:szCs w:val="24"/>
          <w:u w:val="single"/>
        </w:rPr>
        <w:t>Flue</w:t>
      </w:r>
    </w:p>
    <w:p w:rsidR="003065BE" w:rsidRDefault="003065B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G.1 Development is not permitted by Class G if:</w:t>
      </w:r>
    </w:p>
    <w:p w:rsidR="003065BE" w:rsidRPr="00264BCB" w:rsidRDefault="003065B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G.1 (a) permission to use the dwellinghouse as a dwellinghouse has been granted only by virtue of Class M, N, P, or Q of Part 3 of this Schedule (changes of use);</w:t>
      </w:r>
      <w:r w:rsidR="00264BCB">
        <w:rPr>
          <w:rFonts w:ascii="Trebuchet MS" w:eastAsia="Times New Roman" w:hAnsi="Trebuchet MS"/>
          <w:color w:val="000000"/>
          <w:sz w:val="24"/>
          <w:szCs w:val="24"/>
        </w:rPr>
        <w:t xml:space="preserve"> </w:t>
      </w:r>
      <w:r w:rsidR="00264BCB">
        <w:rPr>
          <w:rFonts w:ascii="Trebuchet MS" w:eastAsia="Times New Roman" w:hAnsi="Trebuchet MS"/>
          <w:b/>
          <w:color w:val="000000"/>
          <w:sz w:val="24"/>
          <w:szCs w:val="24"/>
        </w:rPr>
        <w:t>complies</w:t>
      </w:r>
    </w:p>
    <w:p w:rsidR="003065BE" w:rsidRDefault="003065B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 xml:space="preserve">G.1 (b) the height of the chimney, flue or soil and vent pipe would exceed the highest part of the roof by 1 metre or more; </w:t>
      </w:r>
      <w:r w:rsidR="00264BCB">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or</w:t>
      </w:r>
    </w:p>
    <w:p w:rsidR="003065BE" w:rsidRDefault="003065B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G.1 (c) in the case of a dwellinghouse on article 2(3) land, the chimney, flue or soil and vent pipe would be installed on a wall or roof slope which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xml:space="preserve">) fronts a highway, </w:t>
      </w:r>
      <w:r w:rsidR="00264BCB">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and (ii) forms either the principal elevation or a side elevation of the dwellinghouse.</w:t>
      </w:r>
      <w:r w:rsidR="00264BCB">
        <w:rPr>
          <w:rFonts w:ascii="Trebuchet MS" w:eastAsia="Times New Roman" w:hAnsi="Trebuchet MS"/>
          <w:color w:val="000000"/>
          <w:sz w:val="24"/>
          <w:szCs w:val="24"/>
        </w:rPr>
        <w:t xml:space="preserve"> </w:t>
      </w:r>
      <w:r w:rsidR="00281049">
        <w:rPr>
          <w:rFonts w:ascii="Trebuchet MS" w:eastAsia="Times New Roman" w:hAnsi="Trebuchet MS"/>
          <w:b/>
          <w:color w:val="000000"/>
          <w:sz w:val="24"/>
          <w:szCs w:val="24"/>
        </w:rPr>
        <w:t>C</w:t>
      </w:r>
      <w:r w:rsidR="00264BCB">
        <w:rPr>
          <w:rFonts w:ascii="Trebuchet MS" w:eastAsia="Times New Roman" w:hAnsi="Trebuchet MS"/>
          <w:b/>
          <w:color w:val="000000"/>
          <w:sz w:val="24"/>
          <w:szCs w:val="24"/>
        </w:rPr>
        <w:t>omplies</w:t>
      </w:r>
    </w:p>
    <w:p w:rsidR="00281049" w:rsidRPr="00264BCB" w:rsidRDefault="00281049" w:rsidP="00AF3FE4">
      <w:pPr>
        <w:spacing w:line="240" w:lineRule="auto"/>
        <w:rPr>
          <w:rFonts w:ascii="Trebuchet MS" w:eastAsia="Times New Roman" w:hAnsi="Trebuchet MS"/>
          <w:b/>
          <w:color w:val="000000"/>
          <w:sz w:val="24"/>
          <w:szCs w:val="24"/>
        </w:rPr>
      </w:pPr>
      <w:r>
        <w:rPr>
          <w:rFonts w:ascii="Trebuchet MS" w:eastAsia="Times New Roman" w:hAnsi="Trebuchet MS"/>
          <w:b/>
          <w:color w:val="000000"/>
          <w:sz w:val="24"/>
          <w:szCs w:val="24"/>
        </w:rPr>
        <w:t>The rear extension shown on the plans complies with Class A and is therefore also PD.</w:t>
      </w:r>
      <w:bookmarkStart w:id="0" w:name="_GoBack"/>
      <w:bookmarkEnd w:id="0"/>
    </w:p>
    <w:p w:rsidR="00625504" w:rsidRPr="00AF3FE4"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b/>
          <w:color w:val="000000"/>
          <w:sz w:val="24"/>
          <w:szCs w:val="24"/>
        </w:rPr>
        <w:t>Recommendation</w:t>
      </w:r>
    </w:p>
    <w:p w:rsidR="00264BCB" w:rsidRDefault="003A191B" w:rsidP="00264BCB">
      <w:pPr>
        <w:spacing w:line="240" w:lineRule="auto"/>
        <w:rPr>
          <w:rFonts w:ascii="Trebuchet MS" w:hAnsi="Trebuchet MS"/>
          <w:sz w:val="24"/>
          <w:szCs w:val="24"/>
        </w:rPr>
      </w:pPr>
      <w:r>
        <w:rPr>
          <w:rFonts w:ascii="Trebuchet MS" w:hAnsi="Trebuchet MS"/>
          <w:sz w:val="24"/>
          <w:szCs w:val="24"/>
        </w:rPr>
        <w:t xml:space="preserve">The proposal has been assessed against the Town and Country Planning Act 1990 (as </w:t>
      </w:r>
      <w:r w:rsidR="00264BCB">
        <w:rPr>
          <w:rFonts w:ascii="Trebuchet MS" w:hAnsi="Trebuchet MS"/>
          <w:sz w:val="24"/>
          <w:szCs w:val="24"/>
        </w:rPr>
        <w:t>amended) and</w:t>
      </w:r>
      <w:r w:rsidR="00281049">
        <w:rPr>
          <w:rFonts w:ascii="Trebuchet MS" w:hAnsi="Trebuchet MS"/>
          <w:sz w:val="24"/>
          <w:szCs w:val="24"/>
        </w:rPr>
        <w:t xml:space="preserve"> Class A,</w:t>
      </w:r>
      <w:r w:rsidR="00264BCB">
        <w:rPr>
          <w:rFonts w:ascii="Trebuchet MS" w:hAnsi="Trebuchet MS"/>
          <w:sz w:val="24"/>
          <w:szCs w:val="24"/>
        </w:rPr>
        <w:t xml:space="preserve"> Class B and Class G</w:t>
      </w:r>
      <w:r>
        <w:rPr>
          <w:rFonts w:ascii="Trebuchet MS" w:hAnsi="Trebuchet MS"/>
          <w:sz w:val="24"/>
          <w:szCs w:val="24"/>
        </w:rPr>
        <w:t xml:space="preserve">, Part 1, Schedule 2 of the Town and </w:t>
      </w:r>
      <w:r>
        <w:rPr>
          <w:rFonts w:ascii="Trebuchet MS" w:hAnsi="Trebuchet MS"/>
          <w:sz w:val="24"/>
          <w:szCs w:val="24"/>
        </w:rPr>
        <w:lastRenderedPageBreak/>
        <w:t xml:space="preserve">Country Planning (General Permitted Development) (England) Order 2015. It can be confirmed that the proposed operation would be lawful for planning purposes on the basis of the drawings received on </w:t>
      </w:r>
      <w:r w:rsidR="00264BCB">
        <w:rPr>
          <w:rFonts w:ascii="Trebuchet MS" w:hAnsi="Trebuchet MS"/>
          <w:sz w:val="24"/>
          <w:szCs w:val="24"/>
        </w:rPr>
        <w:t>29</w:t>
      </w:r>
      <w:r w:rsidR="00264BCB" w:rsidRPr="00872EBC">
        <w:rPr>
          <w:rFonts w:ascii="Trebuchet MS" w:hAnsi="Trebuchet MS"/>
          <w:sz w:val="24"/>
          <w:szCs w:val="24"/>
          <w:vertAlign w:val="superscript"/>
        </w:rPr>
        <w:t>th</w:t>
      </w:r>
      <w:r w:rsidR="00264BCB">
        <w:rPr>
          <w:rFonts w:ascii="Trebuchet MS" w:hAnsi="Trebuchet MS"/>
          <w:sz w:val="24"/>
          <w:szCs w:val="24"/>
        </w:rPr>
        <w:t xml:space="preserve"> January 2018:</w:t>
      </w:r>
    </w:p>
    <w:p w:rsidR="00264BCB" w:rsidRDefault="00264BCB" w:rsidP="00264BCB">
      <w:pPr>
        <w:spacing w:line="240" w:lineRule="auto"/>
        <w:rPr>
          <w:rFonts w:ascii="Trebuchet MS" w:hAnsi="Trebuchet MS"/>
          <w:sz w:val="24"/>
          <w:szCs w:val="24"/>
        </w:rPr>
      </w:pPr>
      <w:r>
        <w:rPr>
          <w:rFonts w:ascii="Trebuchet MS" w:hAnsi="Trebuchet MS"/>
          <w:sz w:val="24"/>
          <w:szCs w:val="24"/>
        </w:rPr>
        <w:t>Drawing No: DN68/250 – Site Location and Block Plan</w:t>
      </w:r>
    </w:p>
    <w:p w:rsidR="00264BCB" w:rsidRDefault="00264BCB" w:rsidP="00264BCB">
      <w:pPr>
        <w:spacing w:line="240" w:lineRule="auto"/>
        <w:rPr>
          <w:rFonts w:ascii="Trebuchet MS" w:hAnsi="Trebuchet MS"/>
          <w:sz w:val="24"/>
          <w:szCs w:val="24"/>
        </w:rPr>
      </w:pPr>
      <w:r>
        <w:rPr>
          <w:rFonts w:ascii="Trebuchet MS" w:hAnsi="Trebuchet MS"/>
          <w:sz w:val="24"/>
          <w:szCs w:val="24"/>
        </w:rPr>
        <w:t>Drawing No: DN68/251 – Proposed Floor Plans</w:t>
      </w:r>
    </w:p>
    <w:p w:rsidR="00264BCB" w:rsidRPr="00AF3FE4" w:rsidRDefault="00264BCB" w:rsidP="00264BCB">
      <w:pPr>
        <w:spacing w:line="240" w:lineRule="auto"/>
        <w:rPr>
          <w:rFonts w:ascii="Trebuchet MS" w:hAnsi="Trebuchet MS"/>
          <w:sz w:val="24"/>
          <w:szCs w:val="24"/>
        </w:rPr>
      </w:pPr>
      <w:r>
        <w:rPr>
          <w:rFonts w:ascii="Trebuchet MS" w:hAnsi="Trebuchet MS"/>
          <w:sz w:val="24"/>
          <w:szCs w:val="24"/>
        </w:rPr>
        <w:t>Drawing No: DN68/252 – Proposed Elevations and Section</w:t>
      </w:r>
    </w:p>
    <w:p w:rsidR="003A191B" w:rsidRDefault="003A191B" w:rsidP="003A191B">
      <w:pPr>
        <w:rPr>
          <w:rFonts w:ascii="Trebuchet MS" w:hAnsi="Trebuchet MS"/>
          <w:sz w:val="24"/>
          <w:szCs w:val="24"/>
        </w:rPr>
      </w:pPr>
      <w:r>
        <w:rPr>
          <w:rFonts w:ascii="Trebuchet MS" w:hAnsi="Trebuchet MS"/>
          <w:color w:val="000000"/>
          <w:sz w:val="24"/>
          <w:szCs w:val="24"/>
        </w:rPr>
        <w:t>Sufficient evidence has been provided to demonstrate that a Certificate of Lawfulness should be granted for the proposed</w:t>
      </w:r>
      <w:r w:rsidR="00264BCB">
        <w:rPr>
          <w:rFonts w:ascii="Trebuchet MS" w:hAnsi="Trebuchet MS"/>
          <w:color w:val="000000"/>
          <w:sz w:val="24"/>
          <w:szCs w:val="24"/>
        </w:rPr>
        <w:t xml:space="preserve"> loft conversion with side box dormers and a flue</w:t>
      </w:r>
      <w:r>
        <w:rPr>
          <w:rFonts w:ascii="Trebuchet MS" w:hAnsi="Trebuchet MS"/>
          <w:color w:val="000000"/>
          <w:sz w:val="24"/>
          <w:szCs w:val="24"/>
        </w:rPr>
        <w:t xml:space="preserve">. </w:t>
      </w:r>
      <w:r>
        <w:rPr>
          <w:rFonts w:ascii="Trebuchet MS" w:hAnsi="Trebuchet MS"/>
          <w:sz w:val="24"/>
          <w:szCs w:val="24"/>
        </w:rPr>
        <w:t>Therefore the Local Planning Authority can issue the applicant with a Certificate of Lawfulness for the proposed development.</w:t>
      </w:r>
    </w:p>
    <w:p w:rsidR="00625504" w:rsidRDefault="00625504" w:rsidP="00AF3FE4">
      <w:pPr>
        <w:spacing w:line="240" w:lineRule="auto"/>
        <w:rPr>
          <w:rFonts w:ascii="Trebuchet MS" w:eastAsia="Times New Roman" w:hAnsi="Trebuchet MS"/>
          <w:b/>
          <w:sz w:val="24"/>
          <w:szCs w:val="24"/>
        </w:rPr>
      </w:pPr>
      <w:r w:rsidRPr="00AF3FE4">
        <w:rPr>
          <w:rFonts w:ascii="Trebuchet MS" w:eastAsia="Times New Roman" w:hAnsi="Trebuchet MS"/>
          <w:b/>
          <w:sz w:val="24"/>
          <w:szCs w:val="24"/>
        </w:rPr>
        <w:t>Informatives</w:t>
      </w:r>
    </w:p>
    <w:p w:rsidR="00021541" w:rsidRDefault="00021541" w:rsidP="00AF3FE4">
      <w:pPr>
        <w:spacing w:line="240" w:lineRule="auto"/>
        <w:rPr>
          <w:rFonts w:ascii="Trebuchet MS" w:eastAsia="Times New Roman" w:hAnsi="Trebuchet MS"/>
          <w:sz w:val="24"/>
          <w:szCs w:val="24"/>
        </w:rPr>
      </w:pPr>
      <w:r>
        <w:rPr>
          <w:rFonts w:ascii="Trebuchet MS" w:eastAsia="Times New Roman" w:hAnsi="Trebuchet MS"/>
          <w:sz w:val="24"/>
          <w:szCs w:val="24"/>
        </w:rPr>
        <w:t>Building Regulations</w:t>
      </w:r>
    </w:p>
    <w:p w:rsidR="00021541" w:rsidRDefault="00021541" w:rsidP="00AF3FE4">
      <w:pPr>
        <w:spacing w:line="240" w:lineRule="auto"/>
        <w:rPr>
          <w:rFonts w:ascii="Trebuchet MS" w:eastAsia="Times New Roman" w:hAnsi="Trebuchet MS"/>
          <w:sz w:val="24"/>
          <w:szCs w:val="24"/>
        </w:rPr>
      </w:pPr>
      <w:r>
        <w:rPr>
          <w:rFonts w:ascii="Trebuchet MS" w:eastAsia="Times New Roman" w:hAnsi="Trebuchet MS"/>
          <w:sz w:val="24"/>
          <w:szCs w:val="24"/>
        </w:rPr>
        <w:t>Encroachment and Party Wall Act</w:t>
      </w:r>
    </w:p>
    <w:p w:rsidR="00021541" w:rsidRDefault="00021541" w:rsidP="00AF3FE4">
      <w:pPr>
        <w:spacing w:line="240" w:lineRule="auto"/>
        <w:rPr>
          <w:rFonts w:ascii="Trebuchet MS" w:eastAsia="Times New Roman" w:hAnsi="Trebuchet MS"/>
          <w:sz w:val="24"/>
          <w:szCs w:val="24"/>
        </w:rPr>
      </w:pPr>
      <w:r>
        <w:rPr>
          <w:rFonts w:ascii="Trebuchet MS" w:eastAsia="Times New Roman" w:hAnsi="Trebuchet MS"/>
          <w:sz w:val="24"/>
          <w:szCs w:val="24"/>
        </w:rPr>
        <w:t>Construction and Demolition</w:t>
      </w:r>
    </w:p>
    <w:p w:rsidR="00264BCB" w:rsidRDefault="00264BCB" w:rsidP="00AF3FE4">
      <w:pPr>
        <w:spacing w:line="240" w:lineRule="auto"/>
        <w:rPr>
          <w:rFonts w:ascii="Trebuchet MS" w:eastAsia="Times New Roman" w:hAnsi="Trebuchet MS"/>
          <w:sz w:val="24"/>
          <w:szCs w:val="24"/>
        </w:rPr>
      </w:pPr>
      <w:r>
        <w:rPr>
          <w:rFonts w:ascii="Trebuchet MS" w:eastAsia="Times New Roman" w:hAnsi="Trebuchet MS"/>
          <w:sz w:val="24"/>
          <w:szCs w:val="24"/>
        </w:rPr>
        <w:t>Bats</w:t>
      </w:r>
    </w:p>
    <w:p w:rsidR="00021541" w:rsidRPr="00021541" w:rsidRDefault="00264BCB" w:rsidP="00AF3FE4">
      <w:pPr>
        <w:spacing w:line="240" w:lineRule="auto"/>
        <w:rPr>
          <w:rFonts w:ascii="Trebuchet MS" w:eastAsia="Times New Roman" w:hAnsi="Trebuchet MS"/>
          <w:sz w:val="24"/>
          <w:szCs w:val="24"/>
        </w:rPr>
      </w:pPr>
      <w:r>
        <w:rPr>
          <w:noProof/>
        </w:rPr>
        <w:lastRenderedPageBreak/>
        <w:drawing>
          <wp:inline distT="0" distB="0" distL="0" distR="0" wp14:anchorId="660E860A" wp14:editId="65817762">
            <wp:extent cx="3771900" cy="548999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3773873" cy="5492863"/>
                    </a:xfrm>
                    <a:prstGeom prst="rect">
                      <a:avLst/>
                    </a:prstGeom>
                  </pic:spPr>
                </pic:pic>
              </a:graphicData>
            </a:graphic>
          </wp:inline>
        </w:drawing>
      </w:r>
    </w:p>
    <w:sectPr w:rsidR="00021541" w:rsidRPr="00021541">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790B" w:rsidRDefault="0022790B" w:rsidP="0022790B">
      <w:pPr>
        <w:spacing w:after="0" w:line="240" w:lineRule="auto"/>
      </w:pPr>
      <w:r>
        <w:separator/>
      </w:r>
    </w:p>
  </w:endnote>
  <w:endnote w:type="continuationSeparator" w:id="0">
    <w:p w:rsidR="0022790B" w:rsidRDefault="0022790B" w:rsidP="002279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790B" w:rsidRDefault="0022790B" w:rsidP="0022790B">
      <w:pPr>
        <w:spacing w:after="0" w:line="240" w:lineRule="auto"/>
      </w:pPr>
      <w:r>
        <w:separator/>
      </w:r>
    </w:p>
  </w:footnote>
  <w:footnote w:type="continuationSeparator" w:id="0">
    <w:p w:rsidR="0022790B" w:rsidRDefault="0022790B" w:rsidP="0022790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FF79DD"/>
    <w:multiLevelType w:val="hybridMultilevel"/>
    <w:tmpl w:val="7D8C07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5CD0831"/>
    <w:multiLevelType w:val="hybridMultilevel"/>
    <w:tmpl w:val="BCD6D2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DB12E39"/>
    <w:multiLevelType w:val="hybridMultilevel"/>
    <w:tmpl w:val="DDDAA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6E23EFA"/>
    <w:multiLevelType w:val="hybridMultilevel"/>
    <w:tmpl w:val="71508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DA052E5"/>
    <w:multiLevelType w:val="hybridMultilevel"/>
    <w:tmpl w:val="B21A1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6B9A3201"/>
    <w:multiLevelType w:val="hybridMultilevel"/>
    <w:tmpl w:val="0F9C3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6EFA3ADC"/>
    <w:multiLevelType w:val="hybridMultilevel"/>
    <w:tmpl w:val="7B3C5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789C3EEB"/>
    <w:multiLevelType w:val="hybridMultilevel"/>
    <w:tmpl w:val="161E0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6"/>
  </w:num>
  <w:num w:numId="4">
    <w:abstractNumId w:val="3"/>
  </w:num>
  <w:num w:numId="5">
    <w:abstractNumId w:val="4"/>
  </w:num>
  <w:num w:numId="6">
    <w:abstractNumId w:val="5"/>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5504"/>
    <w:rsid w:val="00021541"/>
    <w:rsid w:val="00037BAF"/>
    <w:rsid w:val="0007503E"/>
    <w:rsid w:val="00075F51"/>
    <w:rsid w:val="000E5A3F"/>
    <w:rsid w:val="0014241C"/>
    <w:rsid w:val="0017663F"/>
    <w:rsid w:val="001A7C4F"/>
    <w:rsid w:val="00215C25"/>
    <w:rsid w:val="00225DA7"/>
    <w:rsid w:val="0022790B"/>
    <w:rsid w:val="00246D7F"/>
    <w:rsid w:val="00264BCB"/>
    <w:rsid w:val="00270CCE"/>
    <w:rsid w:val="00281049"/>
    <w:rsid w:val="003065BE"/>
    <w:rsid w:val="003A191B"/>
    <w:rsid w:val="003C6957"/>
    <w:rsid w:val="003D179A"/>
    <w:rsid w:val="00407804"/>
    <w:rsid w:val="0041701F"/>
    <w:rsid w:val="005B391B"/>
    <w:rsid w:val="00625504"/>
    <w:rsid w:val="006A17A0"/>
    <w:rsid w:val="006A5B04"/>
    <w:rsid w:val="007B11DE"/>
    <w:rsid w:val="007F7924"/>
    <w:rsid w:val="00872EBC"/>
    <w:rsid w:val="008A59CB"/>
    <w:rsid w:val="00912B7D"/>
    <w:rsid w:val="009A3326"/>
    <w:rsid w:val="009F782D"/>
    <w:rsid w:val="00AF3FE4"/>
    <w:rsid w:val="00BC092F"/>
    <w:rsid w:val="00C40D2F"/>
    <w:rsid w:val="00C60527"/>
    <w:rsid w:val="00D330DE"/>
    <w:rsid w:val="00D95A99"/>
    <w:rsid w:val="00DE7999"/>
    <w:rsid w:val="00E1716B"/>
    <w:rsid w:val="00E302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5504"/>
    <w:pPr>
      <w:ind w:left="720"/>
      <w:contextualSpacing/>
    </w:pPr>
  </w:style>
  <w:style w:type="character" w:styleId="Hyperlink">
    <w:name w:val="Hyperlink"/>
    <w:basedOn w:val="DefaultParagraphFont"/>
    <w:uiPriority w:val="99"/>
    <w:unhideWhenUsed/>
    <w:rsid w:val="00625504"/>
    <w:rPr>
      <w:color w:val="0000FF" w:themeColor="hyperlink"/>
      <w:u w:val="single"/>
    </w:rPr>
  </w:style>
  <w:style w:type="paragraph" w:styleId="BalloonText">
    <w:name w:val="Balloon Text"/>
    <w:basedOn w:val="Normal"/>
    <w:link w:val="BalloonTextChar"/>
    <w:uiPriority w:val="99"/>
    <w:semiHidden/>
    <w:unhideWhenUsed/>
    <w:rsid w:val="00021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1541"/>
    <w:rPr>
      <w:rFonts w:ascii="Tahoma" w:hAnsi="Tahoma" w:cs="Tahoma"/>
      <w:sz w:val="16"/>
      <w:szCs w:val="16"/>
    </w:rPr>
  </w:style>
  <w:style w:type="paragraph" w:styleId="Header">
    <w:name w:val="header"/>
    <w:basedOn w:val="Normal"/>
    <w:link w:val="HeaderChar"/>
    <w:uiPriority w:val="99"/>
    <w:unhideWhenUsed/>
    <w:rsid w:val="002279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790B"/>
  </w:style>
  <w:style w:type="paragraph" w:styleId="Footer">
    <w:name w:val="footer"/>
    <w:basedOn w:val="Normal"/>
    <w:link w:val="FooterChar"/>
    <w:uiPriority w:val="99"/>
    <w:unhideWhenUsed/>
    <w:rsid w:val="002279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790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5504"/>
    <w:pPr>
      <w:ind w:left="720"/>
      <w:contextualSpacing/>
    </w:pPr>
  </w:style>
  <w:style w:type="character" w:styleId="Hyperlink">
    <w:name w:val="Hyperlink"/>
    <w:basedOn w:val="DefaultParagraphFont"/>
    <w:uiPriority w:val="99"/>
    <w:unhideWhenUsed/>
    <w:rsid w:val="00625504"/>
    <w:rPr>
      <w:color w:val="0000FF" w:themeColor="hyperlink"/>
      <w:u w:val="single"/>
    </w:rPr>
  </w:style>
  <w:style w:type="paragraph" w:styleId="BalloonText">
    <w:name w:val="Balloon Text"/>
    <w:basedOn w:val="Normal"/>
    <w:link w:val="BalloonTextChar"/>
    <w:uiPriority w:val="99"/>
    <w:semiHidden/>
    <w:unhideWhenUsed/>
    <w:rsid w:val="00021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1541"/>
    <w:rPr>
      <w:rFonts w:ascii="Tahoma" w:hAnsi="Tahoma" w:cs="Tahoma"/>
      <w:sz w:val="16"/>
      <w:szCs w:val="16"/>
    </w:rPr>
  </w:style>
  <w:style w:type="paragraph" w:styleId="Header">
    <w:name w:val="header"/>
    <w:basedOn w:val="Normal"/>
    <w:link w:val="HeaderChar"/>
    <w:uiPriority w:val="99"/>
    <w:unhideWhenUsed/>
    <w:rsid w:val="002279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790B"/>
  </w:style>
  <w:style w:type="paragraph" w:styleId="Footer">
    <w:name w:val="footer"/>
    <w:basedOn w:val="Normal"/>
    <w:link w:val="FooterChar"/>
    <w:uiPriority w:val="99"/>
    <w:unhideWhenUsed/>
    <w:rsid w:val="002279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79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8425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9EFE4E7E</Template>
  <TotalTime>116</TotalTime>
  <Pages>5</Pages>
  <Words>1118</Words>
  <Characters>6378</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7482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Vigar, Stephen</cp:lastModifiedBy>
  <cp:revision>6</cp:revision>
  <dcterms:created xsi:type="dcterms:W3CDTF">2018-02-14T13:31:00Z</dcterms:created>
  <dcterms:modified xsi:type="dcterms:W3CDTF">2018-02-20T12:37:00Z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RBC\hughtom</vt:lpwstr>
  </property>
  <property fmtid="{D5CDD505-2E9C-101B-9397-08002B2CF9AE}" pid="5" name="ClassificationMadeExternally">
    <vt:lpwstr>No</vt:lpwstr>
  </property>
  <property fmtid="{D5CDD505-2E9C-101B-9397-08002B2CF9AE}" pid="6" name="ClassificationMadeOn">
    <vt:filetime>2017-04-03T12:34:41Z</vt:filetime>
  </property>
</Properties>
</file>