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  <w:u w:val="single"/>
        </w:rPr>
        <w:t>Delegated Application Report</w:t>
      </w:r>
      <w:r w:rsidR="006A17A0" w:rsidRPr="00AF3FE4">
        <w:rPr>
          <w:rFonts w:ascii="Trebuchet MS" w:hAnsi="Trebuchet MS"/>
          <w:sz w:val="24"/>
          <w:szCs w:val="24"/>
        </w:rPr>
        <w:t xml:space="preserve"> </w:t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6A17A0" w:rsidRPr="00AF3FE4">
        <w:rPr>
          <w:rFonts w:ascii="Trebuchet MS" w:hAnsi="Trebuchet MS"/>
          <w:sz w:val="24"/>
          <w:szCs w:val="24"/>
        </w:rPr>
        <w:tab/>
      </w:r>
      <w:r w:rsidR="00225DA7">
        <w:rPr>
          <w:rFonts w:ascii="Trebuchet MS" w:hAnsi="Trebuchet MS"/>
          <w:sz w:val="24"/>
          <w:szCs w:val="24"/>
        </w:rPr>
        <w:t xml:space="preserve">          </w:t>
      </w:r>
      <w:r w:rsidRPr="00AF3FE4">
        <w:rPr>
          <w:rFonts w:ascii="Trebuchet MS" w:hAnsi="Trebuchet MS"/>
          <w:b/>
          <w:sz w:val="24"/>
          <w:szCs w:val="24"/>
        </w:rPr>
        <w:t>Target Date: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 w:rsidR="00D8378E">
        <w:rPr>
          <w:rFonts w:ascii="Trebuchet MS" w:hAnsi="Trebuchet MS"/>
          <w:sz w:val="24"/>
          <w:szCs w:val="24"/>
        </w:rPr>
        <w:t>1</w:t>
      </w:r>
      <w:r w:rsidR="00880961">
        <w:rPr>
          <w:rFonts w:ascii="Trebuchet MS" w:hAnsi="Trebuchet MS"/>
          <w:sz w:val="24"/>
          <w:szCs w:val="24"/>
        </w:rPr>
        <w:t>8</w:t>
      </w:r>
      <w:r w:rsidR="00D8378E">
        <w:rPr>
          <w:rFonts w:ascii="Trebuchet MS" w:hAnsi="Trebuchet MS"/>
          <w:sz w:val="24"/>
          <w:szCs w:val="24"/>
        </w:rPr>
        <w:t>/</w:t>
      </w:r>
      <w:r w:rsidR="00880961">
        <w:rPr>
          <w:rFonts w:ascii="Trebuchet MS" w:hAnsi="Trebuchet MS"/>
          <w:sz w:val="24"/>
          <w:szCs w:val="24"/>
        </w:rPr>
        <w:t>4</w:t>
      </w:r>
      <w:r w:rsidR="00D8378E">
        <w:rPr>
          <w:rFonts w:ascii="Trebuchet MS" w:hAnsi="Trebuchet MS"/>
          <w:sz w:val="24"/>
          <w:szCs w:val="24"/>
        </w:rPr>
        <w:t>/1</w:t>
      </w:r>
      <w:r w:rsidR="00880961">
        <w:rPr>
          <w:rFonts w:ascii="Trebuchet MS" w:hAnsi="Trebuchet MS"/>
          <w:sz w:val="24"/>
          <w:szCs w:val="24"/>
        </w:rPr>
        <w:t>8</w:t>
      </w:r>
    </w:p>
    <w:p w:rsidR="00625504" w:rsidRPr="00D8378E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Address: </w:t>
      </w:r>
      <w:r w:rsidR="00880961">
        <w:rPr>
          <w:rFonts w:ascii="Trebuchet MS" w:hAnsi="Trebuchet MS"/>
          <w:b/>
          <w:sz w:val="24"/>
          <w:szCs w:val="24"/>
        </w:rPr>
        <w:t>25 Barrington Way</w:t>
      </w:r>
    </w:p>
    <w:p w:rsidR="00625504" w:rsidRPr="00D8378E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Application No: </w:t>
      </w:r>
      <w:r w:rsidR="00D8378E">
        <w:rPr>
          <w:rFonts w:ascii="Trebuchet MS" w:hAnsi="Trebuchet MS"/>
          <w:sz w:val="24"/>
          <w:szCs w:val="24"/>
        </w:rPr>
        <w:t>1</w:t>
      </w:r>
      <w:r w:rsidR="00880961">
        <w:rPr>
          <w:rFonts w:ascii="Trebuchet MS" w:hAnsi="Trebuchet MS"/>
          <w:sz w:val="24"/>
          <w:szCs w:val="24"/>
        </w:rPr>
        <w:t>80339</w:t>
      </w:r>
      <w:r w:rsidR="00D8378E">
        <w:rPr>
          <w:rFonts w:ascii="Trebuchet MS" w:hAnsi="Trebuchet MS"/>
          <w:sz w:val="24"/>
          <w:szCs w:val="24"/>
        </w:rPr>
        <w:t>/CL</w:t>
      </w:r>
      <w:r w:rsidR="00880961">
        <w:rPr>
          <w:rFonts w:ascii="Trebuchet MS" w:hAnsi="Trebuchet MS"/>
          <w:sz w:val="24"/>
          <w:szCs w:val="24"/>
        </w:rPr>
        <w:t>E</w:t>
      </w:r>
    </w:p>
    <w:p w:rsidR="00625504" w:rsidRPr="00D8378E" w:rsidRDefault="00880961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880961">
        <w:rPr>
          <w:rFonts w:ascii="Trebuchet MS" w:hAnsi="Trebuchet MS"/>
          <w:b/>
          <w:sz w:val="24"/>
          <w:szCs w:val="24"/>
        </w:rPr>
        <w:t>For:</w:t>
      </w:r>
      <w:r>
        <w:rPr>
          <w:rFonts w:ascii="Trebuchet MS" w:hAnsi="Trebuchet MS"/>
          <w:sz w:val="24"/>
          <w:szCs w:val="24"/>
        </w:rPr>
        <w:t xml:space="preserve"> </w:t>
      </w:r>
      <w:r w:rsidR="00D8378E">
        <w:rPr>
          <w:rFonts w:ascii="Trebuchet MS" w:hAnsi="Trebuchet MS"/>
          <w:sz w:val="24"/>
          <w:szCs w:val="24"/>
        </w:rPr>
        <w:t>Single storey rear extension</w:t>
      </w:r>
    </w:p>
    <w:p w:rsidR="0062550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Case Officer: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 w:rsidR="003B7D08">
        <w:rPr>
          <w:rFonts w:ascii="Trebuchet MS" w:hAnsi="Trebuchet MS"/>
          <w:sz w:val="24"/>
          <w:szCs w:val="24"/>
        </w:rPr>
        <w:t>Julie Williams</w:t>
      </w:r>
    </w:p>
    <w:p w:rsidR="003B7D08" w:rsidRPr="00AF3FE4" w:rsidRDefault="003B7D08" w:rsidP="00AF3FE4">
      <w:pPr>
        <w:spacing w:line="240" w:lineRule="auto"/>
        <w:rPr>
          <w:rFonts w:ascii="Trebuchet MS" w:hAnsi="Trebuchet MS"/>
          <w:sz w:val="24"/>
          <w:szCs w:val="24"/>
        </w:rPr>
      </w:pPr>
    </w:p>
    <w:p w:rsidR="0062550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Introduction and </w:t>
      </w:r>
      <w:r w:rsidR="006E5EB5">
        <w:rPr>
          <w:rFonts w:ascii="Trebuchet MS" w:hAnsi="Trebuchet MS"/>
          <w:b/>
          <w:sz w:val="24"/>
          <w:szCs w:val="24"/>
        </w:rPr>
        <w:t>Details of the Existing Extension</w:t>
      </w:r>
    </w:p>
    <w:p w:rsidR="003B7D08" w:rsidRDefault="00D8378E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 application site is a two storey detached property with a </w:t>
      </w:r>
      <w:r w:rsidR="003B7D08">
        <w:rPr>
          <w:rFonts w:ascii="Trebuchet MS" w:hAnsi="Trebuchet MS"/>
          <w:sz w:val="24"/>
          <w:szCs w:val="24"/>
        </w:rPr>
        <w:t xml:space="preserve">pitched </w:t>
      </w:r>
      <w:r>
        <w:rPr>
          <w:rFonts w:ascii="Trebuchet MS" w:hAnsi="Trebuchet MS"/>
          <w:sz w:val="24"/>
          <w:szCs w:val="24"/>
        </w:rPr>
        <w:t xml:space="preserve">roof. </w:t>
      </w:r>
      <w:r w:rsidR="003B7D08">
        <w:rPr>
          <w:rFonts w:ascii="Trebuchet MS" w:hAnsi="Trebuchet MS"/>
          <w:sz w:val="24"/>
          <w:szCs w:val="24"/>
        </w:rPr>
        <w:t xml:space="preserve"> </w:t>
      </w:r>
      <w:r w:rsidR="006E5EB5">
        <w:rPr>
          <w:rFonts w:ascii="Trebuchet MS" w:hAnsi="Trebuchet MS"/>
          <w:sz w:val="24"/>
          <w:szCs w:val="24"/>
        </w:rPr>
        <w:t>The site is n</w:t>
      </w:r>
      <w:r w:rsidR="003B7D08">
        <w:rPr>
          <w:rFonts w:ascii="Trebuchet MS" w:hAnsi="Trebuchet MS"/>
          <w:sz w:val="24"/>
          <w:szCs w:val="24"/>
        </w:rPr>
        <w:t xml:space="preserve">ot </w:t>
      </w:r>
      <w:r w:rsidR="006E5EB5">
        <w:rPr>
          <w:rFonts w:ascii="Trebuchet MS" w:hAnsi="Trebuchet MS"/>
          <w:sz w:val="24"/>
          <w:szCs w:val="24"/>
        </w:rPr>
        <w:t xml:space="preserve">in </w:t>
      </w:r>
      <w:r w:rsidR="003B7D08">
        <w:rPr>
          <w:rFonts w:ascii="Trebuchet MS" w:hAnsi="Trebuchet MS"/>
          <w:sz w:val="24"/>
          <w:szCs w:val="24"/>
        </w:rPr>
        <w:t xml:space="preserve">a conservation area </w:t>
      </w:r>
      <w:r w:rsidR="00880961">
        <w:rPr>
          <w:rFonts w:ascii="Trebuchet MS" w:hAnsi="Trebuchet MS"/>
          <w:sz w:val="24"/>
          <w:szCs w:val="24"/>
        </w:rPr>
        <w:t xml:space="preserve">and </w:t>
      </w:r>
      <w:r w:rsidR="003B7D08">
        <w:rPr>
          <w:rFonts w:ascii="Trebuchet MS" w:hAnsi="Trebuchet MS"/>
          <w:sz w:val="24"/>
          <w:szCs w:val="24"/>
        </w:rPr>
        <w:t xml:space="preserve">property </w:t>
      </w:r>
      <w:r w:rsidR="00880961">
        <w:rPr>
          <w:rFonts w:ascii="Trebuchet MS" w:hAnsi="Trebuchet MS"/>
          <w:sz w:val="24"/>
          <w:szCs w:val="24"/>
        </w:rPr>
        <w:t>is not listed</w:t>
      </w:r>
      <w:r w:rsidR="003B7D08">
        <w:rPr>
          <w:rFonts w:ascii="Trebuchet MS" w:hAnsi="Trebuchet MS"/>
          <w:sz w:val="24"/>
          <w:szCs w:val="24"/>
        </w:rPr>
        <w:t>.</w:t>
      </w:r>
      <w:r w:rsidR="006E5EB5">
        <w:rPr>
          <w:rFonts w:ascii="Trebuchet MS" w:hAnsi="Trebuchet MS"/>
          <w:sz w:val="24"/>
          <w:szCs w:val="24"/>
        </w:rPr>
        <w:t xml:space="preserve"> History has been checked and nothing found to suggest that permitted development rights to extend were removed when the original housing development was permitted. </w:t>
      </w:r>
      <w:r w:rsidR="003B7D08">
        <w:rPr>
          <w:rFonts w:ascii="Trebuchet MS" w:hAnsi="Trebuchet MS"/>
          <w:sz w:val="24"/>
          <w:szCs w:val="24"/>
        </w:rPr>
        <w:t xml:space="preserve"> </w:t>
      </w:r>
    </w:p>
    <w:p w:rsidR="00B27F03" w:rsidRDefault="00D8378E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 </w:t>
      </w:r>
      <w:r w:rsidR="006E5EB5">
        <w:rPr>
          <w:rFonts w:ascii="Trebuchet MS" w:hAnsi="Trebuchet MS"/>
          <w:sz w:val="24"/>
          <w:szCs w:val="24"/>
        </w:rPr>
        <w:t xml:space="preserve">single storey rear extension as shown on the submitted drawing measures 2950 mm deep and 7900 mm wide with the roof measuring 3000 m high to the eaves and it has a flat roof.  External materials shown appear to match </w:t>
      </w:r>
      <w:r w:rsidR="00B61C6F">
        <w:rPr>
          <w:rFonts w:ascii="Trebuchet MS" w:hAnsi="Trebuchet MS"/>
          <w:sz w:val="24"/>
          <w:szCs w:val="24"/>
        </w:rPr>
        <w:t xml:space="preserve">those used on </w:t>
      </w:r>
      <w:r w:rsidR="006E5EB5">
        <w:rPr>
          <w:rFonts w:ascii="Trebuchet MS" w:hAnsi="Trebuchet MS"/>
          <w:sz w:val="24"/>
          <w:szCs w:val="24"/>
        </w:rPr>
        <w:t>the existing house</w:t>
      </w:r>
      <w:r>
        <w:rPr>
          <w:rFonts w:ascii="Trebuchet MS" w:hAnsi="Trebuchet MS"/>
          <w:sz w:val="24"/>
          <w:szCs w:val="24"/>
        </w:rPr>
        <w:t xml:space="preserve">. </w:t>
      </w:r>
    </w:p>
    <w:p w:rsidR="00A93918" w:rsidRDefault="00A93918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Plans Submitted</w:t>
      </w:r>
    </w:p>
    <w:p w:rsidR="00D330DE" w:rsidRDefault="00625504" w:rsidP="003C6957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The agent</w:t>
      </w:r>
      <w:r w:rsidR="00D330DE">
        <w:rPr>
          <w:rFonts w:ascii="Trebuchet MS" w:hAnsi="Trebuchet MS"/>
          <w:sz w:val="24"/>
          <w:szCs w:val="24"/>
        </w:rPr>
        <w:t xml:space="preserve"> supplied the following</w:t>
      </w:r>
      <w:r w:rsidRPr="00AF3FE4">
        <w:rPr>
          <w:rFonts w:ascii="Trebuchet MS" w:hAnsi="Trebuchet MS"/>
          <w:sz w:val="24"/>
          <w:szCs w:val="24"/>
        </w:rPr>
        <w:t>, received</w:t>
      </w:r>
      <w:r w:rsidR="00A90526">
        <w:rPr>
          <w:rFonts w:ascii="Trebuchet MS" w:hAnsi="Trebuchet MS"/>
          <w:sz w:val="24"/>
          <w:szCs w:val="24"/>
        </w:rPr>
        <w:t xml:space="preserve"> on </w:t>
      </w:r>
      <w:r w:rsidR="00B27F03">
        <w:rPr>
          <w:rFonts w:ascii="Trebuchet MS" w:hAnsi="Trebuchet MS"/>
          <w:sz w:val="24"/>
          <w:szCs w:val="24"/>
        </w:rPr>
        <w:t>2</w:t>
      </w:r>
      <w:r w:rsidR="00B61C6F">
        <w:rPr>
          <w:rFonts w:ascii="Trebuchet MS" w:hAnsi="Trebuchet MS"/>
          <w:sz w:val="24"/>
          <w:szCs w:val="24"/>
        </w:rPr>
        <w:t>6</w:t>
      </w:r>
      <w:r w:rsidR="00B61C6F" w:rsidRPr="00B61C6F">
        <w:rPr>
          <w:rFonts w:ascii="Trebuchet MS" w:hAnsi="Trebuchet MS"/>
          <w:sz w:val="24"/>
          <w:szCs w:val="24"/>
          <w:vertAlign w:val="superscript"/>
        </w:rPr>
        <w:t>th</w:t>
      </w:r>
      <w:r w:rsidR="00B61C6F">
        <w:rPr>
          <w:rFonts w:ascii="Trebuchet MS" w:hAnsi="Trebuchet MS"/>
          <w:sz w:val="24"/>
          <w:szCs w:val="24"/>
        </w:rPr>
        <w:t xml:space="preserve"> February 2018</w:t>
      </w:r>
    </w:p>
    <w:p w:rsidR="00B61C6F" w:rsidRDefault="00814662" w:rsidP="003C6957">
      <w:pPr>
        <w:spacing w:line="240" w:lineRule="auto"/>
        <w:rPr>
          <w:rFonts w:ascii="Trebuchet MS" w:hAnsi="Trebuchet MS"/>
          <w:sz w:val="24"/>
          <w:szCs w:val="24"/>
        </w:rPr>
      </w:pPr>
      <w:bookmarkStart w:id="0" w:name="_GoBack"/>
      <w:r>
        <w:rPr>
          <w:rFonts w:ascii="Trebuchet MS" w:hAnsi="Trebuchet MS"/>
          <w:sz w:val="24"/>
          <w:szCs w:val="24"/>
        </w:rPr>
        <w:t>Drawing</w:t>
      </w:r>
      <w:r w:rsidR="00A93918">
        <w:rPr>
          <w:rFonts w:ascii="Trebuchet MS" w:hAnsi="Trebuchet MS"/>
          <w:sz w:val="24"/>
          <w:szCs w:val="24"/>
        </w:rPr>
        <w:t>:</w:t>
      </w:r>
      <w:r>
        <w:rPr>
          <w:rFonts w:ascii="Trebuchet MS" w:hAnsi="Trebuchet MS"/>
          <w:sz w:val="24"/>
          <w:szCs w:val="24"/>
        </w:rPr>
        <w:t xml:space="preserve">  </w:t>
      </w:r>
      <w:r w:rsidR="00B61C6F">
        <w:rPr>
          <w:rFonts w:ascii="Trebuchet MS" w:hAnsi="Trebuchet MS"/>
          <w:sz w:val="24"/>
          <w:szCs w:val="24"/>
        </w:rPr>
        <w:t>BR-R-1000 Existing/Proposed GA.s &amp; Elevations</w:t>
      </w:r>
    </w:p>
    <w:p w:rsidR="00A90526" w:rsidRDefault="00777832" w:rsidP="003C6957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Drawing:  BR-R-1001 </w:t>
      </w:r>
      <w:r w:rsidR="00B61C6F">
        <w:rPr>
          <w:rFonts w:ascii="Trebuchet MS" w:hAnsi="Trebuchet MS"/>
          <w:sz w:val="24"/>
          <w:szCs w:val="24"/>
        </w:rPr>
        <w:t xml:space="preserve">Location Plan </w:t>
      </w:r>
    </w:p>
    <w:bookmarkEnd w:id="0"/>
    <w:p w:rsidR="00A93918" w:rsidRDefault="00A93918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History</w:t>
      </w:r>
    </w:p>
    <w:p w:rsidR="00B27F03" w:rsidRDefault="00B61C6F" w:rsidP="00AF3FE4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130772 – </w:t>
      </w:r>
      <w:proofErr w:type="gramStart"/>
      <w:r>
        <w:rPr>
          <w:rFonts w:ascii="Trebuchet MS" w:hAnsi="Trebuchet MS"/>
          <w:sz w:val="24"/>
          <w:szCs w:val="24"/>
        </w:rPr>
        <w:t>conversion</w:t>
      </w:r>
      <w:proofErr w:type="gramEnd"/>
      <w:r>
        <w:rPr>
          <w:rFonts w:ascii="Trebuchet MS" w:hAnsi="Trebuchet MS"/>
          <w:sz w:val="24"/>
          <w:szCs w:val="24"/>
        </w:rPr>
        <w:t xml:space="preserve"> of garage granted 5/8/2013</w:t>
      </w:r>
    </w:p>
    <w:p w:rsidR="00A93918" w:rsidRDefault="00A93918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Summary of Consultations</w:t>
      </w:r>
    </w:p>
    <w:p w:rsidR="00625504" w:rsidRPr="00AF3FE4" w:rsidRDefault="00625504" w:rsidP="00AF3FE4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No consultations were undertaken as it is not required for an application of this type.</w:t>
      </w:r>
    </w:p>
    <w:p w:rsidR="00A93918" w:rsidRDefault="00A93918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</w:p>
    <w:p w:rsidR="00625504" w:rsidRPr="00AF3FE4" w:rsidRDefault="00625504" w:rsidP="00AF3FE4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Policy and Guidance</w:t>
      </w:r>
    </w:p>
    <w:p w:rsidR="00625504" w:rsidRPr="00AF3FE4" w:rsidRDefault="00B714EA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National Planning Practice Guidance.</w:t>
      </w:r>
      <w:proofErr w:type="gramEnd"/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Town and Country Planning (General Permitted Development) (England) Order 2015 (GPDO)</w:t>
      </w:r>
      <w:r w:rsidR="00B714EA">
        <w:rPr>
          <w:rFonts w:ascii="Trebuchet MS" w:eastAsia="Times New Roman" w:hAnsi="Trebuchet MS"/>
          <w:color w:val="000000"/>
          <w:sz w:val="24"/>
          <w:szCs w:val="24"/>
        </w:rPr>
        <w:t>.</w:t>
      </w:r>
    </w:p>
    <w:p w:rsidR="00625504" w:rsidRDefault="00625504" w:rsidP="00B714EA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lastRenderedPageBreak/>
        <w:t>Permitted development rights for householders – Technical Guidance April 2016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b/>
          <w:color w:val="000000"/>
          <w:sz w:val="24"/>
          <w:szCs w:val="24"/>
        </w:rPr>
        <w:t>Assessment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 Certificate of Lawfulness for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the existing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development has been submitted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to establish if the single storey rear extension would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fall within the permitted development rights of the property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 as a dwelling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. 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</w:t>
      </w:r>
      <w:r w:rsidR="00814662">
        <w:rPr>
          <w:rFonts w:ascii="Trebuchet MS" w:eastAsia="Times New Roman" w:hAnsi="Trebuchet MS"/>
          <w:color w:val="000000"/>
          <w:sz w:val="24"/>
          <w:szCs w:val="24"/>
        </w:rPr>
        <w:t xml:space="preserve">single storey rear extension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has been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assessed to ensure that it complies with the conditions of Class A, Part 1, Schedule 2 of the Town and Country Planning (General Permitted Development) (England) Order 2015, which relates to the ‘enlargement, improvement or other alteration of a dwellinghouse’.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releva</w:t>
      </w:r>
      <w:r w:rsidR="00075F51">
        <w:rPr>
          <w:rFonts w:ascii="Trebuchet MS" w:eastAsia="Times New Roman" w:hAnsi="Trebuchet MS"/>
          <w:color w:val="000000"/>
          <w:sz w:val="24"/>
          <w:szCs w:val="24"/>
        </w:rPr>
        <w:t>nt conditions of the GPDO for a single storey rear extension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, which is not listed or in a conservation area, are as follows: 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(a) permission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for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has been granted;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(b) as a result of the works, the total area of ground covered by buildings within the curtilage of the dwellinghouse (other than the original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) 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 xml:space="preserve">has not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exceed</w:t>
      </w:r>
      <w:r w:rsidR="00B61C6F">
        <w:rPr>
          <w:rFonts w:ascii="Trebuchet MS" w:eastAsia="Times New Roman" w:hAnsi="Trebuchet MS"/>
          <w:color w:val="000000"/>
          <w:sz w:val="24"/>
          <w:szCs w:val="24"/>
        </w:rPr>
        <w:t>ed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50% of the total area of the curtilage (excluding the ground area of the original dwellinghouse);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(c) </w:t>
      </w:r>
      <w:r w:rsidR="002E19E5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</w:p>
    <w:p w:rsid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(d) </w:t>
      </w:r>
      <w:r w:rsidR="002E19E5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not applicable </w:t>
      </w:r>
    </w:p>
    <w:p w:rsidR="00D736AE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(e) the enlarged part of the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not: 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proofErr w:type="gram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extend</w:t>
      </w:r>
      <w:proofErr w:type="gram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beyond a wall whi</w:t>
      </w:r>
      <w:r w:rsidR="00093197">
        <w:rPr>
          <w:rFonts w:ascii="Trebuchet MS" w:eastAsia="Times New Roman" w:hAnsi="Trebuchet MS"/>
          <w:color w:val="000000"/>
          <w:sz w:val="24"/>
          <w:szCs w:val="24"/>
        </w:rPr>
        <w:t>ch (</w:t>
      </w:r>
      <w:proofErr w:type="spellStart"/>
      <w:r w:rsidR="00093197"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 w:rsidR="00093197">
        <w:rPr>
          <w:rFonts w:ascii="Trebuchet MS" w:eastAsia="Times New Roman" w:hAnsi="Trebuchet MS"/>
          <w:color w:val="000000"/>
          <w:sz w:val="24"/>
          <w:szCs w:val="24"/>
        </w:rPr>
        <w:t>) forms the principal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elevation of the original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or (ii) fronts a highway and forms a side elevation of the original dwellinghouse;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(f) the enlarged part of the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is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single storey and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not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extend beyond the rear wall of the original dwellinghouse by more than 4 metres in the case of a detached dwellinghouse, or 3 metres in the case of any other dwellinghouse,</w:t>
      </w:r>
      <w:r w:rsidR="00075F51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or (ii) exceed 4 metres in height;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(g)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 xml:space="preserve">not applicable </w:t>
      </w:r>
    </w:p>
    <w:p w:rsidR="005E550A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(h)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</w:p>
    <w:p w:rsidR="00625504" w:rsidRPr="00075F51" w:rsidRDefault="00625504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A.1 (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) the enlarged part of the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come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within 2 metres of the boundary of the curtilage of the </w:t>
      </w:r>
      <w:proofErr w:type="spell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>dwellinghouse</w:t>
      </w:r>
      <w:proofErr w:type="spellEnd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but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height of the eaves of the enlarged part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does not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exceed 3 metres;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AF3FE4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(j)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  <w:r w:rsidR="005E550A"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</w:p>
    <w:p w:rsidR="005E550A" w:rsidRDefault="00625504" w:rsidP="00AF3FE4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A.1 (k) </w:t>
      </w:r>
      <w:r w:rsidR="005E550A">
        <w:rPr>
          <w:rFonts w:ascii="Trebuchet MS" w:eastAsia="Times New Roman" w:hAnsi="Trebuchet MS"/>
          <w:b/>
          <w:color w:val="000000"/>
          <w:sz w:val="24"/>
          <w:szCs w:val="24"/>
        </w:rPr>
        <w:t>not applicable</w:t>
      </w:r>
    </w:p>
    <w:p w:rsidR="00625504" w:rsidRPr="00AF3FE4" w:rsidRDefault="00625504" w:rsidP="00D736AE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proofErr w:type="gramStart"/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A.2 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 The</w:t>
      </w:r>
      <w:proofErr w:type="gramEnd"/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 dwelling is not on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article 2(3) land, </w:t>
      </w:r>
    </w:p>
    <w:p w:rsidR="00625504" w:rsidRPr="00075F51" w:rsidRDefault="00E1716B" w:rsidP="00AF3FE4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Development</w:t>
      </w:r>
      <w:r w:rsidR="00625504"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 is permitted by Class A subject to the conditions</w:t>
      </w:r>
      <w:r w:rsidR="00D736AE">
        <w:rPr>
          <w:rFonts w:ascii="Trebuchet MS" w:eastAsia="Times New Roman" w:hAnsi="Trebuchet MS"/>
          <w:color w:val="000000"/>
          <w:sz w:val="24"/>
          <w:szCs w:val="24"/>
        </w:rPr>
        <w:t xml:space="preserve"> that </w:t>
      </w:r>
      <w:r w:rsidR="00625504"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the materials used in any exterior work (other than materials used in the construction of a </w:t>
      </w:r>
      <w:r w:rsidR="00625504" w:rsidRPr="00AF3FE4">
        <w:rPr>
          <w:rFonts w:ascii="Trebuchet MS" w:eastAsia="Times New Roman" w:hAnsi="Trebuchet MS"/>
          <w:color w:val="000000"/>
          <w:sz w:val="24"/>
          <w:szCs w:val="24"/>
        </w:rPr>
        <w:lastRenderedPageBreak/>
        <w:t xml:space="preserve">conservatory) must be of a similar appearance to those used in the construction of the exterior of the dwellinghouse; </w:t>
      </w:r>
      <w:r w:rsidR="00075F51"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625504" w:rsidRPr="00A12E88" w:rsidRDefault="00625504" w:rsidP="00A12E88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12E88">
        <w:rPr>
          <w:rFonts w:ascii="Trebuchet MS" w:eastAsia="Times New Roman" w:hAnsi="Trebuchet MS"/>
          <w:b/>
          <w:color w:val="000000"/>
          <w:sz w:val="24"/>
          <w:szCs w:val="24"/>
        </w:rPr>
        <w:t>Recommendation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r w:rsidRPr="00A12E88">
        <w:rPr>
          <w:rFonts w:ascii="Trebuchet MS" w:hAnsi="Trebuchet MS"/>
          <w:sz w:val="24"/>
          <w:szCs w:val="24"/>
        </w:rPr>
        <w:t>The proposal has been assessed against the Town and Country Planning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Act 1990 (as amended) and Class A, Part 1, Schedule 2 of the Town and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Country Planning (General Permitted Development) (England) Order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>2015.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r w:rsidRPr="00A12E88">
        <w:rPr>
          <w:rFonts w:ascii="Trebuchet MS" w:hAnsi="Trebuchet MS"/>
          <w:sz w:val="24"/>
          <w:szCs w:val="24"/>
        </w:rPr>
        <w:t xml:space="preserve">It can be confirmed that the </w:t>
      </w:r>
      <w:r w:rsidR="00D736AE">
        <w:rPr>
          <w:rFonts w:ascii="Trebuchet MS" w:hAnsi="Trebuchet MS"/>
          <w:sz w:val="24"/>
          <w:szCs w:val="24"/>
        </w:rPr>
        <w:t xml:space="preserve">existing single storey rear extension </w:t>
      </w:r>
      <w:r w:rsidRPr="00A12E88">
        <w:rPr>
          <w:rFonts w:ascii="Trebuchet MS" w:hAnsi="Trebuchet MS"/>
          <w:sz w:val="24"/>
          <w:szCs w:val="24"/>
        </w:rPr>
        <w:t>would be lawful for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 xml:space="preserve">planning purposes on the basis of the drawings received on </w:t>
      </w:r>
      <w:r w:rsidR="00D736AE">
        <w:rPr>
          <w:rFonts w:ascii="Trebuchet MS" w:hAnsi="Trebuchet MS"/>
          <w:sz w:val="24"/>
          <w:szCs w:val="24"/>
        </w:rPr>
        <w:t>26</w:t>
      </w:r>
      <w:r w:rsidR="00D736AE" w:rsidRPr="00D736AE">
        <w:rPr>
          <w:rFonts w:ascii="Trebuchet MS" w:hAnsi="Trebuchet MS"/>
          <w:sz w:val="24"/>
          <w:szCs w:val="24"/>
          <w:vertAlign w:val="superscript"/>
        </w:rPr>
        <w:t>th</w:t>
      </w:r>
      <w:r w:rsidR="00D736AE">
        <w:rPr>
          <w:rFonts w:ascii="Trebuchet MS" w:hAnsi="Trebuchet MS"/>
          <w:sz w:val="24"/>
          <w:szCs w:val="24"/>
        </w:rPr>
        <w:t xml:space="preserve"> February </w:t>
      </w:r>
      <w:r w:rsidRPr="00A12E88">
        <w:rPr>
          <w:rFonts w:ascii="Trebuchet MS" w:hAnsi="Trebuchet MS"/>
          <w:sz w:val="24"/>
          <w:szCs w:val="24"/>
        </w:rPr>
        <w:t>201</w:t>
      </w:r>
      <w:r w:rsidR="00D736AE">
        <w:rPr>
          <w:rFonts w:ascii="Trebuchet MS" w:hAnsi="Trebuchet MS"/>
          <w:sz w:val="24"/>
          <w:szCs w:val="24"/>
        </w:rPr>
        <w:t>8.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  <w:r w:rsidRPr="00A12E88">
        <w:rPr>
          <w:rFonts w:ascii="Trebuchet MS" w:hAnsi="Trebuchet MS"/>
          <w:sz w:val="24"/>
          <w:szCs w:val="24"/>
        </w:rPr>
        <w:t>Therefore the Local Planning Authority can issue the applicant with a</w:t>
      </w:r>
      <w:r>
        <w:rPr>
          <w:rFonts w:ascii="Trebuchet MS" w:hAnsi="Trebuchet MS"/>
          <w:sz w:val="24"/>
          <w:szCs w:val="24"/>
        </w:rPr>
        <w:t xml:space="preserve"> </w:t>
      </w:r>
      <w:r w:rsidRPr="00A12E88">
        <w:rPr>
          <w:rFonts w:ascii="Trebuchet MS" w:hAnsi="Trebuchet MS"/>
          <w:sz w:val="24"/>
          <w:szCs w:val="24"/>
        </w:rPr>
        <w:t xml:space="preserve">Certificate of Lawfulness for the </w:t>
      </w:r>
      <w:r w:rsidR="00D736AE">
        <w:rPr>
          <w:rFonts w:ascii="Trebuchet MS" w:hAnsi="Trebuchet MS"/>
          <w:sz w:val="24"/>
          <w:szCs w:val="24"/>
        </w:rPr>
        <w:t>Existing D</w:t>
      </w:r>
      <w:r w:rsidRPr="00A12E88">
        <w:rPr>
          <w:rFonts w:ascii="Trebuchet MS" w:hAnsi="Trebuchet MS"/>
          <w:sz w:val="24"/>
          <w:szCs w:val="24"/>
        </w:rPr>
        <w:t>evelopment.</w:t>
      </w:r>
    </w:p>
    <w:p w:rsidR="00A12E88" w:rsidRPr="00A12E88" w:rsidRDefault="00A12E8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021541" w:rsidRDefault="00021541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457CC4" w:rsidRDefault="00D736AE" w:rsidP="00A12E88">
      <w:pPr>
        <w:pStyle w:val="NoSpacing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  <w:lang w:eastAsia="en-GB"/>
        </w:rPr>
        <w:drawing>
          <wp:inline distT="0" distB="0" distL="0" distR="0">
            <wp:extent cx="5731510" cy="3636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918" w:rsidRDefault="00A93918" w:rsidP="00A12E88">
      <w:pPr>
        <w:pStyle w:val="NoSpacing"/>
        <w:rPr>
          <w:rFonts w:ascii="Trebuchet MS" w:hAnsi="Trebuchet MS"/>
          <w:sz w:val="24"/>
          <w:szCs w:val="24"/>
        </w:rPr>
      </w:pPr>
    </w:p>
    <w:p w:rsidR="00A93918" w:rsidRPr="00A12E88" w:rsidRDefault="00A93918" w:rsidP="00A12E88">
      <w:pPr>
        <w:pStyle w:val="NoSpacing"/>
        <w:rPr>
          <w:rFonts w:ascii="Trebuchet MS" w:hAnsi="Trebuchet MS"/>
          <w:sz w:val="24"/>
          <w:szCs w:val="24"/>
        </w:rPr>
      </w:pPr>
    </w:p>
    <w:sectPr w:rsidR="00A93918" w:rsidRPr="00A12E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F3B" w:rsidRDefault="00531F3B" w:rsidP="00531F3B">
      <w:pPr>
        <w:spacing w:after="0" w:line="240" w:lineRule="auto"/>
      </w:pPr>
      <w:r>
        <w:separator/>
      </w:r>
    </w:p>
  </w:endnote>
  <w:endnote w:type="continuationSeparator" w:id="0">
    <w:p w:rsidR="00531F3B" w:rsidRDefault="00531F3B" w:rsidP="0053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F3B" w:rsidRDefault="00531F3B" w:rsidP="00531F3B">
      <w:pPr>
        <w:spacing w:after="0" w:line="240" w:lineRule="auto"/>
      </w:pPr>
      <w:r>
        <w:separator/>
      </w:r>
    </w:p>
  </w:footnote>
  <w:footnote w:type="continuationSeparator" w:id="0">
    <w:p w:rsidR="00531F3B" w:rsidRDefault="00531F3B" w:rsidP="0053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3B" w:rsidRDefault="00531F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F79DD"/>
    <w:multiLevelType w:val="hybridMultilevel"/>
    <w:tmpl w:val="7D8C0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D0831"/>
    <w:multiLevelType w:val="hybridMultilevel"/>
    <w:tmpl w:val="BCD6D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12E39"/>
    <w:multiLevelType w:val="hybridMultilevel"/>
    <w:tmpl w:val="DDD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E23EFA"/>
    <w:multiLevelType w:val="hybridMultilevel"/>
    <w:tmpl w:val="71508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052E5"/>
    <w:multiLevelType w:val="hybridMultilevel"/>
    <w:tmpl w:val="B21A1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9A3201"/>
    <w:multiLevelType w:val="hybridMultilevel"/>
    <w:tmpl w:val="0F9C3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A3ADC"/>
    <w:multiLevelType w:val="hybridMultilevel"/>
    <w:tmpl w:val="7B3C5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9C3EEB"/>
    <w:multiLevelType w:val="hybridMultilevel"/>
    <w:tmpl w:val="161E0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5504"/>
    <w:rsid w:val="00021541"/>
    <w:rsid w:val="00037BAF"/>
    <w:rsid w:val="0007503E"/>
    <w:rsid w:val="00075F51"/>
    <w:rsid w:val="00093197"/>
    <w:rsid w:val="000E5A3F"/>
    <w:rsid w:val="0014241C"/>
    <w:rsid w:val="0017663F"/>
    <w:rsid w:val="00215C25"/>
    <w:rsid w:val="00225DA7"/>
    <w:rsid w:val="00270CCE"/>
    <w:rsid w:val="002E19E5"/>
    <w:rsid w:val="003B7D08"/>
    <w:rsid w:val="003C6957"/>
    <w:rsid w:val="003D179A"/>
    <w:rsid w:val="00407804"/>
    <w:rsid w:val="00457CC4"/>
    <w:rsid w:val="00531F3B"/>
    <w:rsid w:val="005B391B"/>
    <w:rsid w:val="005E550A"/>
    <w:rsid w:val="00625504"/>
    <w:rsid w:val="006A17A0"/>
    <w:rsid w:val="006A5B04"/>
    <w:rsid w:val="006E5EB5"/>
    <w:rsid w:val="00777832"/>
    <w:rsid w:val="007B11DE"/>
    <w:rsid w:val="007F7924"/>
    <w:rsid w:val="00814662"/>
    <w:rsid w:val="00880961"/>
    <w:rsid w:val="008A59CB"/>
    <w:rsid w:val="00912B7D"/>
    <w:rsid w:val="009A3326"/>
    <w:rsid w:val="009F782D"/>
    <w:rsid w:val="00A12E88"/>
    <w:rsid w:val="00A90526"/>
    <w:rsid w:val="00A93918"/>
    <w:rsid w:val="00AF3FE4"/>
    <w:rsid w:val="00B27F03"/>
    <w:rsid w:val="00B61C6F"/>
    <w:rsid w:val="00B714EA"/>
    <w:rsid w:val="00BC092F"/>
    <w:rsid w:val="00C40D2F"/>
    <w:rsid w:val="00D330DE"/>
    <w:rsid w:val="00D736AE"/>
    <w:rsid w:val="00D8378E"/>
    <w:rsid w:val="00E1716B"/>
    <w:rsid w:val="00E3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5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5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1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F3B"/>
  </w:style>
  <w:style w:type="paragraph" w:styleId="Footer">
    <w:name w:val="footer"/>
    <w:basedOn w:val="Normal"/>
    <w:link w:val="FooterChar"/>
    <w:uiPriority w:val="99"/>
    <w:unhideWhenUsed/>
    <w:rsid w:val="00531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F3B"/>
  </w:style>
  <w:style w:type="paragraph" w:styleId="NoSpacing">
    <w:name w:val="No Spacing"/>
    <w:uiPriority w:val="1"/>
    <w:qFormat/>
    <w:rsid w:val="00A12E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Williams, Julie</cp:lastModifiedBy>
  <cp:revision>12</cp:revision>
  <dcterms:created xsi:type="dcterms:W3CDTF">2017-03-28T14:22:00Z</dcterms:created>
  <dcterms:modified xsi:type="dcterms:W3CDTF">2018-03-08T14:48:00Z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2017-03-28T14:22:26Z</vt:filetime>
  </property>
</Properties>
</file>