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81A" w:rsidRPr="00AF3FE4" w:rsidRDefault="008C281A" w:rsidP="008C281A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  <w:u w:val="single"/>
        </w:rPr>
        <w:t>Delegated Application Report</w:t>
      </w:r>
      <w:r w:rsidRPr="00AF3FE4">
        <w:rPr>
          <w:rFonts w:ascii="Trebuchet MS" w:hAnsi="Trebuchet MS"/>
          <w:sz w:val="24"/>
          <w:szCs w:val="24"/>
        </w:rPr>
        <w:t xml:space="preserve"> </w:t>
      </w:r>
      <w:r w:rsidRPr="00AF3FE4">
        <w:rPr>
          <w:rFonts w:ascii="Trebuchet MS" w:hAnsi="Trebuchet MS"/>
          <w:sz w:val="24"/>
          <w:szCs w:val="24"/>
        </w:rPr>
        <w:tab/>
      </w:r>
      <w:r w:rsidRPr="00AF3FE4">
        <w:rPr>
          <w:rFonts w:ascii="Trebuchet MS" w:hAnsi="Trebuchet MS"/>
          <w:sz w:val="24"/>
          <w:szCs w:val="24"/>
        </w:rPr>
        <w:tab/>
      </w:r>
      <w:r w:rsidRPr="00AF3FE4">
        <w:rPr>
          <w:rFonts w:ascii="Trebuchet MS" w:hAnsi="Trebuchet MS"/>
          <w:sz w:val="24"/>
          <w:szCs w:val="24"/>
        </w:rPr>
        <w:tab/>
      </w:r>
      <w:r w:rsidRPr="00AF3FE4">
        <w:rPr>
          <w:rFonts w:ascii="Trebuchet MS" w:hAnsi="Trebuchet MS"/>
          <w:sz w:val="24"/>
          <w:szCs w:val="24"/>
        </w:rPr>
        <w:tab/>
      </w:r>
      <w:r>
        <w:rPr>
          <w:rFonts w:ascii="Trebuchet MS" w:hAnsi="Trebuchet MS"/>
          <w:sz w:val="24"/>
          <w:szCs w:val="24"/>
        </w:rPr>
        <w:t xml:space="preserve">          </w:t>
      </w:r>
      <w:r w:rsidRPr="00AF3FE4">
        <w:rPr>
          <w:rFonts w:ascii="Trebuchet MS" w:hAnsi="Trebuchet MS"/>
          <w:b/>
          <w:sz w:val="24"/>
          <w:szCs w:val="24"/>
        </w:rPr>
        <w:t>Target Date:</w:t>
      </w:r>
      <w:r w:rsidRPr="00AF3FE4"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</w:rPr>
        <w:t>28/08/17</w:t>
      </w:r>
    </w:p>
    <w:p w:rsidR="008C281A" w:rsidRPr="006D12B1" w:rsidRDefault="008C281A" w:rsidP="008C281A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 xml:space="preserve">Address: </w:t>
      </w:r>
      <w:r w:rsidRPr="008C281A">
        <w:rPr>
          <w:rFonts w:ascii="Trebuchet MS" w:hAnsi="Trebuchet MS"/>
          <w:sz w:val="24"/>
          <w:szCs w:val="24"/>
        </w:rPr>
        <w:t xml:space="preserve">24 </w:t>
      </w:r>
      <w:proofErr w:type="spellStart"/>
      <w:r w:rsidRPr="008C281A">
        <w:rPr>
          <w:rFonts w:ascii="Trebuchet MS" w:hAnsi="Trebuchet MS"/>
          <w:sz w:val="24"/>
          <w:szCs w:val="24"/>
        </w:rPr>
        <w:t>Callington</w:t>
      </w:r>
      <w:proofErr w:type="spellEnd"/>
      <w:r w:rsidRPr="008C281A">
        <w:rPr>
          <w:rFonts w:ascii="Trebuchet MS" w:hAnsi="Trebuchet MS"/>
          <w:sz w:val="24"/>
          <w:szCs w:val="24"/>
        </w:rPr>
        <w:t xml:space="preserve"> Road, Reading</w:t>
      </w:r>
    </w:p>
    <w:p w:rsidR="008C281A" w:rsidRPr="006D12B1" w:rsidRDefault="008C281A" w:rsidP="008C281A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 xml:space="preserve">Application No: </w:t>
      </w:r>
      <w:r>
        <w:rPr>
          <w:rFonts w:ascii="Trebuchet MS" w:hAnsi="Trebuchet MS"/>
          <w:sz w:val="24"/>
          <w:szCs w:val="24"/>
        </w:rPr>
        <w:t>171049/CLP</w:t>
      </w:r>
    </w:p>
    <w:p w:rsidR="008C281A" w:rsidRPr="006D12B1" w:rsidRDefault="008C281A" w:rsidP="008C281A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 xml:space="preserve">Proposal: </w:t>
      </w:r>
      <w:r>
        <w:rPr>
          <w:rFonts w:ascii="Trebuchet MS" w:hAnsi="Trebuchet MS"/>
          <w:sz w:val="24"/>
          <w:szCs w:val="24"/>
        </w:rPr>
        <w:t>Erect a</w:t>
      </w:r>
      <w:r w:rsidR="00FC66EB">
        <w:rPr>
          <w:rFonts w:ascii="Trebuchet MS" w:hAnsi="Trebuchet MS"/>
          <w:sz w:val="24"/>
          <w:szCs w:val="24"/>
        </w:rPr>
        <w:t>n outbuilding (</w:t>
      </w:r>
      <w:r>
        <w:rPr>
          <w:rFonts w:ascii="Trebuchet MS" w:hAnsi="Trebuchet MS"/>
          <w:sz w:val="24"/>
          <w:szCs w:val="24"/>
        </w:rPr>
        <w:t>summer house</w:t>
      </w:r>
      <w:r w:rsidR="00FC66EB">
        <w:rPr>
          <w:rFonts w:ascii="Trebuchet MS" w:hAnsi="Trebuchet MS"/>
          <w:sz w:val="24"/>
          <w:szCs w:val="24"/>
        </w:rPr>
        <w:t>)</w:t>
      </w:r>
    </w:p>
    <w:p w:rsidR="008C281A" w:rsidRPr="00AF3FE4" w:rsidRDefault="008C281A" w:rsidP="008C281A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>Case Officer:</w:t>
      </w:r>
      <w:r w:rsidRPr="00AF3FE4"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</w:rPr>
        <w:t xml:space="preserve">Ralph </w:t>
      </w:r>
      <w:proofErr w:type="spellStart"/>
      <w:r>
        <w:rPr>
          <w:rFonts w:ascii="Trebuchet MS" w:hAnsi="Trebuchet MS"/>
          <w:sz w:val="24"/>
          <w:szCs w:val="24"/>
        </w:rPr>
        <w:t>Chakadya</w:t>
      </w:r>
      <w:proofErr w:type="spellEnd"/>
    </w:p>
    <w:p w:rsidR="008C281A" w:rsidRDefault="008C281A" w:rsidP="008C281A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>Introduction and Proposal</w:t>
      </w:r>
    </w:p>
    <w:p w:rsidR="008C281A" w:rsidRDefault="00FC66EB" w:rsidP="008C281A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The application site contains a semi-detached</w:t>
      </w:r>
      <w:r w:rsidR="008C281A">
        <w:rPr>
          <w:rFonts w:ascii="Trebuchet MS" w:hAnsi="Trebuchet MS"/>
          <w:sz w:val="24"/>
          <w:szCs w:val="24"/>
        </w:rPr>
        <w:t xml:space="preserve"> two storey property </w:t>
      </w:r>
      <w:r>
        <w:rPr>
          <w:rFonts w:ascii="Trebuchet MS" w:hAnsi="Trebuchet MS"/>
          <w:sz w:val="24"/>
          <w:szCs w:val="24"/>
        </w:rPr>
        <w:t>dwelling house.</w:t>
      </w:r>
      <w:r w:rsidR="008C281A">
        <w:rPr>
          <w:rFonts w:ascii="Trebuchet MS" w:hAnsi="Trebuchet MS"/>
          <w:sz w:val="24"/>
          <w:szCs w:val="24"/>
        </w:rPr>
        <w:t xml:space="preserve"> The surrounding area is predominantly residential. </w:t>
      </w:r>
    </w:p>
    <w:p w:rsidR="00FC66EB" w:rsidRDefault="008C281A" w:rsidP="00FC66EB">
      <w:pPr>
        <w:spacing w:line="240" w:lineRule="auto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The proposal is for a</w:t>
      </w:r>
      <w:r w:rsidR="00FC66EB">
        <w:rPr>
          <w:rFonts w:ascii="Trebuchet MS" w:hAnsi="Trebuchet MS"/>
          <w:sz w:val="24"/>
          <w:szCs w:val="24"/>
        </w:rPr>
        <w:t>n outbuilding to provide a summer house. The outbuilding would be 6m deep by 4.65m</w:t>
      </w:r>
      <w:r>
        <w:rPr>
          <w:rFonts w:ascii="Trebuchet MS" w:hAnsi="Trebuchet MS"/>
          <w:sz w:val="24"/>
          <w:szCs w:val="24"/>
        </w:rPr>
        <w:t xml:space="preserve"> </w:t>
      </w:r>
      <w:r w:rsidR="00FC66EB">
        <w:rPr>
          <w:rFonts w:ascii="Trebuchet MS" w:hAnsi="Trebuchet MS"/>
          <w:sz w:val="24"/>
          <w:szCs w:val="24"/>
        </w:rPr>
        <w:t xml:space="preserve">wide being a maximum 2.5m high with a flat roof. The outbuilding would be located at the bottom corner of the rear garden adjoining number 22 </w:t>
      </w:r>
      <w:proofErr w:type="spellStart"/>
      <w:r w:rsidR="00FC66EB">
        <w:rPr>
          <w:rFonts w:ascii="Trebuchet MS" w:hAnsi="Trebuchet MS"/>
          <w:sz w:val="24"/>
          <w:szCs w:val="24"/>
        </w:rPr>
        <w:t>Callington</w:t>
      </w:r>
      <w:proofErr w:type="spellEnd"/>
      <w:r w:rsidR="00FC66EB">
        <w:rPr>
          <w:rFonts w:ascii="Trebuchet MS" w:hAnsi="Trebuchet MS"/>
          <w:sz w:val="24"/>
          <w:szCs w:val="24"/>
        </w:rPr>
        <w:t xml:space="preserve"> Road and 23 Helston Gardens</w:t>
      </w:r>
    </w:p>
    <w:p w:rsidR="008C281A" w:rsidRDefault="008C281A" w:rsidP="008C281A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>Plans Submitted</w:t>
      </w:r>
    </w:p>
    <w:p w:rsidR="008C281A" w:rsidRPr="008C281A" w:rsidRDefault="008C281A" w:rsidP="008C281A">
      <w:pPr>
        <w:spacing w:after="0" w:line="240" w:lineRule="auto"/>
        <w:rPr>
          <w:rFonts w:ascii="Trebuchet MS" w:hAnsi="Trebuchet MS"/>
          <w:sz w:val="24"/>
          <w:szCs w:val="24"/>
        </w:rPr>
      </w:pPr>
      <w:r w:rsidRPr="008C281A">
        <w:rPr>
          <w:rFonts w:ascii="Trebuchet MS" w:hAnsi="Trebuchet MS"/>
          <w:sz w:val="24"/>
          <w:szCs w:val="24"/>
        </w:rPr>
        <w:t>Drawing No.02 Location plan</w:t>
      </w:r>
    </w:p>
    <w:p w:rsidR="008C281A" w:rsidRDefault="008C281A" w:rsidP="008C281A">
      <w:pPr>
        <w:spacing w:after="0" w:line="240" w:lineRule="auto"/>
        <w:rPr>
          <w:rFonts w:ascii="Trebuchet MS" w:hAnsi="Trebuchet MS"/>
          <w:sz w:val="24"/>
          <w:szCs w:val="24"/>
        </w:rPr>
      </w:pPr>
      <w:r w:rsidRPr="008C281A">
        <w:rPr>
          <w:rFonts w:ascii="Trebuchet MS" w:hAnsi="Trebuchet MS"/>
          <w:sz w:val="24"/>
          <w:szCs w:val="24"/>
        </w:rPr>
        <w:t>Drawing No.01 Proposed Block, Floor and Elevation Plans</w:t>
      </w:r>
    </w:p>
    <w:p w:rsidR="008C281A" w:rsidRPr="008C281A" w:rsidRDefault="008C281A" w:rsidP="008C281A">
      <w:pPr>
        <w:spacing w:after="0" w:line="240" w:lineRule="auto"/>
        <w:rPr>
          <w:rFonts w:ascii="Trebuchet MS" w:hAnsi="Trebuchet MS"/>
          <w:sz w:val="24"/>
          <w:szCs w:val="24"/>
        </w:rPr>
      </w:pPr>
    </w:p>
    <w:p w:rsidR="008C281A" w:rsidRDefault="008C281A" w:rsidP="008C281A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>Relevant Planning History</w:t>
      </w:r>
    </w:p>
    <w:p w:rsidR="008C281A" w:rsidRPr="00533A7D" w:rsidRDefault="008C281A" w:rsidP="008C281A">
      <w:pPr>
        <w:spacing w:line="240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None relevant</w:t>
      </w:r>
    </w:p>
    <w:p w:rsidR="008C281A" w:rsidRPr="00AF3FE4" w:rsidRDefault="008C281A" w:rsidP="008C281A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>Summary of Consultations</w:t>
      </w:r>
    </w:p>
    <w:p w:rsidR="008C281A" w:rsidRPr="00AF3FE4" w:rsidRDefault="008C281A" w:rsidP="008C281A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hAnsi="Trebuchet MS"/>
          <w:sz w:val="24"/>
          <w:szCs w:val="24"/>
        </w:rPr>
        <w:t>No consultations were undertaken as it is not required for an application of this type.</w:t>
      </w:r>
    </w:p>
    <w:p w:rsidR="008C281A" w:rsidRPr="00AF3FE4" w:rsidRDefault="008C281A" w:rsidP="008C281A">
      <w:pPr>
        <w:spacing w:line="240" w:lineRule="auto"/>
        <w:rPr>
          <w:rFonts w:ascii="Trebuchet MS" w:hAnsi="Trebuchet MS"/>
          <w:b/>
          <w:sz w:val="24"/>
          <w:szCs w:val="24"/>
        </w:rPr>
      </w:pPr>
      <w:r w:rsidRPr="00AF3FE4">
        <w:rPr>
          <w:rFonts w:ascii="Trebuchet MS" w:hAnsi="Trebuchet MS"/>
          <w:b/>
          <w:sz w:val="24"/>
          <w:szCs w:val="24"/>
        </w:rPr>
        <w:t>Relevant Planning Policy and Guidance</w:t>
      </w:r>
    </w:p>
    <w:p w:rsidR="008C281A" w:rsidRPr="00AF3FE4" w:rsidRDefault="008C281A" w:rsidP="008C281A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>National Planning Practice Guidance</w:t>
      </w:r>
    </w:p>
    <w:p w:rsidR="008C281A" w:rsidRPr="00AF3FE4" w:rsidRDefault="008C281A" w:rsidP="00FC66EB">
      <w:pPr>
        <w:spacing w:line="240" w:lineRule="auto"/>
        <w:jc w:val="both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>The Town and Country Planning (General Permitted Development) (England) Order 2015 (GPDO)</w:t>
      </w:r>
    </w:p>
    <w:p w:rsidR="008C281A" w:rsidRPr="00AF3FE4" w:rsidRDefault="008C281A" w:rsidP="00FC66EB">
      <w:pPr>
        <w:spacing w:line="240" w:lineRule="auto"/>
        <w:jc w:val="both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>Permitted development rights for householders</w:t>
      </w:r>
      <w:r>
        <w:rPr>
          <w:rFonts w:ascii="Trebuchet MS" w:eastAsia="Times New Roman" w:hAnsi="Trebuchet MS"/>
          <w:color w:val="000000"/>
          <w:sz w:val="24"/>
          <w:szCs w:val="24"/>
        </w:rPr>
        <w:t xml:space="preserve"> – Technical Guidance April 2017</w:t>
      </w:r>
    </w:p>
    <w:p w:rsidR="008C281A" w:rsidRPr="00AF3FE4" w:rsidRDefault="008C281A" w:rsidP="00FC66EB">
      <w:pPr>
        <w:spacing w:line="240" w:lineRule="auto"/>
        <w:jc w:val="both"/>
        <w:rPr>
          <w:rFonts w:ascii="Trebuchet MS" w:eastAsia="Times New Roman" w:hAnsi="Trebuchet MS"/>
          <w:b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b/>
          <w:color w:val="000000"/>
          <w:sz w:val="24"/>
          <w:szCs w:val="24"/>
        </w:rPr>
        <w:t>Assessment</w:t>
      </w:r>
    </w:p>
    <w:p w:rsidR="008C281A" w:rsidRPr="00AF3FE4" w:rsidRDefault="008C281A" w:rsidP="00FC66EB">
      <w:pPr>
        <w:spacing w:line="240" w:lineRule="auto"/>
        <w:jc w:val="both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A Certificate of Lawfulness for a proposed development has been submitted as the applicant considers the proposal falls within the permitted development rights of the property. </w:t>
      </w:r>
    </w:p>
    <w:p w:rsidR="008C281A" w:rsidRPr="00AF3FE4" w:rsidRDefault="008C281A" w:rsidP="00FC66EB">
      <w:pPr>
        <w:spacing w:line="240" w:lineRule="auto"/>
        <w:jc w:val="both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>The proposed</w:t>
      </w:r>
      <w:r>
        <w:rPr>
          <w:rFonts w:ascii="Trebuchet MS" w:eastAsia="Times New Roman" w:hAnsi="Trebuchet MS"/>
          <w:color w:val="000000"/>
          <w:sz w:val="24"/>
          <w:szCs w:val="24"/>
        </w:rPr>
        <w:t xml:space="preserve"> outbuilding 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>must be assessed to ensure that it complie</w:t>
      </w:r>
      <w:r>
        <w:rPr>
          <w:rFonts w:ascii="Trebuchet MS" w:eastAsia="Times New Roman" w:hAnsi="Trebuchet MS"/>
          <w:color w:val="000000"/>
          <w:sz w:val="24"/>
          <w:szCs w:val="24"/>
        </w:rPr>
        <w:t>s with the conditions of Class E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>, Part 1, Schedule 2 of the Town and Country Planning (General Permitted Development) (England</w:t>
      </w:r>
      <w:r>
        <w:rPr>
          <w:rFonts w:ascii="Trebuchet MS" w:eastAsia="Times New Roman" w:hAnsi="Trebuchet MS"/>
          <w:color w:val="000000"/>
          <w:sz w:val="24"/>
          <w:szCs w:val="24"/>
        </w:rPr>
        <w:t xml:space="preserve">) Order 2015, which relates to ‘buildings </w:t>
      </w:r>
      <w:proofErr w:type="spellStart"/>
      <w:r>
        <w:rPr>
          <w:rFonts w:ascii="Trebuchet MS" w:eastAsia="Times New Roman" w:hAnsi="Trebuchet MS"/>
          <w:color w:val="000000"/>
          <w:sz w:val="24"/>
          <w:szCs w:val="24"/>
        </w:rPr>
        <w:t>etc</w:t>
      </w:r>
      <w:proofErr w:type="spellEnd"/>
      <w:r>
        <w:rPr>
          <w:rFonts w:ascii="Trebuchet MS" w:eastAsia="Times New Roman" w:hAnsi="Trebuchet MS"/>
          <w:color w:val="000000"/>
          <w:sz w:val="24"/>
          <w:szCs w:val="24"/>
        </w:rPr>
        <w:t xml:space="preserve"> incidental to the enjoyment of a dwellinghouse’.</w:t>
      </w:r>
    </w:p>
    <w:p w:rsidR="008C281A" w:rsidRPr="00AF3FE4" w:rsidRDefault="008C281A" w:rsidP="00FC66EB">
      <w:pPr>
        <w:spacing w:line="240" w:lineRule="auto"/>
        <w:jc w:val="both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lastRenderedPageBreak/>
        <w:t>The releva</w:t>
      </w:r>
      <w:r>
        <w:rPr>
          <w:rFonts w:ascii="Trebuchet MS" w:eastAsia="Times New Roman" w:hAnsi="Trebuchet MS"/>
          <w:color w:val="000000"/>
          <w:sz w:val="24"/>
          <w:szCs w:val="24"/>
        </w:rPr>
        <w:t>nt conditions of the GPDO for an outbuilding</w:t>
      </w:r>
      <w:r w:rsidRPr="00AF3FE4">
        <w:rPr>
          <w:rFonts w:ascii="Trebuchet MS" w:eastAsia="Times New Roman" w:hAnsi="Trebuchet MS"/>
          <w:color w:val="000000"/>
          <w:sz w:val="24"/>
          <w:szCs w:val="24"/>
        </w:rPr>
        <w:t xml:space="preserve">, which is not listed or in a conservation area, are as follows: </w:t>
      </w:r>
    </w:p>
    <w:p w:rsidR="008C281A" w:rsidRDefault="008C281A" w:rsidP="00FC66EB">
      <w:pPr>
        <w:spacing w:line="240" w:lineRule="auto"/>
        <w:jc w:val="both"/>
        <w:rPr>
          <w:rFonts w:ascii="Trebuchet MS" w:eastAsia="Times New Roman" w:hAnsi="Trebuchet MS"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 xml:space="preserve">E.1 Development is </w:t>
      </w:r>
      <w:r w:rsidRPr="00865207">
        <w:rPr>
          <w:rFonts w:ascii="Trebuchet MS" w:eastAsia="Times New Roman" w:hAnsi="Trebuchet MS"/>
          <w:color w:val="000000"/>
          <w:sz w:val="24"/>
          <w:szCs w:val="24"/>
          <w:u w:val="single"/>
        </w:rPr>
        <w:t>not</w:t>
      </w:r>
      <w:r>
        <w:rPr>
          <w:rFonts w:ascii="Trebuchet MS" w:eastAsia="Times New Roman" w:hAnsi="Trebuchet MS"/>
          <w:color w:val="000000"/>
          <w:sz w:val="24"/>
          <w:szCs w:val="24"/>
        </w:rPr>
        <w:t xml:space="preserve"> permitted by Class E if:</w:t>
      </w:r>
    </w:p>
    <w:p w:rsidR="008C281A" w:rsidRPr="008B69DB" w:rsidRDefault="008C281A" w:rsidP="00FC66EB">
      <w:pPr>
        <w:spacing w:line="240" w:lineRule="auto"/>
        <w:jc w:val="both"/>
        <w:rPr>
          <w:rFonts w:ascii="Trebuchet MS" w:eastAsia="Times New Roman" w:hAnsi="Trebuchet MS"/>
          <w:b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 xml:space="preserve">E.1 (a) permission to use the dwellinghouse as a dwellinghouse has been granted only by virtue of Class M, N, P or Q of Part 3 of this Schedule (changes of use); </w:t>
      </w:r>
      <w:r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8C281A" w:rsidRPr="008B69DB" w:rsidRDefault="008C281A" w:rsidP="00FC66EB">
      <w:pPr>
        <w:spacing w:line="240" w:lineRule="auto"/>
        <w:jc w:val="both"/>
        <w:rPr>
          <w:rFonts w:ascii="Trebuchet MS" w:eastAsia="Times New Roman" w:hAnsi="Trebuchet MS"/>
          <w:b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 xml:space="preserve">E.1 (b) the total area of ground covered by buildings, enclosures and containers within the curtilage (other than the original dwellinghouse) would exceed 50% of the total area of the curtilage (excluding the ground area of the original dwellinghouse); </w:t>
      </w:r>
      <w:r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8C281A" w:rsidRPr="008B69DB" w:rsidRDefault="008C281A" w:rsidP="00FC66EB">
      <w:pPr>
        <w:spacing w:line="240" w:lineRule="auto"/>
        <w:jc w:val="both"/>
        <w:rPr>
          <w:rFonts w:ascii="Trebuchet MS" w:eastAsia="Times New Roman" w:hAnsi="Trebuchet MS"/>
          <w:b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 xml:space="preserve">E.1 (c) any part of the building, enclosure, pool or container would be situated on land forward of a wall forming the principal elevation of the original dwellinghouse; </w:t>
      </w:r>
      <w:r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8C281A" w:rsidRPr="008B69DB" w:rsidRDefault="008C281A" w:rsidP="00FC66EB">
      <w:pPr>
        <w:spacing w:line="240" w:lineRule="auto"/>
        <w:jc w:val="both"/>
        <w:rPr>
          <w:rFonts w:ascii="Trebuchet MS" w:eastAsia="Times New Roman" w:hAnsi="Trebuchet MS"/>
          <w:b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 xml:space="preserve">E.1 (d) the building would have more than a single storey; </w:t>
      </w:r>
      <w:r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8C281A" w:rsidRPr="008B69DB" w:rsidRDefault="008C281A" w:rsidP="00FC66EB">
      <w:pPr>
        <w:spacing w:line="240" w:lineRule="auto"/>
        <w:jc w:val="both"/>
        <w:rPr>
          <w:rFonts w:ascii="Trebuchet MS" w:eastAsia="Times New Roman" w:hAnsi="Trebuchet MS"/>
          <w:b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>E.1 (e) the height of the building, enclosure or container would exceed (</w:t>
      </w:r>
      <w:proofErr w:type="spellStart"/>
      <w:r>
        <w:rPr>
          <w:rFonts w:ascii="Trebuchet MS" w:eastAsia="Times New Roman" w:hAnsi="Trebuchet MS"/>
          <w:color w:val="000000"/>
          <w:sz w:val="24"/>
          <w:szCs w:val="24"/>
        </w:rPr>
        <w:t>i</w:t>
      </w:r>
      <w:proofErr w:type="spellEnd"/>
      <w:r>
        <w:rPr>
          <w:rFonts w:ascii="Trebuchet MS" w:eastAsia="Times New Roman" w:hAnsi="Trebuchet MS"/>
          <w:color w:val="000000"/>
          <w:sz w:val="24"/>
          <w:szCs w:val="24"/>
        </w:rPr>
        <w:t xml:space="preserve">) 4 metres in the case of a building with a dual-pitched roof, </w:t>
      </w:r>
      <w:r>
        <w:rPr>
          <w:rFonts w:ascii="Trebuchet MS" w:eastAsia="Times New Roman" w:hAnsi="Trebuchet MS"/>
          <w:b/>
          <w:color w:val="000000"/>
          <w:sz w:val="24"/>
          <w:szCs w:val="24"/>
        </w:rPr>
        <w:t xml:space="preserve">n/a </w:t>
      </w:r>
      <w:r>
        <w:rPr>
          <w:rFonts w:ascii="Trebuchet MS" w:eastAsia="Times New Roman" w:hAnsi="Trebuchet MS"/>
          <w:color w:val="000000"/>
          <w:sz w:val="24"/>
          <w:szCs w:val="24"/>
        </w:rPr>
        <w:t xml:space="preserve">(ii) 2.5 metres in the case of a building, enclosure or container within 2 metres of the boundary of the curtilage of the dwellinghouse, </w:t>
      </w:r>
      <w:r>
        <w:rPr>
          <w:rFonts w:ascii="Trebuchet MS" w:eastAsia="Times New Roman" w:hAnsi="Trebuchet MS"/>
          <w:b/>
          <w:color w:val="000000"/>
          <w:sz w:val="24"/>
          <w:szCs w:val="24"/>
        </w:rPr>
        <w:t xml:space="preserve">complies </w:t>
      </w:r>
      <w:r>
        <w:rPr>
          <w:rFonts w:ascii="Trebuchet MS" w:eastAsia="Times New Roman" w:hAnsi="Trebuchet MS"/>
          <w:color w:val="000000"/>
          <w:sz w:val="24"/>
          <w:szCs w:val="24"/>
        </w:rPr>
        <w:t xml:space="preserve">or (iii) 3 metres in any other case; </w:t>
      </w:r>
      <w:r>
        <w:rPr>
          <w:rFonts w:ascii="Trebuchet MS" w:eastAsia="Times New Roman" w:hAnsi="Trebuchet MS"/>
          <w:b/>
          <w:color w:val="000000"/>
          <w:sz w:val="24"/>
          <w:szCs w:val="24"/>
        </w:rPr>
        <w:t>n/a</w:t>
      </w:r>
    </w:p>
    <w:p w:rsidR="008C281A" w:rsidRPr="008B69DB" w:rsidRDefault="008C281A" w:rsidP="00FC66EB">
      <w:pPr>
        <w:spacing w:line="240" w:lineRule="auto"/>
        <w:jc w:val="both"/>
        <w:rPr>
          <w:rFonts w:ascii="Trebuchet MS" w:eastAsia="Times New Roman" w:hAnsi="Trebuchet MS"/>
          <w:b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 xml:space="preserve">E.1 (f) the height of the eaves of the building would exceed 2.5 metres; </w:t>
      </w:r>
      <w:r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8C281A" w:rsidRPr="008B69DB" w:rsidRDefault="008C281A" w:rsidP="00FC66EB">
      <w:pPr>
        <w:spacing w:line="240" w:lineRule="auto"/>
        <w:jc w:val="both"/>
        <w:rPr>
          <w:rFonts w:ascii="Trebuchet MS" w:eastAsia="Times New Roman" w:hAnsi="Trebuchet MS"/>
          <w:b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 xml:space="preserve">E.1 (g) the building, enclosure, pool or container would be situated within the curtilage of a listed building; </w:t>
      </w:r>
      <w:r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8C281A" w:rsidRPr="008B69DB" w:rsidRDefault="008C281A" w:rsidP="00FC66EB">
      <w:pPr>
        <w:spacing w:line="240" w:lineRule="auto"/>
        <w:jc w:val="both"/>
        <w:rPr>
          <w:rFonts w:ascii="Trebuchet MS" w:eastAsia="Times New Roman" w:hAnsi="Trebuchet MS"/>
          <w:b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 xml:space="preserve">E.1 (h) it would include the construction or provision of a </w:t>
      </w:r>
      <w:proofErr w:type="spellStart"/>
      <w:r>
        <w:rPr>
          <w:rFonts w:ascii="Trebuchet MS" w:eastAsia="Times New Roman" w:hAnsi="Trebuchet MS"/>
          <w:color w:val="000000"/>
          <w:sz w:val="24"/>
          <w:szCs w:val="24"/>
        </w:rPr>
        <w:t>verandah</w:t>
      </w:r>
      <w:proofErr w:type="spellEnd"/>
      <w:r>
        <w:rPr>
          <w:rFonts w:ascii="Trebuchet MS" w:eastAsia="Times New Roman" w:hAnsi="Trebuchet MS"/>
          <w:color w:val="000000"/>
          <w:sz w:val="24"/>
          <w:szCs w:val="24"/>
        </w:rPr>
        <w:t xml:space="preserve">, balcony or raised platform; </w:t>
      </w:r>
      <w:r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</w:p>
    <w:p w:rsidR="008C281A" w:rsidRDefault="008C281A" w:rsidP="00FC66EB">
      <w:pPr>
        <w:spacing w:line="240" w:lineRule="auto"/>
        <w:jc w:val="both"/>
        <w:rPr>
          <w:rFonts w:ascii="Trebuchet MS" w:eastAsia="Times New Roman" w:hAnsi="Trebuchet MS"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>E.1 (</w:t>
      </w:r>
      <w:proofErr w:type="spellStart"/>
      <w:r>
        <w:rPr>
          <w:rFonts w:ascii="Trebuchet MS" w:eastAsia="Times New Roman" w:hAnsi="Trebuchet MS"/>
          <w:color w:val="000000"/>
          <w:sz w:val="24"/>
          <w:szCs w:val="24"/>
        </w:rPr>
        <w:t>i</w:t>
      </w:r>
      <w:proofErr w:type="spellEnd"/>
      <w:r>
        <w:rPr>
          <w:rFonts w:ascii="Trebuchet MS" w:eastAsia="Times New Roman" w:hAnsi="Trebuchet MS"/>
          <w:color w:val="000000"/>
          <w:sz w:val="24"/>
          <w:szCs w:val="24"/>
        </w:rPr>
        <w:t xml:space="preserve">) it relates to a dwelling or a microwave antenna; </w:t>
      </w:r>
      <w:r>
        <w:rPr>
          <w:rFonts w:ascii="Trebuchet MS" w:eastAsia="Times New Roman" w:hAnsi="Trebuchet MS"/>
          <w:b/>
          <w:color w:val="000000"/>
          <w:sz w:val="24"/>
          <w:szCs w:val="24"/>
        </w:rPr>
        <w:t xml:space="preserve">complies </w:t>
      </w:r>
      <w:r>
        <w:rPr>
          <w:rFonts w:ascii="Trebuchet MS" w:eastAsia="Times New Roman" w:hAnsi="Trebuchet MS"/>
          <w:color w:val="000000"/>
          <w:sz w:val="24"/>
          <w:szCs w:val="24"/>
        </w:rPr>
        <w:t>or</w:t>
      </w:r>
    </w:p>
    <w:p w:rsidR="008C281A" w:rsidRPr="008B69DB" w:rsidRDefault="008C281A" w:rsidP="00FC66EB">
      <w:pPr>
        <w:spacing w:line="240" w:lineRule="auto"/>
        <w:jc w:val="both"/>
        <w:rPr>
          <w:rFonts w:ascii="Trebuchet MS" w:eastAsia="Times New Roman" w:hAnsi="Trebuchet MS"/>
          <w:b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 xml:space="preserve">E.1 (j) the capacity of the container would exceed 3,500 litres. </w:t>
      </w:r>
      <w:proofErr w:type="gramStart"/>
      <w:r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  <w:proofErr w:type="gramEnd"/>
    </w:p>
    <w:p w:rsidR="008C281A" w:rsidRDefault="008C281A" w:rsidP="00FC66EB">
      <w:pPr>
        <w:spacing w:line="240" w:lineRule="auto"/>
        <w:jc w:val="both"/>
        <w:rPr>
          <w:rFonts w:ascii="Trebuchet MS" w:eastAsia="Times New Roman" w:hAnsi="Trebuchet MS"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>E.2 In the case of any land within the curtilage of the dwellinghouse which is within:</w:t>
      </w:r>
    </w:p>
    <w:p w:rsidR="008C281A" w:rsidRDefault="008C281A" w:rsidP="00FC66EB">
      <w:pPr>
        <w:spacing w:line="240" w:lineRule="auto"/>
        <w:jc w:val="both"/>
        <w:rPr>
          <w:rFonts w:ascii="Trebuchet MS" w:eastAsia="Times New Roman" w:hAnsi="Trebuchet MS"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 xml:space="preserve">(a) </w:t>
      </w:r>
      <w:proofErr w:type="gramStart"/>
      <w:r>
        <w:rPr>
          <w:rFonts w:ascii="Trebuchet MS" w:eastAsia="Times New Roman" w:hAnsi="Trebuchet MS"/>
          <w:color w:val="000000"/>
          <w:sz w:val="24"/>
          <w:szCs w:val="24"/>
        </w:rPr>
        <w:t>an</w:t>
      </w:r>
      <w:proofErr w:type="gramEnd"/>
      <w:r>
        <w:rPr>
          <w:rFonts w:ascii="Trebuchet MS" w:eastAsia="Times New Roman" w:hAnsi="Trebuchet MS"/>
          <w:color w:val="000000"/>
          <w:sz w:val="24"/>
          <w:szCs w:val="24"/>
        </w:rPr>
        <w:t xml:space="preserve"> area of outstanding natural beauty;</w:t>
      </w:r>
    </w:p>
    <w:p w:rsidR="008C281A" w:rsidRDefault="008C281A" w:rsidP="00FC66EB">
      <w:pPr>
        <w:spacing w:line="240" w:lineRule="auto"/>
        <w:jc w:val="both"/>
        <w:rPr>
          <w:rFonts w:ascii="Trebuchet MS" w:eastAsia="Times New Roman" w:hAnsi="Trebuchet MS"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 xml:space="preserve">(b) </w:t>
      </w:r>
      <w:proofErr w:type="gramStart"/>
      <w:r>
        <w:rPr>
          <w:rFonts w:ascii="Trebuchet MS" w:eastAsia="Times New Roman" w:hAnsi="Trebuchet MS"/>
          <w:color w:val="000000"/>
          <w:sz w:val="24"/>
          <w:szCs w:val="24"/>
        </w:rPr>
        <w:t>the</w:t>
      </w:r>
      <w:proofErr w:type="gramEnd"/>
      <w:r>
        <w:rPr>
          <w:rFonts w:ascii="Trebuchet MS" w:eastAsia="Times New Roman" w:hAnsi="Trebuchet MS"/>
          <w:color w:val="000000"/>
          <w:sz w:val="24"/>
          <w:szCs w:val="24"/>
        </w:rPr>
        <w:t xml:space="preserve"> Broads;</w:t>
      </w:r>
    </w:p>
    <w:p w:rsidR="008C281A" w:rsidRDefault="008C281A" w:rsidP="00FC66EB">
      <w:pPr>
        <w:spacing w:line="240" w:lineRule="auto"/>
        <w:jc w:val="both"/>
        <w:rPr>
          <w:rFonts w:ascii="Trebuchet MS" w:eastAsia="Times New Roman" w:hAnsi="Trebuchet MS"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 xml:space="preserve">(c) </w:t>
      </w:r>
      <w:proofErr w:type="gramStart"/>
      <w:r>
        <w:rPr>
          <w:rFonts w:ascii="Trebuchet MS" w:eastAsia="Times New Roman" w:hAnsi="Trebuchet MS"/>
          <w:color w:val="000000"/>
          <w:sz w:val="24"/>
          <w:szCs w:val="24"/>
        </w:rPr>
        <w:t>a</w:t>
      </w:r>
      <w:proofErr w:type="gramEnd"/>
      <w:r>
        <w:rPr>
          <w:rFonts w:ascii="Trebuchet MS" w:eastAsia="Times New Roman" w:hAnsi="Trebuchet MS"/>
          <w:color w:val="000000"/>
          <w:sz w:val="24"/>
          <w:szCs w:val="24"/>
        </w:rPr>
        <w:t xml:space="preserve"> National Park; or </w:t>
      </w:r>
    </w:p>
    <w:p w:rsidR="008C281A" w:rsidRDefault="008C281A" w:rsidP="00FC66EB">
      <w:pPr>
        <w:spacing w:line="240" w:lineRule="auto"/>
        <w:jc w:val="both"/>
        <w:rPr>
          <w:rFonts w:ascii="Trebuchet MS" w:eastAsia="Times New Roman" w:hAnsi="Trebuchet MS"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 xml:space="preserve">(d) </w:t>
      </w:r>
      <w:proofErr w:type="gramStart"/>
      <w:r>
        <w:rPr>
          <w:rFonts w:ascii="Trebuchet MS" w:eastAsia="Times New Roman" w:hAnsi="Trebuchet MS"/>
          <w:color w:val="000000"/>
          <w:sz w:val="24"/>
          <w:szCs w:val="24"/>
        </w:rPr>
        <w:t>a</w:t>
      </w:r>
      <w:proofErr w:type="gramEnd"/>
      <w:r>
        <w:rPr>
          <w:rFonts w:ascii="Trebuchet MS" w:eastAsia="Times New Roman" w:hAnsi="Trebuchet MS"/>
          <w:color w:val="000000"/>
          <w:sz w:val="24"/>
          <w:szCs w:val="24"/>
        </w:rPr>
        <w:t xml:space="preserve"> World Heritage Site,</w:t>
      </w:r>
    </w:p>
    <w:p w:rsidR="008C281A" w:rsidRPr="008B69DB" w:rsidRDefault="008C281A" w:rsidP="00FC66EB">
      <w:pPr>
        <w:spacing w:line="240" w:lineRule="auto"/>
        <w:jc w:val="both"/>
        <w:rPr>
          <w:rFonts w:ascii="Trebuchet MS" w:eastAsia="Times New Roman" w:hAnsi="Trebuchet MS"/>
          <w:b/>
          <w:color w:val="000000"/>
          <w:sz w:val="24"/>
          <w:szCs w:val="24"/>
        </w:rPr>
      </w:pPr>
      <w:proofErr w:type="gramStart"/>
      <w:r>
        <w:rPr>
          <w:rFonts w:ascii="Trebuchet MS" w:eastAsia="Times New Roman" w:hAnsi="Trebuchet MS"/>
          <w:color w:val="000000"/>
          <w:sz w:val="24"/>
          <w:szCs w:val="24"/>
        </w:rPr>
        <w:t>development</w:t>
      </w:r>
      <w:proofErr w:type="gramEnd"/>
      <w:r>
        <w:rPr>
          <w:rFonts w:ascii="Trebuchet MS" w:eastAsia="Times New Roman" w:hAnsi="Trebuchet MS"/>
          <w:color w:val="000000"/>
          <w:sz w:val="24"/>
          <w:szCs w:val="24"/>
        </w:rPr>
        <w:t xml:space="preserve"> is not permitted by Class E if the total area of ground covered by buildings, enclosures, pools and containers situated more than 20 metres from any wall of the dwellinghouse would exceed 10 square metres. </w:t>
      </w:r>
      <w:proofErr w:type="gramStart"/>
      <w:r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  <w:proofErr w:type="gramEnd"/>
    </w:p>
    <w:p w:rsidR="008C281A" w:rsidRPr="008B69DB" w:rsidRDefault="008C281A" w:rsidP="00FC66EB">
      <w:pPr>
        <w:spacing w:line="240" w:lineRule="auto"/>
        <w:jc w:val="both"/>
        <w:rPr>
          <w:rFonts w:ascii="Trebuchet MS" w:eastAsia="Times New Roman" w:hAnsi="Trebuchet MS"/>
          <w:b/>
          <w:color w:val="000000"/>
          <w:sz w:val="24"/>
          <w:szCs w:val="24"/>
        </w:rPr>
      </w:pPr>
      <w:r>
        <w:rPr>
          <w:rFonts w:ascii="Trebuchet MS" w:eastAsia="Times New Roman" w:hAnsi="Trebuchet MS"/>
          <w:color w:val="000000"/>
          <w:sz w:val="24"/>
          <w:szCs w:val="24"/>
        </w:rPr>
        <w:t xml:space="preserve">E.3 In the case of any land within the curtilage of the dwellinghouse which is article 2(3) </w:t>
      </w:r>
      <w:proofErr w:type="gramStart"/>
      <w:r>
        <w:rPr>
          <w:rFonts w:ascii="Trebuchet MS" w:eastAsia="Times New Roman" w:hAnsi="Trebuchet MS"/>
          <w:color w:val="000000"/>
          <w:sz w:val="24"/>
          <w:szCs w:val="24"/>
        </w:rPr>
        <w:t>land</w:t>
      </w:r>
      <w:proofErr w:type="gramEnd"/>
      <w:r>
        <w:rPr>
          <w:rFonts w:ascii="Trebuchet MS" w:eastAsia="Times New Roman" w:hAnsi="Trebuchet MS"/>
          <w:color w:val="000000"/>
          <w:sz w:val="24"/>
          <w:szCs w:val="24"/>
        </w:rPr>
        <w:t xml:space="preserve">, development is not permitted by Class E if any part of the building, enclosure, pool or container would be situated on land between a wall </w:t>
      </w:r>
      <w:r>
        <w:rPr>
          <w:rFonts w:ascii="Trebuchet MS" w:eastAsia="Times New Roman" w:hAnsi="Trebuchet MS"/>
          <w:color w:val="000000"/>
          <w:sz w:val="24"/>
          <w:szCs w:val="24"/>
        </w:rPr>
        <w:lastRenderedPageBreak/>
        <w:t xml:space="preserve">forming a side elevation of the dwellinghouse and the boundary of the curtilage of the dwellinghouse. </w:t>
      </w:r>
      <w:proofErr w:type="gramStart"/>
      <w:r>
        <w:rPr>
          <w:rFonts w:ascii="Trebuchet MS" w:eastAsia="Times New Roman" w:hAnsi="Trebuchet MS"/>
          <w:b/>
          <w:color w:val="000000"/>
          <w:sz w:val="24"/>
          <w:szCs w:val="24"/>
        </w:rPr>
        <w:t>complies</w:t>
      </w:r>
      <w:proofErr w:type="gramEnd"/>
    </w:p>
    <w:p w:rsidR="008C281A" w:rsidRPr="00AF3FE4" w:rsidRDefault="008C281A" w:rsidP="008C281A">
      <w:pPr>
        <w:spacing w:line="240" w:lineRule="auto"/>
        <w:rPr>
          <w:rFonts w:ascii="Trebuchet MS" w:eastAsia="Times New Roman" w:hAnsi="Trebuchet MS"/>
          <w:b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b/>
          <w:color w:val="000000"/>
          <w:sz w:val="24"/>
          <w:szCs w:val="24"/>
        </w:rPr>
        <w:t>Recommendation</w:t>
      </w:r>
    </w:p>
    <w:p w:rsidR="008C281A" w:rsidRPr="00AF3FE4" w:rsidRDefault="008C281A" w:rsidP="008C281A">
      <w:pPr>
        <w:spacing w:line="240" w:lineRule="auto"/>
        <w:rPr>
          <w:rFonts w:ascii="Trebuchet MS" w:eastAsia="Times New Roman" w:hAnsi="Trebuchet MS"/>
          <w:color w:val="000000"/>
          <w:sz w:val="24"/>
          <w:szCs w:val="24"/>
        </w:rPr>
      </w:pPr>
      <w:r w:rsidRPr="00AF3FE4">
        <w:rPr>
          <w:rFonts w:ascii="Trebuchet MS" w:eastAsia="Times New Roman" w:hAnsi="Trebuchet MS"/>
          <w:color w:val="000000"/>
          <w:sz w:val="24"/>
          <w:szCs w:val="24"/>
        </w:rPr>
        <w:t>Sufficient evidence has been provided to demonstrate that a Certificate of Lawfulness sho</w:t>
      </w:r>
      <w:r>
        <w:rPr>
          <w:rFonts w:ascii="Trebuchet MS" w:eastAsia="Times New Roman" w:hAnsi="Trebuchet MS"/>
          <w:color w:val="000000"/>
          <w:sz w:val="24"/>
          <w:szCs w:val="24"/>
        </w:rPr>
        <w:t>uld be granted for the proposed outbuilding.</w:t>
      </w:r>
    </w:p>
    <w:p w:rsidR="008C281A" w:rsidRDefault="008C281A" w:rsidP="008C281A">
      <w:pPr>
        <w:spacing w:line="240" w:lineRule="auto"/>
        <w:rPr>
          <w:rFonts w:ascii="Trebuchet MS" w:hAnsi="Trebuchet MS"/>
          <w:sz w:val="24"/>
          <w:szCs w:val="24"/>
        </w:rPr>
      </w:pPr>
      <w:r w:rsidRPr="00AF3FE4">
        <w:rPr>
          <w:rFonts w:ascii="Trebuchet MS" w:eastAsia="Times New Roman" w:hAnsi="Trebuchet MS"/>
          <w:sz w:val="24"/>
          <w:szCs w:val="24"/>
        </w:rPr>
        <w:t xml:space="preserve">The proposal has been assessed against the Town and Country Planning Act 1990 (as amended) and Class </w:t>
      </w:r>
      <w:r>
        <w:rPr>
          <w:rFonts w:ascii="Trebuchet MS" w:eastAsia="Times New Roman" w:hAnsi="Trebuchet MS"/>
          <w:sz w:val="24"/>
          <w:szCs w:val="24"/>
        </w:rPr>
        <w:t>E</w:t>
      </w:r>
      <w:r w:rsidRPr="00AF3FE4">
        <w:rPr>
          <w:rFonts w:ascii="Trebuchet MS" w:eastAsia="Times New Roman" w:hAnsi="Trebuchet MS"/>
          <w:sz w:val="24"/>
          <w:szCs w:val="24"/>
        </w:rPr>
        <w:t>, Part 1, Schedule 2 of the Town and Country Planning (General Permitted Development) (England) Order 2015. It can be confirmed that the proposed operation would be lawful for planning purposes on the ba</w:t>
      </w:r>
      <w:r>
        <w:rPr>
          <w:rFonts w:ascii="Trebuchet MS" w:eastAsia="Times New Roman" w:hAnsi="Trebuchet MS"/>
          <w:sz w:val="24"/>
          <w:szCs w:val="24"/>
        </w:rPr>
        <w:t xml:space="preserve">sis of the drawings received on </w:t>
      </w:r>
      <w:r w:rsidR="00FC66EB">
        <w:rPr>
          <w:rFonts w:ascii="Trebuchet MS" w:hAnsi="Trebuchet MS"/>
          <w:sz w:val="24"/>
          <w:szCs w:val="24"/>
        </w:rPr>
        <w:t>27</w:t>
      </w:r>
      <w:r w:rsidRPr="003A5C9C">
        <w:rPr>
          <w:rFonts w:ascii="Trebuchet MS" w:hAnsi="Trebuchet MS"/>
          <w:sz w:val="24"/>
          <w:szCs w:val="24"/>
          <w:vertAlign w:val="superscript"/>
        </w:rPr>
        <w:t>th</w:t>
      </w:r>
      <w:r>
        <w:rPr>
          <w:rFonts w:ascii="Trebuchet MS" w:hAnsi="Trebuchet MS"/>
          <w:sz w:val="24"/>
          <w:szCs w:val="24"/>
        </w:rPr>
        <w:t xml:space="preserve"> June 2017:</w:t>
      </w:r>
    </w:p>
    <w:p w:rsidR="00FC66EB" w:rsidRPr="00FC66EB" w:rsidRDefault="00FC66EB" w:rsidP="00FC66EB">
      <w:pPr>
        <w:spacing w:line="240" w:lineRule="auto"/>
        <w:rPr>
          <w:rFonts w:ascii="Trebuchet MS" w:hAnsi="Trebuchet MS"/>
          <w:sz w:val="24"/>
          <w:szCs w:val="24"/>
        </w:rPr>
      </w:pPr>
      <w:r w:rsidRPr="00FC66EB">
        <w:rPr>
          <w:rFonts w:ascii="Trebuchet MS" w:hAnsi="Trebuchet MS"/>
          <w:sz w:val="24"/>
          <w:szCs w:val="24"/>
        </w:rPr>
        <w:t>Drawing No.02 Location plan</w:t>
      </w:r>
    </w:p>
    <w:p w:rsidR="00FC66EB" w:rsidRPr="00FC66EB" w:rsidRDefault="00FC66EB" w:rsidP="00FC66EB">
      <w:pPr>
        <w:spacing w:line="240" w:lineRule="auto"/>
        <w:rPr>
          <w:rFonts w:ascii="Trebuchet MS" w:hAnsi="Trebuchet MS"/>
          <w:sz w:val="24"/>
          <w:szCs w:val="24"/>
        </w:rPr>
      </w:pPr>
      <w:r w:rsidRPr="00FC66EB">
        <w:rPr>
          <w:rFonts w:ascii="Trebuchet MS" w:hAnsi="Trebuchet MS"/>
          <w:sz w:val="24"/>
          <w:szCs w:val="24"/>
        </w:rPr>
        <w:t>Drawing No.01 Proposed Block, Floor and Elevation Plans</w:t>
      </w:r>
    </w:p>
    <w:p w:rsidR="008C281A" w:rsidRPr="00AF3FE4" w:rsidRDefault="008C281A" w:rsidP="008C281A">
      <w:pPr>
        <w:spacing w:line="240" w:lineRule="auto"/>
        <w:rPr>
          <w:rFonts w:ascii="Trebuchet MS" w:eastAsia="Times New Roman" w:hAnsi="Trebuchet MS"/>
          <w:sz w:val="24"/>
          <w:szCs w:val="24"/>
        </w:rPr>
      </w:pPr>
      <w:r w:rsidRPr="00AF3FE4">
        <w:rPr>
          <w:rFonts w:ascii="Trebuchet MS" w:eastAsia="Times New Roman" w:hAnsi="Trebuchet MS"/>
          <w:sz w:val="24"/>
          <w:szCs w:val="24"/>
        </w:rPr>
        <w:t>Therefore the Local Planning Authority can issue the applicant with a Certificate of Lawfulness for the proposed development.</w:t>
      </w:r>
    </w:p>
    <w:p w:rsidR="008C281A" w:rsidRDefault="008C281A" w:rsidP="008C281A">
      <w:pPr>
        <w:spacing w:line="240" w:lineRule="auto"/>
        <w:rPr>
          <w:rFonts w:ascii="Trebuchet MS" w:eastAsia="Times New Roman" w:hAnsi="Trebuchet MS"/>
          <w:b/>
          <w:sz w:val="24"/>
          <w:szCs w:val="24"/>
        </w:rPr>
      </w:pPr>
      <w:proofErr w:type="spellStart"/>
      <w:r w:rsidRPr="00AF3FE4">
        <w:rPr>
          <w:rFonts w:ascii="Trebuchet MS" w:eastAsia="Times New Roman" w:hAnsi="Trebuchet MS"/>
          <w:b/>
          <w:sz w:val="24"/>
          <w:szCs w:val="24"/>
        </w:rPr>
        <w:t>Informatives</w:t>
      </w:r>
      <w:proofErr w:type="spellEnd"/>
    </w:p>
    <w:p w:rsidR="008C281A" w:rsidRDefault="008C281A" w:rsidP="008C281A">
      <w:pPr>
        <w:spacing w:line="240" w:lineRule="auto"/>
        <w:rPr>
          <w:rFonts w:ascii="Trebuchet MS" w:eastAsia="Times New Roman" w:hAnsi="Trebuchet MS"/>
          <w:sz w:val="24"/>
          <w:szCs w:val="24"/>
        </w:rPr>
      </w:pPr>
      <w:r>
        <w:rPr>
          <w:rFonts w:ascii="Trebuchet MS" w:eastAsia="Times New Roman" w:hAnsi="Trebuchet MS"/>
          <w:sz w:val="24"/>
          <w:szCs w:val="24"/>
        </w:rPr>
        <w:t>Building Regulations</w:t>
      </w:r>
    </w:p>
    <w:p w:rsidR="008C281A" w:rsidRDefault="008C281A" w:rsidP="008C281A">
      <w:pPr>
        <w:spacing w:line="240" w:lineRule="auto"/>
        <w:rPr>
          <w:rFonts w:ascii="Trebuchet MS" w:eastAsia="Times New Roman" w:hAnsi="Trebuchet MS"/>
          <w:sz w:val="24"/>
          <w:szCs w:val="24"/>
        </w:rPr>
      </w:pPr>
      <w:r>
        <w:rPr>
          <w:rFonts w:ascii="Trebuchet MS" w:eastAsia="Times New Roman" w:hAnsi="Trebuchet MS"/>
          <w:sz w:val="24"/>
          <w:szCs w:val="24"/>
        </w:rPr>
        <w:t>Encroachment and Party Wall Act</w:t>
      </w:r>
    </w:p>
    <w:p w:rsidR="008C281A" w:rsidRDefault="008C281A" w:rsidP="008C281A">
      <w:pPr>
        <w:spacing w:line="240" w:lineRule="auto"/>
        <w:rPr>
          <w:rFonts w:ascii="Trebuchet MS" w:eastAsia="Times New Roman" w:hAnsi="Trebuchet MS"/>
          <w:sz w:val="24"/>
          <w:szCs w:val="24"/>
        </w:rPr>
      </w:pPr>
      <w:r>
        <w:rPr>
          <w:rFonts w:ascii="Trebuchet MS" w:eastAsia="Times New Roman" w:hAnsi="Trebuchet MS"/>
          <w:sz w:val="24"/>
          <w:szCs w:val="24"/>
        </w:rPr>
        <w:t>Construction and Demolition</w:t>
      </w:r>
    </w:p>
    <w:p w:rsidR="008C281A" w:rsidRDefault="008C281A" w:rsidP="008C281A">
      <w:pPr>
        <w:spacing w:line="240" w:lineRule="auto"/>
        <w:rPr>
          <w:rFonts w:ascii="Trebuchet MS" w:eastAsia="Times New Roman" w:hAnsi="Trebuchet MS"/>
          <w:sz w:val="24"/>
          <w:szCs w:val="24"/>
        </w:rPr>
      </w:pPr>
      <w:r>
        <w:rPr>
          <w:rFonts w:ascii="Trebuchet MS" w:eastAsia="Times New Roman" w:hAnsi="Trebuchet MS"/>
          <w:sz w:val="24"/>
          <w:szCs w:val="24"/>
        </w:rPr>
        <w:t>Materials</w:t>
      </w:r>
    </w:p>
    <w:p w:rsidR="006A35F3" w:rsidRDefault="006A35F3" w:rsidP="008C281A">
      <w:pPr>
        <w:spacing w:line="240" w:lineRule="auto"/>
        <w:rPr>
          <w:rFonts w:ascii="Trebuchet MS" w:eastAsia="Times New Roman" w:hAnsi="Trebuchet MS"/>
          <w:sz w:val="24"/>
          <w:szCs w:val="24"/>
        </w:rPr>
      </w:pPr>
    </w:p>
    <w:p w:rsidR="006A35F3" w:rsidRDefault="006A35F3" w:rsidP="008C281A">
      <w:pPr>
        <w:spacing w:line="240" w:lineRule="auto"/>
        <w:rPr>
          <w:rFonts w:ascii="Trebuchet MS" w:eastAsia="Times New Roman" w:hAnsi="Trebuchet MS"/>
          <w:sz w:val="24"/>
          <w:szCs w:val="24"/>
        </w:rPr>
      </w:pPr>
      <w:bookmarkStart w:id="0" w:name="_GoBack"/>
      <w:r>
        <w:rPr>
          <w:rFonts w:ascii="Trebuchet MS" w:eastAsia="Times New Roman" w:hAnsi="Trebuchet MS"/>
          <w:noProof/>
          <w:sz w:val="24"/>
          <w:szCs w:val="24"/>
          <w:lang w:eastAsia="en-GB"/>
        </w:rPr>
        <w:lastRenderedPageBreak/>
        <w:drawing>
          <wp:inline distT="0" distB="0" distL="0" distR="0">
            <wp:extent cx="5727700" cy="4519930"/>
            <wp:effectExtent l="76200" t="76200" r="120650" b="1092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51993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End w:id="0"/>
    </w:p>
    <w:p w:rsidR="008C281A" w:rsidRPr="006A35F3" w:rsidRDefault="006A35F3" w:rsidP="00FC66EB">
      <w:pPr>
        <w:spacing w:line="240" w:lineRule="auto"/>
        <w:jc w:val="center"/>
        <w:rPr>
          <w:rFonts w:ascii="Trebuchet MS" w:eastAsia="Times New Roman" w:hAnsi="Trebuchet MS"/>
          <w:sz w:val="24"/>
          <w:szCs w:val="24"/>
        </w:rPr>
      </w:pPr>
      <w:r w:rsidRPr="006A35F3">
        <w:rPr>
          <w:rFonts w:ascii="Trebuchet MS" w:hAnsi="Trebuchet MS"/>
          <w:noProof/>
          <w:lang w:eastAsia="en-GB"/>
        </w:rPr>
        <w:t>Location plan (not to scale)</w:t>
      </w:r>
    </w:p>
    <w:p w:rsidR="00B91CCE" w:rsidRDefault="00B91CCE"/>
    <w:sectPr w:rsidR="00B91C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5F3" w:rsidRDefault="006A35F3" w:rsidP="006A35F3">
      <w:pPr>
        <w:spacing w:after="0" w:line="240" w:lineRule="auto"/>
      </w:pPr>
      <w:r>
        <w:separator/>
      </w:r>
    </w:p>
  </w:endnote>
  <w:endnote w:type="continuationSeparator" w:id="0">
    <w:p w:rsidR="006A35F3" w:rsidRDefault="006A35F3" w:rsidP="006A35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90B" w:rsidRDefault="00F5085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90B" w:rsidRDefault="00F5085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90B" w:rsidRDefault="00F508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5F3" w:rsidRDefault="006A35F3" w:rsidP="006A35F3">
      <w:pPr>
        <w:spacing w:after="0" w:line="240" w:lineRule="auto"/>
      </w:pPr>
      <w:r>
        <w:separator/>
      </w:r>
    </w:p>
  </w:footnote>
  <w:footnote w:type="continuationSeparator" w:id="0">
    <w:p w:rsidR="006A35F3" w:rsidRDefault="006A35F3" w:rsidP="006A35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90B" w:rsidRDefault="00F5085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90B" w:rsidRDefault="00F5085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90B" w:rsidRDefault="00F508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281A"/>
    <w:rsid w:val="0004334D"/>
    <w:rsid w:val="00052F3E"/>
    <w:rsid w:val="000C0291"/>
    <w:rsid w:val="000C6562"/>
    <w:rsid w:val="00122117"/>
    <w:rsid w:val="0013203D"/>
    <w:rsid w:val="0019108B"/>
    <w:rsid w:val="00195314"/>
    <w:rsid w:val="001F18C0"/>
    <w:rsid w:val="001F41CC"/>
    <w:rsid w:val="002009E9"/>
    <w:rsid w:val="00207701"/>
    <w:rsid w:val="0023148F"/>
    <w:rsid w:val="00252D22"/>
    <w:rsid w:val="00292061"/>
    <w:rsid w:val="002B6247"/>
    <w:rsid w:val="002C5795"/>
    <w:rsid w:val="00332E8D"/>
    <w:rsid w:val="00365FB2"/>
    <w:rsid w:val="00385A31"/>
    <w:rsid w:val="004120AE"/>
    <w:rsid w:val="00412340"/>
    <w:rsid w:val="00461297"/>
    <w:rsid w:val="004C22BD"/>
    <w:rsid w:val="004E6A00"/>
    <w:rsid w:val="00566ACD"/>
    <w:rsid w:val="005A37BB"/>
    <w:rsid w:val="005D02BC"/>
    <w:rsid w:val="005E5993"/>
    <w:rsid w:val="0066350F"/>
    <w:rsid w:val="006930C7"/>
    <w:rsid w:val="006A35F3"/>
    <w:rsid w:val="006B5F01"/>
    <w:rsid w:val="006C3851"/>
    <w:rsid w:val="006F7C42"/>
    <w:rsid w:val="00727300"/>
    <w:rsid w:val="00743AB3"/>
    <w:rsid w:val="007474BB"/>
    <w:rsid w:val="00766580"/>
    <w:rsid w:val="0078731C"/>
    <w:rsid w:val="00796896"/>
    <w:rsid w:val="007A0492"/>
    <w:rsid w:val="007A3440"/>
    <w:rsid w:val="007A4C6C"/>
    <w:rsid w:val="007F0A07"/>
    <w:rsid w:val="00841F3E"/>
    <w:rsid w:val="008458CB"/>
    <w:rsid w:val="00853517"/>
    <w:rsid w:val="00865207"/>
    <w:rsid w:val="0087559D"/>
    <w:rsid w:val="00890D15"/>
    <w:rsid w:val="008968E9"/>
    <w:rsid w:val="008B075A"/>
    <w:rsid w:val="008C281A"/>
    <w:rsid w:val="00964559"/>
    <w:rsid w:val="009767EC"/>
    <w:rsid w:val="009A2081"/>
    <w:rsid w:val="009F38BA"/>
    <w:rsid w:val="00A97BCF"/>
    <w:rsid w:val="00AB212D"/>
    <w:rsid w:val="00AC06FD"/>
    <w:rsid w:val="00B46FAE"/>
    <w:rsid w:val="00B61673"/>
    <w:rsid w:val="00B7269A"/>
    <w:rsid w:val="00B904BC"/>
    <w:rsid w:val="00B91CCE"/>
    <w:rsid w:val="00BB784D"/>
    <w:rsid w:val="00BD300F"/>
    <w:rsid w:val="00C03B1F"/>
    <w:rsid w:val="00C20BCD"/>
    <w:rsid w:val="00C91562"/>
    <w:rsid w:val="00CA3FFD"/>
    <w:rsid w:val="00CE396B"/>
    <w:rsid w:val="00D3088E"/>
    <w:rsid w:val="00D5732E"/>
    <w:rsid w:val="00D6197B"/>
    <w:rsid w:val="00D64D53"/>
    <w:rsid w:val="00DC3F58"/>
    <w:rsid w:val="00DD0B02"/>
    <w:rsid w:val="00DE2EBF"/>
    <w:rsid w:val="00DE39AB"/>
    <w:rsid w:val="00E06582"/>
    <w:rsid w:val="00E1700A"/>
    <w:rsid w:val="00E222DC"/>
    <w:rsid w:val="00E65A17"/>
    <w:rsid w:val="00E679DD"/>
    <w:rsid w:val="00F1757B"/>
    <w:rsid w:val="00F45E9B"/>
    <w:rsid w:val="00F5041A"/>
    <w:rsid w:val="00F50854"/>
    <w:rsid w:val="00F72C6C"/>
    <w:rsid w:val="00FC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8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28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81A"/>
  </w:style>
  <w:style w:type="paragraph" w:styleId="Footer">
    <w:name w:val="footer"/>
    <w:basedOn w:val="Normal"/>
    <w:link w:val="FooterChar"/>
    <w:uiPriority w:val="99"/>
    <w:unhideWhenUsed/>
    <w:rsid w:val="008C28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81A"/>
  </w:style>
  <w:style w:type="paragraph" w:styleId="BalloonText">
    <w:name w:val="Balloon Text"/>
    <w:basedOn w:val="Normal"/>
    <w:link w:val="BalloonTextChar"/>
    <w:uiPriority w:val="99"/>
    <w:semiHidden/>
    <w:unhideWhenUsed/>
    <w:rsid w:val="008C2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8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DF26CE31</Template>
  <TotalTime>481</TotalTime>
  <Pages>4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4864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Chakadya, Ralph</dc:creator>
  <cp:lastModifiedBy>Vigar, Stephen</cp:lastModifiedBy>
  <cp:revision>2</cp:revision>
  <dcterms:created xsi:type="dcterms:W3CDTF">2017-07-07T09:38:00Z</dcterms:created>
  <dcterms:modified xsi:type="dcterms:W3CDTF">2017-07-26T16:23:00Z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RBC\chakral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2017-07-07T10:05:06Z</vt:filetime>
  </property>
</Properties>
</file>