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841" w:rsidRDefault="00D04841" w:rsidP="00D04841">
      <w:pPr>
        <w:pStyle w:val="Default"/>
      </w:pPr>
    </w:p>
    <w:p w:rsidR="00D04841" w:rsidRPr="00C961B4" w:rsidRDefault="00D04841" w:rsidP="00D04841">
      <w:pPr>
        <w:pStyle w:val="Default"/>
        <w:rPr>
          <w:sz w:val="22"/>
          <w:szCs w:val="22"/>
        </w:rPr>
      </w:pPr>
      <w:r w:rsidRPr="00C961B4">
        <w:rPr>
          <w:sz w:val="22"/>
          <w:szCs w:val="22"/>
        </w:rPr>
        <w:t xml:space="preserve"> </w:t>
      </w:r>
      <w:r w:rsidRPr="00C961B4">
        <w:rPr>
          <w:b/>
          <w:bCs/>
          <w:sz w:val="22"/>
          <w:szCs w:val="22"/>
        </w:rPr>
        <w:t xml:space="preserve">DELEGATED APPLICATION REPORT </w:t>
      </w:r>
    </w:p>
    <w:p w:rsidR="00D04841" w:rsidRPr="00C961B4" w:rsidRDefault="00D04841" w:rsidP="00D04841">
      <w:pPr>
        <w:pStyle w:val="Default"/>
        <w:rPr>
          <w:sz w:val="22"/>
          <w:szCs w:val="22"/>
        </w:rPr>
      </w:pPr>
      <w:r w:rsidRPr="00C961B4">
        <w:rPr>
          <w:b/>
          <w:bCs/>
          <w:sz w:val="22"/>
          <w:szCs w:val="22"/>
        </w:rPr>
        <w:t>Address</w:t>
      </w:r>
      <w:r w:rsidRPr="00C961B4">
        <w:rPr>
          <w:sz w:val="22"/>
          <w:szCs w:val="22"/>
        </w:rPr>
        <w:t xml:space="preserve">: 1 and 2 New Century Place, East Street, Reading </w:t>
      </w:r>
    </w:p>
    <w:p w:rsidR="00D04841" w:rsidRPr="00C961B4" w:rsidRDefault="00D04841" w:rsidP="00D04841">
      <w:pPr>
        <w:pStyle w:val="Default"/>
        <w:rPr>
          <w:sz w:val="22"/>
          <w:szCs w:val="22"/>
        </w:rPr>
      </w:pPr>
      <w:r w:rsidRPr="00C961B4">
        <w:rPr>
          <w:b/>
          <w:bCs/>
          <w:sz w:val="22"/>
          <w:szCs w:val="22"/>
        </w:rPr>
        <w:t>Application No</w:t>
      </w:r>
      <w:r w:rsidRPr="00C961B4">
        <w:rPr>
          <w:sz w:val="22"/>
          <w:szCs w:val="22"/>
        </w:rPr>
        <w:t xml:space="preserve">: </w:t>
      </w:r>
      <w:r w:rsidR="00460D89" w:rsidRPr="00C961B4">
        <w:rPr>
          <w:sz w:val="22"/>
          <w:szCs w:val="22"/>
        </w:rPr>
        <w:t>180159/ADV</w:t>
      </w:r>
    </w:p>
    <w:p w:rsidR="00D04841" w:rsidRPr="00C961B4" w:rsidRDefault="00D04841" w:rsidP="00D04841">
      <w:pPr>
        <w:pStyle w:val="Default"/>
        <w:rPr>
          <w:sz w:val="22"/>
          <w:szCs w:val="22"/>
        </w:rPr>
      </w:pPr>
      <w:r w:rsidRPr="00C961B4">
        <w:rPr>
          <w:b/>
          <w:bCs/>
          <w:sz w:val="22"/>
          <w:szCs w:val="22"/>
        </w:rPr>
        <w:t>Proposal</w:t>
      </w:r>
      <w:r w:rsidRPr="00C961B4">
        <w:rPr>
          <w:sz w:val="22"/>
          <w:szCs w:val="22"/>
        </w:rPr>
        <w:t xml:space="preserve">: </w:t>
      </w:r>
      <w:r w:rsidR="00460D89" w:rsidRPr="00C961B4">
        <w:rPr>
          <w:sz w:val="22"/>
          <w:szCs w:val="22"/>
        </w:rPr>
        <w:t>One, high level, non-illuminated mesh banner advertisement fixed to the north west corner of 1 New Century Place and three non-illuminated mesh banner advertisements fixed to the Queen's Road elevation of 2 New Century Place at ground floor level.</w:t>
      </w:r>
    </w:p>
    <w:p w:rsidR="00D04841" w:rsidRPr="00C961B4" w:rsidRDefault="00D04841" w:rsidP="00D04841">
      <w:pPr>
        <w:pStyle w:val="Default"/>
        <w:rPr>
          <w:sz w:val="22"/>
          <w:szCs w:val="22"/>
        </w:rPr>
      </w:pPr>
      <w:r w:rsidRPr="00C961B4">
        <w:rPr>
          <w:b/>
          <w:bCs/>
          <w:sz w:val="22"/>
          <w:szCs w:val="22"/>
        </w:rPr>
        <w:t xml:space="preserve">Applicant: </w:t>
      </w:r>
      <w:r w:rsidRPr="00C961B4">
        <w:rPr>
          <w:sz w:val="22"/>
          <w:szCs w:val="22"/>
        </w:rPr>
        <w:t xml:space="preserve">Studious Construction Reading Ltd </w:t>
      </w:r>
    </w:p>
    <w:p w:rsidR="00D04841" w:rsidRPr="00C961B4" w:rsidRDefault="00D04841" w:rsidP="00D04841">
      <w:pPr>
        <w:pStyle w:val="Default"/>
        <w:rPr>
          <w:sz w:val="22"/>
          <w:szCs w:val="22"/>
        </w:rPr>
      </w:pPr>
      <w:r w:rsidRPr="00C961B4">
        <w:rPr>
          <w:b/>
          <w:bCs/>
          <w:sz w:val="22"/>
          <w:szCs w:val="22"/>
        </w:rPr>
        <w:t xml:space="preserve">Date received: </w:t>
      </w:r>
      <w:r w:rsidR="00460D89" w:rsidRPr="00C961B4">
        <w:rPr>
          <w:bCs/>
          <w:sz w:val="22"/>
          <w:szCs w:val="22"/>
        </w:rPr>
        <w:t>26</w:t>
      </w:r>
      <w:r w:rsidR="00460D89" w:rsidRPr="00C961B4">
        <w:rPr>
          <w:bCs/>
          <w:sz w:val="22"/>
          <w:szCs w:val="22"/>
          <w:vertAlign w:val="superscript"/>
        </w:rPr>
        <w:t>th</w:t>
      </w:r>
      <w:r w:rsidR="00460D89" w:rsidRPr="00C961B4">
        <w:rPr>
          <w:bCs/>
          <w:sz w:val="22"/>
          <w:szCs w:val="22"/>
        </w:rPr>
        <w:t xml:space="preserve"> January 2018</w:t>
      </w:r>
    </w:p>
    <w:p w:rsidR="00D04841" w:rsidRPr="00C961B4" w:rsidRDefault="00D04841" w:rsidP="00D04841">
      <w:pPr>
        <w:pStyle w:val="Default"/>
        <w:rPr>
          <w:sz w:val="22"/>
          <w:szCs w:val="22"/>
        </w:rPr>
      </w:pPr>
      <w:r w:rsidRPr="00C961B4">
        <w:rPr>
          <w:b/>
          <w:bCs/>
          <w:sz w:val="22"/>
          <w:szCs w:val="22"/>
        </w:rPr>
        <w:t xml:space="preserve">Valid date: </w:t>
      </w:r>
      <w:r w:rsidR="00460D89" w:rsidRPr="00C961B4">
        <w:rPr>
          <w:bCs/>
          <w:sz w:val="22"/>
          <w:szCs w:val="22"/>
        </w:rPr>
        <w:t>26</w:t>
      </w:r>
      <w:r w:rsidR="00460D89" w:rsidRPr="00C961B4">
        <w:rPr>
          <w:bCs/>
          <w:sz w:val="22"/>
          <w:szCs w:val="22"/>
          <w:vertAlign w:val="superscript"/>
        </w:rPr>
        <w:t>th</w:t>
      </w:r>
      <w:r w:rsidR="00460D89" w:rsidRPr="00C961B4">
        <w:rPr>
          <w:bCs/>
          <w:sz w:val="22"/>
          <w:szCs w:val="22"/>
        </w:rPr>
        <w:t xml:space="preserve"> January 2018</w:t>
      </w:r>
    </w:p>
    <w:p w:rsidR="00D04841" w:rsidRPr="00C961B4" w:rsidRDefault="00D04841" w:rsidP="00D04841">
      <w:pPr>
        <w:pStyle w:val="Default"/>
        <w:rPr>
          <w:sz w:val="22"/>
          <w:szCs w:val="22"/>
        </w:rPr>
      </w:pPr>
      <w:r w:rsidRPr="00C961B4">
        <w:rPr>
          <w:b/>
          <w:bCs/>
          <w:sz w:val="22"/>
          <w:szCs w:val="22"/>
        </w:rPr>
        <w:t xml:space="preserve">Target Decision date: </w:t>
      </w:r>
      <w:r w:rsidR="00460D89" w:rsidRPr="00C961B4">
        <w:rPr>
          <w:bCs/>
          <w:sz w:val="22"/>
          <w:szCs w:val="22"/>
        </w:rPr>
        <w:t>13</w:t>
      </w:r>
      <w:r w:rsidR="00460D89" w:rsidRPr="00C961B4">
        <w:rPr>
          <w:bCs/>
          <w:sz w:val="22"/>
          <w:szCs w:val="22"/>
          <w:vertAlign w:val="superscript"/>
        </w:rPr>
        <w:t>th</w:t>
      </w:r>
      <w:r w:rsidR="00460D89" w:rsidRPr="00C961B4">
        <w:rPr>
          <w:bCs/>
          <w:sz w:val="22"/>
          <w:szCs w:val="22"/>
        </w:rPr>
        <w:t xml:space="preserve"> April 2018 (extended from 23/03/2018)</w:t>
      </w:r>
    </w:p>
    <w:p w:rsidR="00D04841" w:rsidRPr="00C961B4" w:rsidRDefault="00D04841" w:rsidP="00D04841">
      <w:pPr>
        <w:pStyle w:val="Default"/>
        <w:rPr>
          <w:sz w:val="22"/>
          <w:szCs w:val="22"/>
        </w:rPr>
      </w:pPr>
      <w:r w:rsidRPr="00C961B4">
        <w:rPr>
          <w:b/>
          <w:bCs/>
          <w:sz w:val="22"/>
          <w:szCs w:val="22"/>
        </w:rPr>
        <w:t>Case officer</w:t>
      </w:r>
      <w:r w:rsidRPr="00C961B4">
        <w:rPr>
          <w:sz w:val="22"/>
          <w:szCs w:val="22"/>
        </w:rPr>
        <w:t xml:space="preserve">: Heather </w:t>
      </w:r>
      <w:r w:rsidR="00460D89" w:rsidRPr="00C961B4">
        <w:rPr>
          <w:sz w:val="22"/>
          <w:szCs w:val="22"/>
        </w:rPr>
        <w:t>Banks</w:t>
      </w:r>
    </w:p>
    <w:p w:rsidR="00D04841" w:rsidRDefault="00D04841" w:rsidP="00D04841">
      <w:pPr>
        <w:pStyle w:val="Default"/>
        <w:rPr>
          <w:sz w:val="23"/>
          <w:szCs w:val="23"/>
        </w:rPr>
      </w:pPr>
    </w:p>
    <w:p w:rsidR="00D04841" w:rsidRDefault="00D04841" w:rsidP="00D04841">
      <w:pPr>
        <w:pStyle w:val="Default"/>
        <w:rPr>
          <w:sz w:val="23"/>
          <w:szCs w:val="23"/>
        </w:rPr>
      </w:pPr>
      <w:r>
        <w:rPr>
          <w:b/>
          <w:bCs/>
          <w:sz w:val="23"/>
          <w:szCs w:val="23"/>
        </w:rPr>
        <w:t xml:space="preserve">1. Site Description and Surrounding Area </w:t>
      </w:r>
    </w:p>
    <w:p w:rsidR="00D04841" w:rsidRDefault="00D04841" w:rsidP="00D04841">
      <w:pPr>
        <w:pStyle w:val="Default"/>
        <w:rPr>
          <w:sz w:val="23"/>
          <w:szCs w:val="23"/>
        </w:rPr>
      </w:pPr>
      <w:r w:rsidRPr="00460D89">
        <w:rPr>
          <w:sz w:val="23"/>
          <w:szCs w:val="23"/>
        </w:rPr>
        <w:t>The application site</w:t>
      </w:r>
      <w:r w:rsidR="00460D89" w:rsidRPr="00460D89">
        <w:rPr>
          <w:sz w:val="23"/>
          <w:szCs w:val="23"/>
        </w:rPr>
        <w:t xml:space="preserve"> comprises two</w:t>
      </w:r>
      <w:r w:rsidRPr="00460D89">
        <w:rPr>
          <w:sz w:val="23"/>
          <w:szCs w:val="23"/>
        </w:rPr>
        <w:t xml:space="preserve"> 4-storey office building</w:t>
      </w:r>
      <w:r w:rsidR="00460D89" w:rsidRPr="00460D89">
        <w:rPr>
          <w:sz w:val="23"/>
          <w:szCs w:val="23"/>
        </w:rPr>
        <w:t>s</w:t>
      </w:r>
      <w:r w:rsidRPr="00460D89">
        <w:rPr>
          <w:sz w:val="23"/>
          <w:szCs w:val="23"/>
        </w:rPr>
        <w:t xml:space="preserve"> located on the south side of the A329 (fronting onto Queens Road, although the site address is specified as East Street). The site is located with Flood Zone 2, an air quality management area, an area of potential contaminated land and within the Market Place/London Street Conservation Area. The group of trees to the north of the site (on the Queens Road pavement) are subject to a group TPO. The site is also located within the Reading Central Area Action Plan area. The surrounding area comprises a mix of residential, office and other commercial uses (fronting onto Queens Road and London Street), as well as surface car parking areas.</w:t>
      </w:r>
      <w:r>
        <w:rPr>
          <w:sz w:val="23"/>
          <w:szCs w:val="23"/>
        </w:rPr>
        <w:t xml:space="preserve"> </w:t>
      </w:r>
    </w:p>
    <w:p w:rsidR="00D04841" w:rsidRDefault="00D04841" w:rsidP="00D04841">
      <w:pPr>
        <w:pStyle w:val="Default"/>
        <w:rPr>
          <w:sz w:val="23"/>
          <w:szCs w:val="23"/>
        </w:rPr>
      </w:pPr>
    </w:p>
    <w:p w:rsidR="00460D89" w:rsidRDefault="00D04841" w:rsidP="00460D89">
      <w:pPr>
        <w:pStyle w:val="Default"/>
        <w:rPr>
          <w:b/>
          <w:bCs/>
          <w:sz w:val="23"/>
          <w:szCs w:val="23"/>
        </w:rPr>
      </w:pPr>
      <w:r>
        <w:rPr>
          <w:b/>
          <w:bCs/>
          <w:sz w:val="23"/>
          <w:szCs w:val="23"/>
        </w:rPr>
        <w:t xml:space="preserve">2. The Proposal </w:t>
      </w:r>
    </w:p>
    <w:p w:rsidR="00213490" w:rsidRPr="00C961B4" w:rsidRDefault="00460D89" w:rsidP="00213490">
      <w:pPr>
        <w:pStyle w:val="Default"/>
        <w:rPr>
          <w:rFonts w:eastAsia="Times New Roman" w:cs="Courier New"/>
          <w:sz w:val="22"/>
          <w:szCs w:val="22"/>
          <w:lang w:eastAsia="en-GB"/>
        </w:rPr>
      </w:pPr>
      <w:r w:rsidRPr="00C961B4">
        <w:rPr>
          <w:rFonts w:eastAsia="Times New Roman" w:cs="Courier New"/>
          <w:sz w:val="22"/>
          <w:szCs w:val="22"/>
          <w:lang w:eastAsia="en-GB"/>
        </w:rPr>
        <w:t xml:space="preserve">The application seeks advertisement consent to affix </w:t>
      </w:r>
      <w:r w:rsidR="00C961B4" w:rsidRPr="00C961B4">
        <w:rPr>
          <w:sz w:val="22"/>
          <w:szCs w:val="22"/>
        </w:rPr>
        <w:t>one, high level, non-illuminated mesh banner advertisement fixed to the north west corner of 1 New Century Place and three non-illuminated mesh banner advertisements fixed to the Queen's Road elevation of 2 New Century Place at ground floor level.</w:t>
      </w:r>
      <w:r w:rsidR="00213490">
        <w:rPr>
          <w:sz w:val="22"/>
          <w:szCs w:val="22"/>
        </w:rPr>
        <w:t xml:space="preserve"> The mesh banners are to be fixed to the buildings using screws and plugs.</w:t>
      </w:r>
    </w:p>
    <w:p w:rsidR="0045093C" w:rsidRDefault="0045093C" w:rsidP="00460D89">
      <w:pPr>
        <w:pStyle w:val="Default"/>
        <w:rPr>
          <w:sz w:val="22"/>
          <w:szCs w:val="22"/>
        </w:rPr>
      </w:pPr>
    </w:p>
    <w:p w:rsidR="0045093C" w:rsidRDefault="0045093C" w:rsidP="00460D89">
      <w:pPr>
        <w:pStyle w:val="Default"/>
        <w:rPr>
          <w:sz w:val="22"/>
          <w:szCs w:val="22"/>
        </w:rPr>
      </w:pPr>
      <w:r>
        <w:rPr>
          <w:sz w:val="22"/>
          <w:szCs w:val="22"/>
        </w:rPr>
        <w:t xml:space="preserve">The high level sign will be located </w:t>
      </w:r>
      <w:r w:rsidR="00213490">
        <w:rPr>
          <w:sz w:val="22"/>
          <w:szCs w:val="22"/>
        </w:rPr>
        <w:t>16.65</w:t>
      </w:r>
      <w:r>
        <w:rPr>
          <w:sz w:val="22"/>
          <w:szCs w:val="22"/>
        </w:rPr>
        <w:t>m above ground level and will have a width of 3.45m and a height of 2.24m. The face of the building on which it is affixed faces north west towards the junction of Queens Road and London Street.</w:t>
      </w:r>
    </w:p>
    <w:p w:rsidR="0045093C" w:rsidRDefault="0045093C" w:rsidP="00460D89">
      <w:pPr>
        <w:pStyle w:val="Default"/>
        <w:rPr>
          <w:sz w:val="22"/>
          <w:szCs w:val="22"/>
        </w:rPr>
      </w:pPr>
    </w:p>
    <w:p w:rsidR="0045093C" w:rsidRDefault="0045093C" w:rsidP="00460D89">
      <w:pPr>
        <w:pStyle w:val="Default"/>
        <w:rPr>
          <w:sz w:val="22"/>
          <w:szCs w:val="22"/>
        </w:rPr>
      </w:pPr>
      <w:r>
        <w:rPr>
          <w:sz w:val="22"/>
          <w:szCs w:val="22"/>
        </w:rPr>
        <w:t>The three ground floor level signs will be fixed over some of the ground floor level windows of 2 New Century Place</w:t>
      </w:r>
      <w:r w:rsidR="007C3266">
        <w:rPr>
          <w:sz w:val="22"/>
          <w:szCs w:val="22"/>
        </w:rPr>
        <w:t>. The largest sign, at the eastern end of 2 New Century Place, will cover 6 windows. There will then be a gap where three windows will be left uncovered, followed by a further banner covering the next three windows. The face of the building then turns, facing a more northerly direction, and the final banner will cover the four windows on this face.</w:t>
      </w:r>
    </w:p>
    <w:p w:rsidR="007C3266" w:rsidRDefault="007C3266" w:rsidP="00460D89">
      <w:pPr>
        <w:pStyle w:val="Default"/>
        <w:rPr>
          <w:sz w:val="22"/>
          <w:szCs w:val="22"/>
        </w:rPr>
      </w:pPr>
    </w:p>
    <w:p w:rsidR="007C3266" w:rsidRDefault="007C3266" w:rsidP="00460D89">
      <w:pPr>
        <w:pStyle w:val="Default"/>
        <w:rPr>
          <w:sz w:val="22"/>
          <w:szCs w:val="22"/>
        </w:rPr>
      </w:pPr>
      <w:r>
        <w:rPr>
          <w:sz w:val="22"/>
          <w:szCs w:val="22"/>
        </w:rPr>
        <w:t>Permission for the display of these banners is only sought till March 2020</w:t>
      </w:r>
      <w:r w:rsidR="005C3C4E">
        <w:rPr>
          <w:sz w:val="22"/>
          <w:szCs w:val="22"/>
        </w:rPr>
        <w:t xml:space="preserve"> (2years)</w:t>
      </w:r>
      <w:r>
        <w:rPr>
          <w:sz w:val="22"/>
          <w:szCs w:val="22"/>
        </w:rPr>
        <w:t>, whilst work on the conversion of these buildings to residential use is undertaken.</w:t>
      </w:r>
    </w:p>
    <w:p w:rsidR="00C961B4" w:rsidRDefault="00C961B4" w:rsidP="00D04841">
      <w:pPr>
        <w:pStyle w:val="Default"/>
        <w:rPr>
          <w:b/>
          <w:bCs/>
          <w:sz w:val="23"/>
          <w:szCs w:val="23"/>
        </w:rPr>
      </w:pPr>
    </w:p>
    <w:p w:rsidR="00D04841" w:rsidRDefault="00C961B4" w:rsidP="00D04841">
      <w:pPr>
        <w:pStyle w:val="Default"/>
        <w:rPr>
          <w:sz w:val="23"/>
          <w:szCs w:val="23"/>
        </w:rPr>
      </w:pPr>
      <w:r>
        <w:rPr>
          <w:b/>
          <w:bCs/>
          <w:sz w:val="23"/>
          <w:szCs w:val="23"/>
        </w:rPr>
        <w:t>3</w:t>
      </w:r>
      <w:r w:rsidR="00D04841">
        <w:rPr>
          <w:b/>
          <w:bCs/>
          <w:sz w:val="23"/>
          <w:szCs w:val="23"/>
        </w:rPr>
        <w:t xml:space="preserve">. Public Consultation </w:t>
      </w:r>
    </w:p>
    <w:p w:rsidR="00D04841" w:rsidRDefault="00D04841" w:rsidP="00D04841">
      <w:pPr>
        <w:pStyle w:val="Default"/>
        <w:rPr>
          <w:sz w:val="23"/>
          <w:szCs w:val="23"/>
        </w:rPr>
      </w:pPr>
      <w:r w:rsidRPr="007C3266">
        <w:rPr>
          <w:sz w:val="23"/>
          <w:szCs w:val="23"/>
        </w:rPr>
        <w:t xml:space="preserve">2 site notices were erected on </w:t>
      </w:r>
      <w:r w:rsidR="00F04742" w:rsidRPr="00F04742">
        <w:rPr>
          <w:sz w:val="23"/>
          <w:szCs w:val="23"/>
        </w:rPr>
        <w:t>08/02/2018</w:t>
      </w:r>
      <w:r w:rsidRPr="00F04742">
        <w:rPr>
          <w:sz w:val="23"/>
          <w:szCs w:val="23"/>
        </w:rPr>
        <w:t xml:space="preserve">, expiring on </w:t>
      </w:r>
      <w:r w:rsidR="00F04742" w:rsidRPr="00F04742">
        <w:rPr>
          <w:sz w:val="23"/>
          <w:szCs w:val="23"/>
        </w:rPr>
        <w:t>01/03/2018</w:t>
      </w:r>
      <w:r w:rsidRPr="00F04742">
        <w:rPr>
          <w:sz w:val="23"/>
          <w:szCs w:val="23"/>
        </w:rPr>
        <w:t>.</w:t>
      </w:r>
      <w:r w:rsidRPr="007C3266">
        <w:rPr>
          <w:sz w:val="23"/>
          <w:szCs w:val="23"/>
        </w:rPr>
        <w:t xml:space="preserve"> A press notice was published on </w:t>
      </w:r>
      <w:r w:rsidR="007C3266" w:rsidRPr="007C3266">
        <w:rPr>
          <w:sz w:val="23"/>
          <w:szCs w:val="23"/>
        </w:rPr>
        <w:t>15/02/2018</w:t>
      </w:r>
      <w:r w:rsidRPr="007C3266">
        <w:rPr>
          <w:sz w:val="23"/>
          <w:szCs w:val="23"/>
        </w:rPr>
        <w:t xml:space="preserve">, expiring on </w:t>
      </w:r>
      <w:r w:rsidR="007C3266" w:rsidRPr="007C3266">
        <w:rPr>
          <w:sz w:val="23"/>
          <w:szCs w:val="23"/>
        </w:rPr>
        <w:t>08/03</w:t>
      </w:r>
      <w:r w:rsidRPr="007C3266">
        <w:rPr>
          <w:sz w:val="23"/>
          <w:szCs w:val="23"/>
        </w:rPr>
        <w:t xml:space="preserve">/18. </w:t>
      </w:r>
      <w:r w:rsidR="00403EB2">
        <w:rPr>
          <w:sz w:val="23"/>
          <w:szCs w:val="23"/>
        </w:rPr>
        <w:t>One objection was received stating that they felt that the proposals would leave the area looking run down.</w:t>
      </w:r>
      <w:bookmarkStart w:id="0" w:name="_GoBack"/>
      <w:bookmarkEnd w:id="0"/>
    </w:p>
    <w:p w:rsidR="00D04841" w:rsidRDefault="00D04841" w:rsidP="00D04841">
      <w:pPr>
        <w:pStyle w:val="Default"/>
        <w:rPr>
          <w:sz w:val="23"/>
          <w:szCs w:val="23"/>
        </w:rPr>
      </w:pPr>
    </w:p>
    <w:p w:rsidR="00D04841" w:rsidRDefault="00D04841" w:rsidP="00D04841">
      <w:pPr>
        <w:pStyle w:val="Default"/>
        <w:rPr>
          <w:sz w:val="22"/>
          <w:szCs w:val="22"/>
        </w:rPr>
      </w:pPr>
      <w:r>
        <w:rPr>
          <w:b/>
          <w:bCs/>
          <w:sz w:val="22"/>
          <w:szCs w:val="22"/>
        </w:rPr>
        <w:t xml:space="preserve">5. Plans / Documents Considered </w:t>
      </w:r>
    </w:p>
    <w:p w:rsidR="00D04841" w:rsidRDefault="00D04841" w:rsidP="00D04841">
      <w:pPr>
        <w:pStyle w:val="Default"/>
        <w:rPr>
          <w:sz w:val="23"/>
          <w:szCs w:val="23"/>
        </w:rPr>
      </w:pPr>
      <w:r>
        <w:rPr>
          <w:sz w:val="23"/>
          <w:szCs w:val="23"/>
        </w:rPr>
        <w:t xml:space="preserve">The Council, in reaching its recommendation, has taken into consideration the following documents: </w:t>
      </w:r>
    </w:p>
    <w:p w:rsidR="00213490" w:rsidRPr="006B7D6D" w:rsidRDefault="00213490" w:rsidP="00213490">
      <w:pPr>
        <w:pStyle w:val="Default"/>
        <w:rPr>
          <w:sz w:val="23"/>
          <w:szCs w:val="23"/>
        </w:rPr>
      </w:pPr>
      <w:r w:rsidRPr="006B7D6D">
        <w:rPr>
          <w:sz w:val="23"/>
          <w:szCs w:val="23"/>
        </w:rPr>
        <w:t>Drawing No: 16033-0006 – Location Plan</w:t>
      </w:r>
    </w:p>
    <w:p w:rsidR="00213490" w:rsidRPr="006B7D6D" w:rsidRDefault="00213490" w:rsidP="00213490">
      <w:pPr>
        <w:pStyle w:val="Default"/>
        <w:rPr>
          <w:sz w:val="23"/>
          <w:szCs w:val="23"/>
        </w:rPr>
      </w:pPr>
      <w:r w:rsidRPr="006B7D6D">
        <w:rPr>
          <w:sz w:val="23"/>
          <w:szCs w:val="23"/>
        </w:rPr>
        <w:t>Received 26</w:t>
      </w:r>
      <w:r w:rsidRPr="006B7D6D">
        <w:rPr>
          <w:sz w:val="23"/>
          <w:szCs w:val="23"/>
          <w:vertAlign w:val="superscript"/>
        </w:rPr>
        <w:t>th</w:t>
      </w:r>
      <w:r w:rsidRPr="006B7D6D">
        <w:rPr>
          <w:sz w:val="23"/>
          <w:szCs w:val="23"/>
        </w:rPr>
        <w:t xml:space="preserve"> January 2018</w:t>
      </w:r>
    </w:p>
    <w:p w:rsidR="00213490" w:rsidRPr="006B7D6D" w:rsidRDefault="00213490" w:rsidP="00213490">
      <w:pPr>
        <w:pStyle w:val="Default"/>
        <w:rPr>
          <w:sz w:val="23"/>
          <w:szCs w:val="23"/>
        </w:rPr>
      </w:pPr>
      <w:r w:rsidRPr="006B7D6D">
        <w:rPr>
          <w:sz w:val="23"/>
          <w:szCs w:val="23"/>
        </w:rPr>
        <w:t>External Marketing (advertisement details)</w:t>
      </w:r>
    </w:p>
    <w:p w:rsidR="00213490" w:rsidRPr="006B7D6D" w:rsidRDefault="00213490" w:rsidP="00213490">
      <w:pPr>
        <w:pStyle w:val="Default"/>
        <w:rPr>
          <w:sz w:val="23"/>
          <w:szCs w:val="23"/>
        </w:rPr>
      </w:pPr>
      <w:r w:rsidRPr="006B7D6D">
        <w:rPr>
          <w:sz w:val="23"/>
          <w:szCs w:val="23"/>
        </w:rPr>
        <w:t>Received 11</w:t>
      </w:r>
      <w:r w:rsidRPr="006B7D6D">
        <w:rPr>
          <w:sz w:val="23"/>
          <w:szCs w:val="23"/>
          <w:vertAlign w:val="superscript"/>
        </w:rPr>
        <w:t>th</w:t>
      </w:r>
      <w:r w:rsidRPr="006B7D6D">
        <w:rPr>
          <w:sz w:val="23"/>
          <w:szCs w:val="23"/>
        </w:rPr>
        <w:t xml:space="preserve"> April 2018</w:t>
      </w:r>
    </w:p>
    <w:p w:rsidR="00213490" w:rsidRPr="006B7D6D" w:rsidRDefault="00213490" w:rsidP="00213490">
      <w:pPr>
        <w:pStyle w:val="Default"/>
        <w:rPr>
          <w:sz w:val="23"/>
          <w:szCs w:val="23"/>
        </w:rPr>
      </w:pPr>
      <w:r w:rsidRPr="006B7D6D">
        <w:rPr>
          <w:sz w:val="23"/>
          <w:szCs w:val="23"/>
        </w:rPr>
        <w:t xml:space="preserve">Drawing No: 16033-0006 </w:t>
      </w:r>
      <w:proofErr w:type="gramStart"/>
      <w:r w:rsidRPr="006B7D6D">
        <w:rPr>
          <w:sz w:val="23"/>
          <w:szCs w:val="23"/>
        </w:rPr>
        <w:t>rev</w:t>
      </w:r>
      <w:proofErr w:type="gramEnd"/>
      <w:r w:rsidRPr="006B7D6D">
        <w:rPr>
          <w:sz w:val="23"/>
          <w:szCs w:val="23"/>
        </w:rPr>
        <w:t xml:space="preserve"> A - Plan</w:t>
      </w:r>
    </w:p>
    <w:p w:rsidR="00213490" w:rsidRDefault="00213490" w:rsidP="00213490">
      <w:pPr>
        <w:pStyle w:val="Default"/>
        <w:rPr>
          <w:sz w:val="23"/>
          <w:szCs w:val="23"/>
        </w:rPr>
      </w:pPr>
      <w:r w:rsidRPr="006B7D6D">
        <w:rPr>
          <w:sz w:val="23"/>
          <w:szCs w:val="23"/>
        </w:rPr>
        <w:lastRenderedPageBreak/>
        <w:t>Received 16</w:t>
      </w:r>
      <w:r w:rsidRPr="006B7D6D">
        <w:rPr>
          <w:sz w:val="23"/>
          <w:szCs w:val="23"/>
          <w:vertAlign w:val="superscript"/>
        </w:rPr>
        <w:t>th</w:t>
      </w:r>
      <w:r w:rsidRPr="006B7D6D">
        <w:rPr>
          <w:sz w:val="23"/>
          <w:szCs w:val="23"/>
        </w:rPr>
        <w:t xml:space="preserve"> April 2018</w:t>
      </w:r>
    </w:p>
    <w:p w:rsidR="00D04841" w:rsidRDefault="00D04841" w:rsidP="00D04841">
      <w:pPr>
        <w:pStyle w:val="Default"/>
        <w:rPr>
          <w:sz w:val="23"/>
          <w:szCs w:val="23"/>
        </w:rPr>
      </w:pPr>
      <w:r>
        <w:rPr>
          <w:b/>
          <w:bCs/>
          <w:sz w:val="23"/>
          <w:szCs w:val="23"/>
        </w:rPr>
        <w:t xml:space="preserve">6. Relevant Planning History </w:t>
      </w:r>
    </w:p>
    <w:p w:rsidR="00991575" w:rsidRDefault="00991575" w:rsidP="00991575">
      <w:pPr>
        <w:rPr>
          <w:rFonts w:ascii="Trebuchet MS" w:hAnsi="Trebuchet MS"/>
          <w:sz w:val="22"/>
          <w:szCs w:val="22"/>
        </w:rPr>
      </w:pPr>
    </w:p>
    <w:p w:rsidR="00991575" w:rsidRDefault="00991575" w:rsidP="00991575">
      <w:pPr>
        <w:rPr>
          <w:rFonts w:ascii="Trebuchet MS" w:hAnsi="Trebuchet MS"/>
          <w:i/>
          <w:sz w:val="22"/>
          <w:szCs w:val="22"/>
        </w:rPr>
      </w:pPr>
      <w:r w:rsidRPr="00991575">
        <w:rPr>
          <w:rFonts w:ascii="Trebuchet MS" w:hAnsi="Trebuchet MS"/>
          <w:sz w:val="22"/>
          <w:szCs w:val="22"/>
        </w:rPr>
        <w:t xml:space="preserve">180178/PREAPP - Redevelopment of car park for mixed use scheme of student accommodation and on-site affordable housing. </w:t>
      </w:r>
      <w:proofErr w:type="gramStart"/>
      <w:r w:rsidRPr="00991575">
        <w:rPr>
          <w:rFonts w:ascii="Trebuchet MS" w:hAnsi="Trebuchet MS"/>
          <w:i/>
          <w:sz w:val="22"/>
          <w:szCs w:val="22"/>
        </w:rPr>
        <w:t>Under Consideration.</w:t>
      </w:r>
      <w:proofErr w:type="gramEnd"/>
    </w:p>
    <w:p w:rsidR="00991575" w:rsidRPr="00991575" w:rsidRDefault="00991575" w:rsidP="00991575">
      <w:pPr>
        <w:rPr>
          <w:rFonts w:ascii="Trebuchet MS" w:hAnsi="Trebuchet MS"/>
          <w:i/>
          <w:sz w:val="22"/>
          <w:szCs w:val="22"/>
        </w:rPr>
      </w:pPr>
      <w:r w:rsidRPr="00991575">
        <w:rPr>
          <w:rFonts w:ascii="Trebuchet MS" w:hAnsi="Trebuchet MS" w:cs="Courier New"/>
          <w:sz w:val="22"/>
          <w:szCs w:val="22"/>
          <w:lang w:eastAsia="en-GB"/>
        </w:rPr>
        <w:t xml:space="preserve">172327/ADV - </w:t>
      </w:r>
      <w:r w:rsidRPr="00991575">
        <w:rPr>
          <w:rFonts w:ascii="Trebuchet MS" w:eastAsiaTheme="minorEastAsia" w:hAnsi="Trebuchet MS"/>
          <w:sz w:val="22"/>
          <w:szCs w:val="22"/>
          <w:lang w:eastAsia="en-GB"/>
        </w:rPr>
        <w:t>Temporary (for a period of 1 year) advertisements affixed to hoarding on the north and eastern sides of the car park, plus advertisements affixed to a pair of portable cabins (part retrospective).</w:t>
      </w:r>
      <w:r w:rsidRPr="00991575">
        <w:rPr>
          <w:rFonts w:ascii="Trebuchet MS" w:hAnsi="Trebuchet MS" w:cs="Courier New"/>
          <w:sz w:val="22"/>
          <w:szCs w:val="22"/>
          <w:lang w:eastAsia="en-GB"/>
        </w:rPr>
        <w:t xml:space="preserve"> Permitted</w:t>
      </w:r>
      <w:r>
        <w:rPr>
          <w:rFonts w:ascii="Trebuchet MS" w:hAnsi="Trebuchet MS" w:cs="Courier New"/>
          <w:sz w:val="22"/>
          <w:szCs w:val="22"/>
          <w:lang w:eastAsia="en-GB"/>
        </w:rPr>
        <w:t xml:space="preserve"> 09/03/2018</w:t>
      </w:r>
    </w:p>
    <w:p w:rsidR="00991575" w:rsidRPr="00991575" w:rsidRDefault="00991575" w:rsidP="00991575">
      <w:pPr>
        <w:rPr>
          <w:rFonts w:ascii="Trebuchet MS" w:hAnsi="Trebuchet MS"/>
          <w:sz w:val="22"/>
          <w:szCs w:val="22"/>
        </w:rPr>
      </w:pPr>
      <w:r w:rsidRPr="00991575">
        <w:rPr>
          <w:rFonts w:ascii="Trebuchet MS" w:hAnsi="Trebuchet MS"/>
          <w:sz w:val="22"/>
          <w:szCs w:val="22"/>
        </w:rPr>
        <w:t xml:space="preserve">172272/OPA – 1 New Century Place - Change of use of building from Class </w:t>
      </w:r>
      <w:proofErr w:type="gramStart"/>
      <w:r w:rsidRPr="00991575">
        <w:rPr>
          <w:rFonts w:ascii="Trebuchet MS" w:hAnsi="Trebuchet MS"/>
          <w:sz w:val="22"/>
          <w:szCs w:val="22"/>
        </w:rPr>
        <w:t>B1(</w:t>
      </w:r>
      <w:proofErr w:type="gramEnd"/>
      <w:r w:rsidRPr="00991575">
        <w:rPr>
          <w:rFonts w:ascii="Trebuchet MS" w:hAnsi="Trebuchet MS"/>
          <w:sz w:val="22"/>
          <w:szCs w:val="22"/>
        </w:rPr>
        <w:t>a) (offices) to C3 (dwelling houses) to comprise 72 self-Contained studio apartments. Prior Notification under Class O, Part 3 of Schedule 2 of the Town and Country Planning (General Permitted Development) Order 2015. Permitted 12/02/2018</w:t>
      </w:r>
    </w:p>
    <w:p w:rsidR="00991575" w:rsidRPr="00991575" w:rsidRDefault="00991575" w:rsidP="00991575">
      <w:pPr>
        <w:rPr>
          <w:rFonts w:ascii="Trebuchet MS" w:hAnsi="Trebuchet MS"/>
          <w:sz w:val="22"/>
          <w:szCs w:val="22"/>
        </w:rPr>
      </w:pPr>
      <w:r w:rsidRPr="00991575">
        <w:rPr>
          <w:rFonts w:ascii="Trebuchet MS" w:hAnsi="Trebuchet MS"/>
          <w:sz w:val="22"/>
          <w:szCs w:val="22"/>
        </w:rPr>
        <w:t xml:space="preserve">172271/OPA – 2 New Century Place - Change of use of building from Class </w:t>
      </w:r>
      <w:proofErr w:type="gramStart"/>
      <w:r w:rsidRPr="00991575">
        <w:rPr>
          <w:rFonts w:ascii="Trebuchet MS" w:hAnsi="Trebuchet MS"/>
          <w:sz w:val="22"/>
          <w:szCs w:val="22"/>
        </w:rPr>
        <w:t>B1(</w:t>
      </w:r>
      <w:proofErr w:type="gramEnd"/>
      <w:r w:rsidRPr="00991575">
        <w:rPr>
          <w:rFonts w:ascii="Trebuchet MS" w:hAnsi="Trebuchet MS"/>
          <w:sz w:val="22"/>
          <w:szCs w:val="22"/>
        </w:rPr>
        <w:t>a) (offices) to C3 (dwelling houses) to comprise 63 self-Contained studio apartments. Prior Notification under Class O, Part 3 of Schedule 2 of the Town and Country Planning (General Permitted Development) Order 2015. Permitted 12/02/2018</w:t>
      </w:r>
    </w:p>
    <w:p w:rsidR="00991575" w:rsidRPr="00991575" w:rsidRDefault="00991575" w:rsidP="00991575">
      <w:pPr>
        <w:rPr>
          <w:rFonts w:ascii="Trebuchet MS" w:hAnsi="Trebuchet MS"/>
          <w:sz w:val="22"/>
          <w:szCs w:val="22"/>
        </w:rPr>
      </w:pPr>
      <w:r w:rsidRPr="00991575">
        <w:rPr>
          <w:rFonts w:ascii="Trebuchet MS" w:hAnsi="Trebuchet MS"/>
          <w:sz w:val="22"/>
          <w:szCs w:val="22"/>
        </w:rPr>
        <w:t>172254/FUL – 2 New Century Place - Replacement of various windows on all elevations, installation of</w:t>
      </w:r>
      <w:r>
        <w:rPr>
          <w:rFonts w:ascii="Trebuchet MS" w:hAnsi="Trebuchet MS"/>
          <w:sz w:val="22"/>
          <w:szCs w:val="22"/>
        </w:rPr>
        <w:t xml:space="preserve"> </w:t>
      </w:r>
      <w:r w:rsidRPr="00991575">
        <w:rPr>
          <w:rFonts w:ascii="Trebuchet MS" w:hAnsi="Trebuchet MS"/>
          <w:sz w:val="22"/>
          <w:szCs w:val="22"/>
        </w:rPr>
        <w:t xml:space="preserve">various </w:t>
      </w:r>
      <w:proofErr w:type="gramStart"/>
      <w:r w:rsidRPr="00991575">
        <w:rPr>
          <w:rFonts w:ascii="Trebuchet MS" w:hAnsi="Trebuchet MS"/>
          <w:sz w:val="22"/>
          <w:szCs w:val="22"/>
        </w:rPr>
        <w:t>trickle</w:t>
      </w:r>
      <w:proofErr w:type="gramEnd"/>
      <w:r w:rsidRPr="00991575">
        <w:rPr>
          <w:rFonts w:ascii="Trebuchet MS" w:hAnsi="Trebuchet MS"/>
          <w:sz w:val="22"/>
          <w:szCs w:val="22"/>
        </w:rPr>
        <w:t xml:space="preserve"> vents on north, south east and west elevations, new windows and to the east elevations and associated external works. Permitted 09/02/2018</w:t>
      </w:r>
    </w:p>
    <w:p w:rsidR="00991575" w:rsidRPr="00991575" w:rsidRDefault="00991575" w:rsidP="00991575">
      <w:pPr>
        <w:rPr>
          <w:rFonts w:ascii="Trebuchet MS" w:hAnsi="Trebuchet MS"/>
          <w:sz w:val="22"/>
          <w:szCs w:val="22"/>
        </w:rPr>
      </w:pPr>
      <w:r w:rsidRPr="00991575">
        <w:rPr>
          <w:rFonts w:ascii="Trebuchet MS" w:hAnsi="Trebuchet MS"/>
          <w:sz w:val="22"/>
          <w:szCs w:val="22"/>
        </w:rPr>
        <w:t>171822/FUL – 1 New Century Place - Replacement of various windows on all elevations, various trickle</w:t>
      </w:r>
      <w:r>
        <w:rPr>
          <w:rFonts w:ascii="Trebuchet MS" w:hAnsi="Trebuchet MS"/>
          <w:sz w:val="22"/>
          <w:szCs w:val="22"/>
        </w:rPr>
        <w:t xml:space="preserve"> </w:t>
      </w:r>
      <w:r w:rsidRPr="00991575">
        <w:rPr>
          <w:rFonts w:ascii="Trebuchet MS" w:hAnsi="Trebuchet MS"/>
          <w:sz w:val="22"/>
          <w:szCs w:val="22"/>
        </w:rPr>
        <w:t>vents on north, south and west elevations, new balustrades on north and west elevations and associated external works. Permitted 09/02/2018</w:t>
      </w:r>
    </w:p>
    <w:p w:rsidR="00991575" w:rsidRPr="00991575" w:rsidRDefault="00991575" w:rsidP="00991575">
      <w:pPr>
        <w:rPr>
          <w:rFonts w:ascii="Trebuchet MS" w:hAnsi="Trebuchet MS"/>
          <w:i/>
          <w:sz w:val="22"/>
          <w:szCs w:val="22"/>
        </w:rPr>
      </w:pPr>
      <w:r w:rsidRPr="00991575">
        <w:rPr>
          <w:rFonts w:ascii="Trebuchet MS" w:hAnsi="Trebuchet MS"/>
          <w:sz w:val="22"/>
          <w:szCs w:val="22"/>
        </w:rPr>
        <w:t xml:space="preserve">170019/FUL – Existing Private Car Park, East Street, Erection of 4 storey building to provide 103 student accommodation units (Sui Generis), landscaping, access and ancillary works, following removal of a 49 space car park. </w:t>
      </w:r>
      <w:proofErr w:type="gramStart"/>
      <w:r w:rsidRPr="00991575">
        <w:rPr>
          <w:rFonts w:ascii="Trebuchet MS" w:hAnsi="Trebuchet MS"/>
          <w:i/>
          <w:sz w:val="22"/>
          <w:szCs w:val="22"/>
        </w:rPr>
        <w:t>Refused 07/06/2017.</w:t>
      </w:r>
      <w:proofErr w:type="gramEnd"/>
      <w:r w:rsidRPr="00991575">
        <w:rPr>
          <w:rFonts w:ascii="Trebuchet MS" w:hAnsi="Trebuchet MS"/>
          <w:i/>
          <w:sz w:val="22"/>
          <w:szCs w:val="22"/>
        </w:rPr>
        <w:t xml:space="preserve"> Appeal Submitted for Hearing, awaiting Inspector</w:t>
      </w:r>
    </w:p>
    <w:p w:rsidR="00991575" w:rsidRPr="00991575" w:rsidRDefault="00991575" w:rsidP="00991575">
      <w:pPr>
        <w:rPr>
          <w:rFonts w:ascii="Trebuchet MS" w:hAnsi="Trebuchet MS"/>
          <w:sz w:val="22"/>
          <w:szCs w:val="22"/>
        </w:rPr>
      </w:pPr>
      <w:r w:rsidRPr="00991575">
        <w:rPr>
          <w:rFonts w:ascii="Trebuchet MS" w:hAnsi="Trebuchet MS"/>
          <w:sz w:val="22"/>
          <w:szCs w:val="22"/>
        </w:rPr>
        <w:t>162379/FUL – Rear of 1 New Century Place - Erection of a substation to the south of 1 Century Place in place of one car parking space, following demolition of existing nearby substation. Permitted 06/03/2017</w:t>
      </w:r>
    </w:p>
    <w:p w:rsidR="00991575" w:rsidRPr="00991575" w:rsidRDefault="00991575" w:rsidP="00991575">
      <w:pPr>
        <w:rPr>
          <w:rFonts w:ascii="Trebuchet MS" w:hAnsi="Trebuchet MS"/>
          <w:sz w:val="22"/>
          <w:szCs w:val="22"/>
        </w:rPr>
      </w:pPr>
      <w:r w:rsidRPr="00991575">
        <w:rPr>
          <w:rFonts w:ascii="Trebuchet MS" w:hAnsi="Trebuchet MS"/>
          <w:sz w:val="22"/>
          <w:szCs w:val="22"/>
        </w:rPr>
        <w:t xml:space="preserve">161602/OPA – 2 New Century Place - Change of use from Class </w:t>
      </w:r>
      <w:proofErr w:type="gramStart"/>
      <w:r w:rsidRPr="00991575">
        <w:rPr>
          <w:rFonts w:ascii="Trebuchet MS" w:hAnsi="Trebuchet MS"/>
          <w:sz w:val="22"/>
          <w:szCs w:val="22"/>
        </w:rPr>
        <w:t>B1(</w:t>
      </w:r>
      <w:proofErr w:type="gramEnd"/>
      <w:r w:rsidRPr="00991575">
        <w:rPr>
          <w:rFonts w:ascii="Trebuchet MS" w:hAnsi="Trebuchet MS"/>
          <w:sz w:val="22"/>
          <w:szCs w:val="22"/>
        </w:rPr>
        <w:t xml:space="preserve">a) to C3 (dwelling houses) to comprise of 58 individual, self-contained studio and </w:t>
      </w:r>
      <w:proofErr w:type="spellStart"/>
      <w:r w:rsidRPr="00991575">
        <w:rPr>
          <w:rFonts w:ascii="Trebuchet MS" w:hAnsi="Trebuchet MS"/>
          <w:sz w:val="22"/>
          <w:szCs w:val="22"/>
        </w:rPr>
        <w:t>twodio</w:t>
      </w:r>
      <w:proofErr w:type="spellEnd"/>
      <w:r w:rsidRPr="00991575">
        <w:rPr>
          <w:rFonts w:ascii="Trebuchet MS" w:hAnsi="Trebuchet MS"/>
          <w:sz w:val="22"/>
          <w:szCs w:val="22"/>
        </w:rPr>
        <w:t xml:space="preserve"> apartments. Prior Notification under Class O, Part 3 of Schedule 2 of the Town and Country Planning (General Permitted Development) Order 2015. Permitted 19/10/2016</w:t>
      </w:r>
    </w:p>
    <w:p w:rsidR="00991575" w:rsidRPr="00991575" w:rsidRDefault="00991575" w:rsidP="00991575">
      <w:pPr>
        <w:rPr>
          <w:rFonts w:ascii="Trebuchet MS" w:hAnsi="Trebuchet MS"/>
          <w:sz w:val="22"/>
          <w:szCs w:val="22"/>
        </w:rPr>
      </w:pPr>
      <w:r w:rsidRPr="00991575">
        <w:rPr>
          <w:rFonts w:ascii="Trebuchet MS" w:hAnsi="Trebuchet MS"/>
          <w:sz w:val="22"/>
          <w:szCs w:val="22"/>
        </w:rPr>
        <w:t xml:space="preserve">161601/OPA – 1 New Century Place - Change of use from Class </w:t>
      </w:r>
      <w:proofErr w:type="gramStart"/>
      <w:r w:rsidRPr="00991575">
        <w:rPr>
          <w:rFonts w:ascii="Trebuchet MS" w:hAnsi="Trebuchet MS"/>
          <w:sz w:val="22"/>
          <w:szCs w:val="22"/>
        </w:rPr>
        <w:t>B1(</w:t>
      </w:r>
      <w:proofErr w:type="gramEnd"/>
      <w:r w:rsidRPr="00991575">
        <w:rPr>
          <w:rFonts w:ascii="Trebuchet MS" w:hAnsi="Trebuchet MS"/>
          <w:sz w:val="22"/>
          <w:szCs w:val="22"/>
        </w:rPr>
        <w:t xml:space="preserve">a) to C3 (dwelling houses) to comprise of 75 individual, self-contained studio and </w:t>
      </w:r>
      <w:proofErr w:type="spellStart"/>
      <w:r w:rsidRPr="00991575">
        <w:rPr>
          <w:rFonts w:ascii="Trebuchet MS" w:hAnsi="Trebuchet MS"/>
          <w:sz w:val="22"/>
          <w:szCs w:val="22"/>
        </w:rPr>
        <w:t>twodio</w:t>
      </w:r>
      <w:proofErr w:type="spellEnd"/>
      <w:r w:rsidRPr="00991575">
        <w:rPr>
          <w:rFonts w:ascii="Trebuchet MS" w:hAnsi="Trebuchet MS"/>
          <w:sz w:val="22"/>
          <w:szCs w:val="22"/>
        </w:rPr>
        <w:t xml:space="preserve"> apartments. Prior Notification under Class O, Part 3 of Schedule 2 of the Town and Country Planning (General Permitted Development) Order 2015. Permitted 19/10/2016</w:t>
      </w:r>
    </w:p>
    <w:p w:rsidR="00D04841" w:rsidRPr="00991575" w:rsidRDefault="00D04841" w:rsidP="00D04841">
      <w:pPr>
        <w:pStyle w:val="Default"/>
        <w:rPr>
          <w:sz w:val="22"/>
          <w:szCs w:val="22"/>
        </w:rPr>
      </w:pPr>
    </w:p>
    <w:p w:rsidR="00D04841" w:rsidRDefault="00D04841" w:rsidP="00D04841">
      <w:pPr>
        <w:pStyle w:val="Default"/>
        <w:rPr>
          <w:sz w:val="23"/>
          <w:szCs w:val="23"/>
        </w:rPr>
      </w:pPr>
      <w:r>
        <w:rPr>
          <w:b/>
          <w:bCs/>
          <w:sz w:val="23"/>
          <w:szCs w:val="23"/>
        </w:rPr>
        <w:t xml:space="preserve">7. Equality Act 2010: </w:t>
      </w:r>
    </w:p>
    <w:p w:rsidR="00D04841" w:rsidRPr="000D3259" w:rsidRDefault="00D04841" w:rsidP="00D04841">
      <w:pPr>
        <w:pStyle w:val="Default"/>
        <w:rPr>
          <w:sz w:val="22"/>
          <w:szCs w:val="22"/>
        </w:rPr>
      </w:pPr>
      <w:r>
        <w:rPr>
          <w:sz w:val="23"/>
          <w:szCs w:val="23"/>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w:t>
      </w:r>
      <w:r w:rsidRPr="000D3259">
        <w:rPr>
          <w:sz w:val="22"/>
          <w:szCs w:val="22"/>
        </w:rPr>
        <w:t xml:space="preserve">have different needs, experiences, issues and priorities in relation to this particular planning application. Therefore in terms of the key equalities protected characteristics it is considered there would be no significant adverse impacts as a result of the development. </w:t>
      </w:r>
    </w:p>
    <w:p w:rsidR="00D04841" w:rsidRPr="000D3259" w:rsidRDefault="00D04841" w:rsidP="00D04841">
      <w:pPr>
        <w:pStyle w:val="Default"/>
        <w:rPr>
          <w:sz w:val="22"/>
          <w:szCs w:val="22"/>
        </w:rPr>
      </w:pPr>
    </w:p>
    <w:p w:rsidR="00D04841" w:rsidRPr="000D3259" w:rsidRDefault="00D04841" w:rsidP="00D04841">
      <w:pPr>
        <w:pStyle w:val="Default"/>
        <w:rPr>
          <w:sz w:val="22"/>
          <w:szCs w:val="22"/>
        </w:rPr>
      </w:pPr>
      <w:r w:rsidRPr="000D3259">
        <w:rPr>
          <w:b/>
          <w:bCs/>
          <w:sz w:val="22"/>
          <w:szCs w:val="22"/>
        </w:rPr>
        <w:t xml:space="preserve">8. Relevant Planning Guidance </w:t>
      </w:r>
    </w:p>
    <w:p w:rsidR="000D3259" w:rsidRPr="000D3259" w:rsidRDefault="000D3259" w:rsidP="000D3259">
      <w:pPr>
        <w:autoSpaceDE w:val="0"/>
        <w:autoSpaceDN w:val="0"/>
        <w:jc w:val="both"/>
        <w:rPr>
          <w:rFonts w:ascii="Trebuchet MS" w:eastAsiaTheme="minorEastAsia" w:hAnsi="Trebuchet MS"/>
          <w:sz w:val="22"/>
          <w:szCs w:val="22"/>
          <w:lang w:eastAsia="en-GB"/>
        </w:rPr>
      </w:pPr>
      <w:r w:rsidRPr="000D3259">
        <w:rPr>
          <w:rFonts w:ascii="Trebuchet MS" w:eastAsiaTheme="minorEastAsia" w:hAnsi="Trebuchet MS"/>
          <w:sz w:val="22"/>
          <w:szCs w:val="22"/>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0D3259" w:rsidRPr="000D3259" w:rsidRDefault="000D3259" w:rsidP="000D3259">
      <w:pPr>
        <w:autoSpaceDE w:val="0"/>
        <w:autoSpaceDN w:val="0"/>
        <w:jc w:val="both"/>
        <w:rPr>
          <w:rFonts w:ascii="Trebuchet MS" w:eastAsiaTheme="minorEastAsia" w:hAnsi="Trebuchet MS"/>
          <w:sz w:val="22"/>
          <w:szCs w:val="22"/>
          <w:lang w:eastAsia="en-GB"/>
        </w:rPr>
      </w:pPr>
    </w:p>
    <w:p w:rsidR="000D3259" w:rsidRPr="000D3259" w:rsidRDefault="000D3259" w:rsidP="000D3259">
      <w:pPr>
        <w:autoSpaceDE w:val="0"/>
        <w:autoSpaceDN w:val="0"/>
        <w:jc w:val="both"/>
        <w:rPr>
          <w:rFonts w:ascii="Trebuchet MS" w:eastAsiaTheme="minorEastAsia" w:hAnsi="Trebuchet MS"/>
          <w:sz w:val="22"/>
          <w:szCs w:val="22"/>
          <w:lang w:eastAsia="en-GB"/>
        </w:rPr>
      </w:pPr>
      <w:r w:rsidRPr="000D3259">
        <w:rPr>
          <w:rFonts w:ascii="Trebuchet MS" w:eastAsiaTheme="minorEastAsia" w:hAnsi="Trebuchet MS"/>
          <w:sz w:val="22"/>
          <w:szCs w:val="22"/>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0D3259" w:rsidRPr="000D3259" w:rsidRDefault="000D3259" w:rsidP="000D3259">
      <w:pPr>
        <w:autoSpaceDE w:val="0"/>
        <w:autoSpaceDN w:val="0"/>
        <w:jc w:val="both"/>
        <w:rPr>
          <w:rFonts w:ascii="Trebuchet MS" w:eastAsiaTheme="minorEastAsia" w:hAnsi="Trebuchet MS"/>
          <w:sz w:val="22"/>
          <w:szCs w:val="22"/>
          <w:lang w:eastAsia="en-GB"/>
        </w:rPr>
      </w:pPr>
    </w:p>
    <w:p w:rsidR="000D3259" w:rsidRPr="000D3259" w:rsidRDefault="000D3259" w:rsidP="000D3259">
      <w:pPr>
        <w:overflowPunct w:val="0"/>
        <w:adjustRightInd w:val="0"/>
        <w:jc w:val="both"/>
        <w:textAlignment w:val="baseline"/>
        <w:rPr>
          <w:rFonts w:ascii="Trebuchet MS" w:hAnsi="Trebuchet MS"/>
          <w:sz w:val="22"/>
          <w:szCs w:val="22"/>
        </w:rPr>
      </w:pPr>
      <w:r w:rsidRPr="000D3259">
        <w:rPr>
          <w:rFonts w:ascii="Trebuchet MS" w:hAnsi="Trebuchet MS"/>
          <w:sz w:val="22"/>
          <w:szCs w:val="22"/>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0D3259" w:rsidRPr="000D3259" w:rsidRDefault="000D3259" w:rsidP="000D3259">
      <w:pPr>
        <w:overflowPunct w:val="0"/>
        <w:adjustRightInd w:val="0"/>
        <w:jc w:val="both"/>
        <w:textAlignment w:val="baseline"/>
        <w:rPr>
          <w:rFonts w:ascii="Trebuchet MS" w:hAnsi="Trebuchet MS"/>
          <w:sz w:val="22"/>
          <w:szCs w:val="22"/>
        </w:rPr>
      </w:pPr>
    </w:p>
    <w:p w:rsidR="000D3259" w:rsidRPr="000D3259" w:rsidRDefault="000D3259" w:rsidP="000D3259">
      <w:pPr>
        <w:pStyle w:val="Default"/>
        <w:rPr>
          <w:sz w:val="22"/>
          <w:szCs w:val="22"/>
        </w:rPr>
      </w:pPr>
      <w:r w:rsidRPr="000D3259">
        <w:rPr>
          <w:sz w:val="22"/>
          <w:szCs w:val="22"/>
        </w:rPr>
        <w:t xml:space="preserve">Section 72 (1)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0D3259" w:rsidRPr="000D3259" w:rsidRDefault="000D3259" w:rsidP="000D3259">
      <w:pPr>
        <w:pStyle w:val="Default"/>
        <w:rPr>
          <w:sz w:val="22"/>
          <w:szCs w:val="22"/>
        </w:rPr>
      </w:pPr>
      <w:r w:rsidRPr="000D3259">
        <w:rPr>
          <w:sz w:val="22"/>
          <w:szCs w:val="22"/>
        </w:rPr>
        <w:t xml:space="preserve">The ‘National Planning Policy framework’ (‘’NPPF’’) 2012 states clearly that its content is to be a material consideration in the determination of applications. The ‘NPPF’ states that due weight should be given to the adopted policies of the Local Development Framework (LDF) (Core Strategy, RCAAP and Sites and Detailed Policies Document) according to their degree of consistency with the ‘NPPF’ (the closer the policies in the plan to the policies in the ‘NPPF’, the greater the weight that may be given). </w:t>
      </w:r>
    </w:p>
    <w:p w:rsidR="000D3259" w:rsidRPr="000D3259" w:rsidRDefault="000D3259" w:rsidP="000D3259">
      <w:pPr>
        <w:jc w:val="both"/>
        <w:rPr>
          <w:rFonts w:ascii="Trebuchet MS" w:hAnsi="Trebuchet MS"/>
          <w:sz w:val="22"/>
          <w:szCs w:val="22"/>
        </w:rPr>
      </w:pPr>
    </w:p>
    <w:p w:rsidR="000D3259" w:rsidRPr="000D3259" w:rsidRDefault="000D3259" w:rsidP="000D3259">
      <w:pPr>
        <w:jc w:val="both"/>
        <w:rPr>
          <w:rFonts w:ascii="Trebuchet MS" w:hAnsi="Trebuchet MS"/>
          <w:sz w:val="22"/>
          <w:szCs w:val="22"/>
        </w:rPr>
      </w:pPr>
      <w:r w:rsidRPr="000D3259">
        <w:rPr>
          <w:rFonts w:ascii="Trebuchet MS" w:hAnsi="Trebuchet MS"/>
          <w:sz w:val="22"/>
          <w:szCs w:val="22"/>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0D3259">
        <w:rPr>
          <w:rFonts w:ascii="Trebuchet MS" w:hAnsi="Trebuchet MS"/>
          <w:sz w:val="22"/>
          <w:szCs w:val="22"/>
        </w:rPr>
        <w:t>Regulation 3 states that factors relevant to amenity include the general characteristics of the locality, including the presence of any feature of historic, architectural, cultural, or similar interest.</w:t>
      </w:r>
      <w:proofErr w:type="gramEnd"/>
      <w:r w:rsidRPr="000D3259">
        <w:rPr>
          <w:rFonts w:ascii="Trebuchet MS" w:hAnsi="Trebuchet MS"/>
          <w:sz w:val="22"/>
          <w:szCs w:val="22"/>
        </w:rPr>
        <w:t xml:space="preserve"> Factors relevant to public safety include highway safety and whether the advert would hinder security or surveillance devices, including speed cameras.</w:t>
      </w:r>
    </w:p>
    <w:p w:rsidR="000D3259" w:rsidRPr="000D3259" w:rsidRDefault="000D3259" w:rsidP="000D3259">
      <w:pPr>
        <w:autoSpaceDE w:val="0"/>
        <w:autoSpaceDN w:val="0"/>
        <w:jc w:val="both"/>
        <w:rPr>
          <w:rFonts w:ascii="Trebuchet MS" w:eastAsiaTheme="minorEastAsia" w:hAnsi="Trebuchet MS"/>
          <w:sz w:val="22"/>
          <w:szCs w:val="22"/>
          <w:lang w:eastAsia="en-GB"/>
        </w:rPr>
      </w:pPr>
    </w:p>
    <w:p w:rsidR="000D3259" w:rsidRPr="000D3259" w:rsidRDefault="000D3259" w:rsidP="000D3259">
      <w:pPr>
        <w:autoSpaceDE w:val="0"/>
        <w:autoSpaceDN w:val="0"/>
        <w:jc w:val="both"/>
        <w:rPr>
          <w:rFonts w:ascii="Trebuchet MS" w:eastAsiaTheme="minorEastAsia" w:hAnsi="Trebuchet MS"/>
          <w:sz w:val="22"/>
          <w:szCs w:val="22"/>
          <w:lang w:eastAsia="en-GB"/>
        </w:rPr>
      </w:pPr>
      <w:r w:rsidRPr="000D3259">
        <w:rPr>
          <w:rFonts w:ascii="Trebuchet MS" w:eastAsiaTheme="minorEastAsia" w:hAnsi="Trebuchet MS"/>
          <w:sz w:val="22"/>
          <w:szCs w:val="22"/>
          <w:lang w:eastAsia="en-GB"/>
        </w:rPr>
        <w:t>Accordingly, the National Planning Policy Framework and the following development plan policies and supplementary planning guidance are relevant:</w:t>
      </w:r>
    </w:p>
    <w:p w:rsidR="00991575" w:rsidRDefault="00991575" w:rsidP="00D04841">
      <w:pPr>
        <w:pStyle w:val="Default"/>
        <w:rPr>
          <w:sz w:val="23"/>
          <w:szCs w:val="23"/>
        </w:rPr>
      </w:pPr>
    </w:p>
    <w:p w:rsidR="00991575" w:rsidRPr="00991575" w:rsidRDefault="00991575" w:rsidP="00991575">
      <w:pPr>
        <w:keepNext/>
        <w:keepLines/>
        <w:autoSpaceDE w:val="0"/>
        <w:autoSpaceDN w:val="0"/>
        <w:jc w:val="both"/>
        <w:outlineLvl w:val="2"/>
        <w:rPr>
          <w:rFonts w:ascii="Trebuchet MS" w:hAnsi="Trebuchet MS" w:cstheme="majorBidi"/>
          <w:b/>
          <w:bCs/>
          <w:sz w:val="22"/>
          <w:szCs w:val="22"/>
          <w:lang w:eastAsia="en-GB"/>
        </w:rPr>
      </w:pPr>
      <w:r w:rsidRPr="00991575">
        <w:rPr>
          <w:rFonts w:ascii="Trebuchet MS" w:hAnsi="Trebuchet MS" w:cstheme="majorBidi"/>
          <w:b/>
          <w:bCs/>
          <w:sz w:val="22"/>
          <w:szCs w:val="22"/>
          <w:lang w:eastAsia="en-GB"/>
        </w:rPr>
        <w:t>Reading Borough LDF Core Strategy (2008) (altered 2015)</w:t>
      </w:r>
    </w:p>
    <w:p w:rsidR="00991575" w:rsidRPr="00991575" w:rsidRDefault="00991575" w:rsidP="00991575">
      <w:pPr>
        <w:pStyle w:val="MemoParagraph"/>
        <w:overflowPunct w:val="0"/>
        <w:autoSpaceDE w:val="0"/>
        <w:autoSpaceDN w:val="0"/>
        <w:adjustRightInd w:val="0"/>
        <w:jc w:val="both"/>
        <w:textAlignment w:val="baseline"/>
        <w:rPr>
          <w:szCs w:val="22"/>
        </w:rPr>
      </w:pPr>
      <w:r w:rsidRPr="00991575">
        <w:rPr>
          <w:szCs w:val="22"/>
        </w:rPr>
        <w:t>CS7</w:t>
      </w:r>
      <w:r w:rsidRPr="00991575">
        <w:rPr>
          <w:szCs w:val="22"/>
        </w:rPr>
        <w:tab/>
        <w:t>Design and the Public Realm</w:t>
      </w:r>
    </w:p>
    <w:p w:rsidR="00991575" w:rsidRPr="00991575" w:rsidRDefault="00991575" w:rsidP="00991575">
      <w:pPr>
        <w:pStyle w:val="MemoParagraph"/>
        <w:overflowPunct w:val="0"/>
        <w:autoSpaceDE w:val="0"/>
        <w:autoSpaceDN w:val="0"/>
        <w:adjustRightInd w:val="0"/>
        <w:jc w:val="both"/>
        <w:textAlignment w:val="baseline"/>
        <w:rPr>
          <w:szCs w:val="22"/>
        </w:rPr>
      </w:pPr>
      <w:r w:rsidRPr="00991575">
        <w:rPr>
          <w:szCs w:val="22"/>
        </w:rPr>
        <w:t>CS20</w:t>
      </w:r>
      <w:r w:rsidRPr="00991575">
        <w:rPr>
          <w:szCs w:val="22"/>
        </w:rPr>
        <w:tab/>
        <w:t>Reading Transport Strategy</w:t>
      </w:r>
    </w:p>
    <w:p w:rsidR="00991575" w:rsidRPr="00991575" w:rsidRDefault="00991575" w:rsidP="00991575">
      <w:pPr>
        <w:pStyle w:val="MemoParagraph"/>
        <w:overflowPunct w:val="0"/>
        <w:autoSpaceDE w:val="0"/>
        <w:autoSpaceDN w:val="0"/>
        <w:adjustRightInd w:val="0"/>
        <w:jc w:val="both"/>
        <w:textAlignment w:val="baseline"/>
        <w:rPr>
          <w:szCs w:val="22"/>
        </w:rPr>
      </w:pPr>
      <w:r w:rsidRPr="00991575">
        <w:rPr>
          <w:szCs w:val="22"/>
        </w:rPr>
        <w:t>CS33</w:t>
      </w:r>
      <w:r w:rsidRPr="00991575">
        <w:rPr>
          <w:szCs w:val="22"/>
        </w:rPr>
        <w:tab/>
        <w:t>Protection and Enhancement of the Historic Environment</w:t>
      </w:r>
    </w:p>
    <w:p w:rsidR="00991575" w:rsidRPr="00991575" w:rsidRDefault="00991575" w:rsidP="00991575">
      <w:pPr>
        <w:overflowPunct w:val="0"/>
        <w:autoSpaceDE w:val="0"/>
        <w:autoSpaceDN w:val="0"/>
        <w:jc w:val="both"/>
        <w:textAlignment w:val="baseline"/>
        <w:rPr>
          <w:rFonts w:ascii="Trebuchet MS" w:hAnsi="Trebuchet MS"/>
          <w:sz w:val="22"/>
          <w:szCs w:val="22"/>
        </w:rPr>
      </w:pPr>
    </w:p>
    <w:p w:rsidR="00991575" w:rsidRPr="00991575" w:rsidRDefault="00991575" w:rsidP="00991575">
      <w:pPr>
        <w:pStyle w:val="MemoParagraph"/>
        <w:overflowPunct w:val="0"/>
        <w:autoSpaceDE w:val="0"/>
        <w:autoSpaceDN w:val="0"/>
        <w:adjustRightInd w:val="0"/>
        <w:jc w:val="both"/>
        <w:textAlignment w:val="baseline"/>
        <w:rPr>
          <w:b/>
          <w:szCs w:val="22"/>
        </w:rPr>
      </w:pPr>
      <w:r w:rsidRPr="00991575">
        <w:rPr>
          <w:b/>
          <w:szCs w:val="22"/>
        </w:rPr>
        <w:t>Reading Sites and Detailed Policies Document (SDPD 2012) (altered 2015)</w:t>
      </w:r>
    </w:p>
    <w:p w:rsidR="00991575" w:rsidRPr="00991575" w:rsidRDefault="00991575" w:rsidP="00991575">
      <w:pPr>
        <w:jc w:val="both"/>
        <w:rPr>
          <w:rFonts w:ascii="Trebuchet MS" w:hAnsi="Trebuchet MS"/>
          <w:sz w:val="22"/>
          <w:szCs w:val="22"/>
        </w:rPr>
      </w:pPr>
      <w:r w:rsidRPr="00991575">
        <w:rPr>
          <w:rFonts w:ascii="Trebuchet MS" w:hAnsi="Trebuchet MS"/>
          <w:sz w:val="22"/>
          <w:szCs w:val="22"/>
        </w:rPr>
        <w:t xml:space="preserve">DM4 </w:t>
      </w:r>
      <w:r w:rsidRPr="00991575">
        <w:rPr>
          <w:rFonts w:ascii="Trebuchet MS" w:hAnsi="Trebuchet MS"/>
          <w:sz w:val="22"/>
          <w:szCs w:val="22"/>
        </w:rPr>
        <w:tab/>
        <w:t>Amenity</w:t>
      </w:r>
    </w:p>
    <w:p w:rsidR="00991575" w:rsidRPr="00991575" w:rsidRDefault="00991575" w:rsidP="00991575">
      <w:pPr>
        <w:jc w:val="both"/>
        <w:rPr>
          <w:rFonts w:ascii="Trebuchet MS" w:hAnsi="Trebuchet MS"/>
          <w:sz w:val="22"/>
          <w:szCs w:val="22"/>
        </w:rPr>
      </w:pPr>
      <w:proofErr w:type="gramStart"/>
      <w:r w:rsidRPr="00991575">
        <w:rPr>
          <w:rFonts w:ascii="Trebuchet MS" w:hAnsi="Trebuchet MS"/>
          <w:sz w:val="22"/>
          <w:szCs w:val="22"/>
        </w:rPr>
        <w:t>DM12  Access</w:t>
      </w:r>
      <w:proofErr w:type="gramEnd"/>
      <w:r w:rsidRPr="00991575">
        <w:rPr>
          <w:rFonts w:ascii="Trebuchet MS" w:hAnsi="Trebuchet MS"/>
          <w:sz w:val="22"/>
          <w:szCs w:val="22"/>
        </w:rPr>
        <w:t>, Traffic and Highway Related Matters</w:t>
      </w:r>
    </w:p>
    <w:p w:rsidR="00991575" w:rsidRPr="00991575" w:rsidRDefault="00991575" w:rsidP="00991575">
      <w:pPr>
        <w:jc w:val="both"/>
        <w:rPr>
          <w:rFonts w:ascii="Trebuchet MS" w:hAnsi="Trebuchet MS"/>
          <w:sz w:val="22"/>
          <w:szCs w:val="22"/>
        </w:rPr>
      </w:pPr>
      <w:proofErr w:type="gramStart"/>
      <w:r w:rsidRPr="00991575">
        <w:rPr>
          <w:rFonts w:ascii="Trebuchet MS" w:hAnsi="Trebuchet MS"/>
          <w:sz w:val="22"/>
          <w:szCs w:val="22"/>
        </w:rPr>
        <w:t>DM22  Advertisements</w:t>
      </w:r>
      <w:proofErr w:type="gramEnd"/>
    </w:p>
    <w:p w:rsidR="00991575" w:rsidRPr="00991575" w:rsidRDefault="00991575" w:rsidP="00991575">
      <w:pPr>
        <w:jc w:val="both"/>
        <w:rPr>
          <w:rFonts w:ascii="Trebuchet MS" w:hAnsi="Trebuchet MS"/>
          <w:sz w:val="22"/>
          <w:szCs w:val="22"/>
        </w:rPr>
      </w:pPr>
    </w:p>
    <w:p w:rsidR="00991575" w:rsidRPr="00991575" w:rsidRDefault="00991575" w:rsidP="00991575">
      <w:pPr>
        <w:jc w:val="both"/>
        <w:rPr>
          <w:rFonts w:ascii="Trebuchet MS" w:hAnsi="Trebuchet MS"/>
          <w:b/>
          <w:sz w:val="22"/>
          <w:szCs w:val="22"/>
        </w:rPr>
      </w:pPr>
      <w:r w:rsidRPr="00991575">
        <w:rPr>
          <w:rFonts w:ascii="Trebuchet MS" w:hAnsi="Trebuchet MS"/>
          <w:b/>
          <w:sz w:val="22"/>
          <w:szCs w:val="22"/>
        </w:rPr>
        <w:t>Reading Central Area Action Plan (RCAAP 2009)</w:t>
      </w:r>
    </w:p>
    <w:p w:rsidR="00991575" w:rsidRDefault="00991575" w:rsidP="00991575">
      <w:pPr>
        <w:jc w:val="both"/>
        <w:rPr>
          <w:rFonts w:ascii="Trebuchet MS" w:hAnsi="Trebuchet MS"/>
          <w:sz w:val="22"/>
          <w:szCs w:val="22"/>
        </w:rPr>
      </w:pPr>
      <w:r w:rsidRPr="00991575">
        <w:rPr>
          <w:rFonts w:ascii="Trebuchet MS" w:hAnsi="Trebuchet MS"/>
          <w:sz w:val="22"/>
          <w:szCs w:val="22"/>
        </w:rPr>
        <w:t>RC5</w:t>
      </w:r>
      <w:r w:rsidRPr="00991575">
        <w:rPr>
          <w:rFonts w:ascii="Trebuchet MS" w:hAnsi="Trebuchet MS"/>
          <w:sz w:val="22"/>
          <w:szCs w:val="22"/>
        </w:rPr>
        <w:tab/>
        <w:t>Design in the Centre</w:t>
      </w:r>
    </w:p>
    <w:p w:rsidR="00991575" w:rsidRDefault="00991575" w:rsidP="00991575">
      <w:pPr>
        <w:jc w:val="both"/>
        <w:rPr>
          <w:rFonts w:ascii="Trebuchet MS" w:hAnsi="Trebuchet MS"/>
          <w:sz w:val="22"/>
          <w:szCs w:val="22"/>
        </w:rPr>
      </w:pPr>
    </w:p>
    <w:p w:rsidR="00D04841" w:rsidRPr="00991575" w:rsidRDefault="00D04841" w:rsidP="00991575">
      <w:pPr>
        <w:jc w:val="both"/>
        <w:rPr>
          <w:rFonts w:ascii="Trebuchet MS" w:hAnsi="Trebuchet MS"/>
          <w:sz w:val="22"/>
          <w:szCs w:val="22"/>
        </w:rPr>
      </w:pPr>
      <w:r w:rsidRPr="00991575">
        <w:rPr>
          <w:rFonts w:ascii="Trebuchet MS" w:hAnsi="Trebuchet MS"/>
          <w:b/>
          <w:bCs/>
          <w:sz w:val="22"/>
          <w:szCs w:val="22"/>
        </w:rPr>
        <w:t xml:space="preserve">10. Appraisal </w:t>
      </w:r>
    </w:p>
    <w:p w:rsidR="00D04841" w:rsidRPr="0027053E" w:rsidRDefault="00D04841" w:rsidP="00D04841">
      <w:pPr>
        <w:pStyle w:val="Default"/>
        <w:rPr>
          <w:sz w:val="22"/>
          <w:szCs w:val="22"/>
        </w:rPr>
      </w:pPr>
      <w:r w:rsidRPr="0027053E">
        <w:rPr>
          <w:sz w:val="22"/>
          <w:szCs w:val="22"/>
        </w:rPr>
        <w:t xml:space="preserve">The main issues are considered to be: </w:t>
      </w:r>
    </w:p>
    <w:p w:rsidR="00625419" w:rsidRDefault="00625419" w:rsidP="0027053E">
      <w:pPr>
        <w:pStyle w:val="Default"/>
        <w:spacing w:after="43"/>
        <w:rPr>
          <w:sz w:val="22"/>
          <w:szCs w:val="22"/>
        </w:rPr>
      </w:pPr>
      <w:r>
        <w:rPr>
          <w:sz w:val="22"/>
          <w:szCs w:val="22"/>
        </w:rPr>
        <w:t>- Amenity</w:t>
      </w:r>
    </w:p>
    <w:p w:rsidR="0027053E" w:rsidRPr="0027053E" w:rsidRDefault="00625419" w:rsidP="0027053E">
      <w:pPr>
        <w:pStyle w:val="Default"/>
        <w:spacing w:after="43"/>
        <w:rPr>
          <w:sz w:val="22"/>
          <w:szCs w:val="22"/>
        </w:rPr>
      </w:pPr>
      <w:r>
        <w:rPr>
          <w:sz w:val="22"/>
          <w:szCs w:val="22"/>
        </w:rPr>
        <w:t>- I</w:t>
      </w:r>
      <w:r w:rsidR="0027053E" w:rsidRPr="0027053E">
        <w:rPr>
          <w:sz w:val="22"/>
          <w:szCs w:val="22"/>
        </w:rPr>
        <w:t xml:space="preserve">mpact on </w:t>
      </w:r>
      <w:r>
        <w:rPr>
          <w:sz w:val="22"/>
          <w:szCs w:val="22"/>
        </w:rPr>
        <w:t>views of nearby heritage assets</w:t>
      </w:r>
    </w:p>
    <w:p w:rsidR="00D04841" w:rsidRDefault="00D04841" w:rsidP="0027053E">
      <w:pPr>
        <w:pStyle w:val="Default"/>
        <w:spacing w:after="43"/>
        <w:rPr>
          <w:sz w:val="22"/>
          <w:szCs w:val="22"/>
        </w:rPr>
      </w:pPr>
      <w:r w:rsidRPr="0027053E">
        <w:rPr>
          <w:sz w:val="22"/>
          <w:szCs w:val="22"/>
        </w:rPr>
        <w:t xml:space="preserve">- </w:t>
      </w:r>
      <w:r w:rsidR="0027053E" w:rsidRPr="0027053E">
        <w:rPr>
          <w:sz w:val="22"/>
          <w:szCs w:val="22"/>
        </w:rPr>
        <w:t>Public Safety</w:t>
      </w:r>
    </w:p>
    <w:p w:rsidR="00D04841" w:rsidRPr="0027053E" w:rsidRDefault="00D04841" w:rsidP="00D04841">
      <w:pPr>
        <w:pStyle w:val="Default"/>
        <w:rPr>
          <w:sz w:val="22"/>
          <w:szCs w:val="22"/>
          <w:highlight w:val="yellow"/>
        </w:rPr>
      </w:pPr>
    </w:p>
    <w:p w:rsidR="0027053E" w:rsidRPr="006771E6" w:rsidRDefault="0027053E" w:rsidP="0027053E">
      <w:pPr>
        <w:jc w:val="both"/>
        <w:rPr>
          <w:rFonts w:ascii="Trebuchet MS" w:hAnsi="Trebuchet MS"/>
          <w:sz w:val="22"/>
          <w:szCs w:val="22"/>
          <w:u w:val="single"/>
        </w:rPr>
      </w:pPr>
      <w:r w:rsidRPr="006771E6">
        <w:rPr>
          <w:rFonts w:ascii="Trebuchet MS" w:hAnsi="Trebuchet MS"/>
          <w:sz w:val="22"/>
          <w:szCs w:val="22"/>
          <w:u w:val="single"/>
        </w:rPr>
        <w:t>Amenity</w:t>
      </w:r>
    </w:p>
    <w:p w:rsidR="006771E6" w:rsidRDefault="00625419" w:rsidP="006771E6">
      <w:pPr>
        <w:pStyle w:val="PlainText"/>
        <w:contextualSpacing/>
        <w:jc w:val="both"/>
        <w:rPr>
          <w:rFonts w:ascii="Trebuchet MS" w:hAnsi="Trebuchet MS"/>
          <w:color w:val="000000" w:themeColor="text1"/>
          <w:sz w:val="22"/>
          <w:szCs w:val="22"/>
        </w:rPr>
      </w:pPr>
      <w:r w:rsidRPr="006771E6">
        <w:rPr>
          <w:rFonts w:ascii="Trebuchet MS" w:hAnsi="Trebuchet MS"/>
          <w:color w:val="000000" w:themeColor="text1"/>
          <w:sz w:val="22"/>
          <w:szCs w:val="22"/>
        </w:rPr>
        <w:t>Policy</w:t>
      </w:r>
      <w:r w:rsidRPr="006A79D6">
        <w:rPr>
          <w:rFonts w:ascii="Trebuchet MS" w:hAnsi="Trebuchet MS"/>
          <w:color w:val="000000" w:themeColor="text1"/>
          <w:sz w:val="22"/>
          <w:szCs w:val="22"/>
        </w:rPr>
        <w:t xml:space="preserve"> DM22 of the Sites and Detailed Policy Document 2012 (altered 2015) states that advertisements should respect the building and surroundings in terms of size, location, design, materials, colour, noise, lettering, amount and type of text, and will not have a detrimental effect on public </w:t>
      </w:r>
      <w:r w:rsidRPr="006771E6">
        <w:rPr>
          <w:rFonts w:ascii="Trebuchet MS" w:hAnsi="Trebuchet MS"/>
          <w:color w:val="000000" w:themeColor="text1"/>
          <w:sz w:val="22"/>
          <w:szCs w:val="22"/>
        </w:rPr>
        <w:t xml:space="preserve">safety. The Policy further states that </w:t>
      </w:r>
      <w:r w:rsidR="006771E6" w:rsidRPr="006771E6">
        <w:rPr>
          <w:rFonts w:ascii="Trebuchet MS" w:eastAsiaTheme="minorHAnsi" w:hAnsi="Trebuchet MS" w:cs="Trebuchet MS"/>
          <w:bCs/>
          <w:iCs/>
          <w:color w:val="000000"/>
          <w:sz w:val="22"/>
          <w:szCs w:val="22"/>
          <w:lang w:eastAsia="en-US"/>
        </w:rPr>
        <w:t xml:space="preserve">advertisements should not obstruct windows or significant architectural features such as cornices or scrolls and </w:t>
      </w:r>
      <w:r w:rsidRPr="006771E6">
        <w:rPr>
          <w:rFonts w:ascii="Trebuchet MS" w:hAnsi="Trebuchet MS"/>
          <w:color w:val="000000" w:themeColor="text1"/>
          <w:sz w:val="22"/>
          <w:szCs w:val="22"/>
        </w:rPr>
        <w:t>advertisements above ground floor level are likely to have detrimental effects on visual amenity</w:t>
      </w:r>
      <w:r w:rsidR="006771E6">
        <w:rPr>
          <w:rFonts w:ascii="Trebuchet MS" w:hAnsi="Trebuchet MS"/>
          <w:color w:val="000000" w:themeColor="text1"/>
          <w:sz w:val="22"/>
          <w:szCs w:val="22"/>
        </w:rPr>
        <w:t>.</w:t>
      </w:r>
    </w:p>
    <w:p w:rsidR="003D79C0" w:rsidRDefault="006771E6" w:rsidP="006771E6">
      <w:pPr>
        <w:pStyle w:val="PlainText"/>
        <w:contextualSpacing/>
        <w:jc w:val="both"/>
        <w:rPr>
          <w:rFonts w:ascii="Trebuchet MS" w:hAnsi="Trebuchet MS"/>
          <w:color w:val="000000" w:themeColor="text1"/>
          <w:sz w:val="22"/>
          <w:szCs w:val="22"/>
        </w:rPr>
      </w:pPr>
      <w:r>
        <w:rPr>
          <w:rFonts w:ascii="Trebuchet MS" w:hAnsi="Trebuchet MS"/>
          <w:color w:val="000000" w:themeColor="text1"/>
          <w:sz w:val="22"/>
          <w:szCs w:val="22"/>
        </w:rPr>
        <w:t>With regards to the single high level banner sign proposed on 1 New Century Place, signs at this level are considered contrary to Policy DM22 and are not normally permitted</w:t>
      </w:r>
      <w:r w:rsidR="005679E8">
        <w:rPr>
          <w:rFonts w:ascii="Trebuchet MS" w:hAnsi="Trebuchet MS"/>
          <w:color w:val="000000" w:themeColor="text1"/>
          <w:sz w:val="22"/>
          <w:szCs w:val="22"/>
        </w:rPr>
        <w:t>.</w:t>
      </w:r>
      <w:r>
        <w:rPr>
          <w:rFonts w:ascii="Trebuchet MS" w:hAnsi="Trebuchet MS"/>
          <w:color w:val="000000" w:themeColor="text1"/>
          <w:sz w:val="22"/>
          <w:szCs w:val="22"/>
        </w:rPr>
        <w:t xml:space="preserve"> </w:t>
      </w:r>
      <w:r w:rsidR="005679E8">
        <w:rPr>
          <w:rFonts w:ascii="Trebuchet MS" w:hAnsi="Trebuchet MS"/>
          <w:color w:val="000000" w:themeColor="text1"/>
          <w:sz w:val="22"/>
          <w:szCs w:val="22"/>
        </w:rPr>
        <w:t>However,</w:t>
      </w:r>
      <w:r>
        <w:rPr>
          <w:rFonts w:ascii="Trebuchet MS" w:hAnsi="Trebuchet MS"/>
          <w:color w:val="000000" w:themeColor="text1"/>
          <w:sz w:val="22"/>
          <w:szCs w:val="22"/>
        </w:rPr>
        <w:t xml:space="preserve"> given the </w:t>
      </w:r>
      <w:r w:rsidR="005679E8">
        <w:rPr>
          <w:rFonts w:ascii="Trebuchet MS" w:hAnsi="Trebuchet MS"/>
          <w:color w:val="000000" w:themeColor="text1"/>
          <w:sz w:val="22"/>
          <w:szCs w:val="22"/>
        </w:rPr>
        <w:t xml:space="preserve">large screening trees and the </w:t>
      </w:r>
      <w:r>
        <w:rPr>
          <w:rFonts w:ascii="Trebuchet MS" w:hAnsi="Trebuchet MS"/>
          <w:color w:val="000000" w:themeColor="text1"/>
          <w:sz w:val="22"/>
          <w:szCs w:val="22"/>
        </w:rPr>
        <w:t>set back of the location of the signage from both Queens Road and the majo</w:t>
      </w:r>
      <w:r w:rsidR="005679E8">
        <w:rPr>
          <w:rFonts w:ascii="Trebuchet MS" w:hAnsi="Trebuchet MS"/>
          <w:color w:val="000000" w:themeColor="text1"/>
          <w:sz w:val="22"/>
          <w:szCs w:val="22"/>
        </w:rPr>
        <w:t>r</w:t>
      </w:r>
      <w:r>
        <w:rPr>
          <w:rFonts w:ascii="Trebuchet MS" w:hAnsi="Trebuchet MS"/>
          <w:color w:val="000000" w:themeColor="text1"/>
          <w:sz w:val="22"/>
          <w:szCs w:val="22"/>
        </w:rPr>
        <w:t xml:space="preserve"> traffic junction of Queens Road and London Street</w:t>
      </w:r>
      <w:r w:rsidR="005679E8">
        <w:rPr>
          <w:rFonts w:ascii="Trebuchet MS" w:hAnsi="Trebuchet MS"/>
          <w:color w:val="000000" w:themeColor="text1"/>
          <w:sz w:val="22"/>
          <w:szCs w:val="22"/>
        </w:rPr>
        <w:t xml:space="preserve">, and given the large scale of Queens Road, the application property and the properties within whose context the sign will be read, in comparison to the relatively small size of the proposed banner, it is considered that the proposed signage would have limited impact on the visual character of the area. </w:t>
      </w:r>
      <w:r w:rsidR="003D79C0">
        <w:rPr>
          <w:rFonts w:ascii="Trebuchet MS" w:hAnsi="Trebuchet MS"/>
          <w:color w:val="000000" w:themeColor="text1"/>
          <w:sz w:val="22"/>
          <w:szCs w:val="22"/>
        </w:rPr>
        <w:t xml:space="preserve">It is considered that this high level banner sign </w:t>
      </w:r>
      <w:r w:rsidR="003D79C0" w:rsidRPr="003D79C0">
        <w:rPr>
          <w:rFonts w:ascii="Trebuchet MS" w:hAnsi="Trebuchet MS"/>
          <w:color w:val="000000" w:themeColor="text1"/>
          <w:sz w:val="22"/>
          <w:szCs w:val="22"/>
        </w:rPr>
        <w:t>is</w:t>
      </w:r>
      <w:r w:rsidR="003D79C0" w:rsidRPr="003D79C0">
        <w:rPr>
          <w:rFonts w:ascii="Trebuchet MS" w:hAnsi="Trebuchet MS"/>
          <w:color w:val="000000"/>
          <w:sz w:val="22"/>
          <w:szCs w:val="22"/>
        </w:rPr>
        <w:t xml:space="preserve"> no more harmful to the character of the building and the surrounding area than other signage within close proximity, (such as on the neighbouring Central point and on the Oracle car park)</w:t>
      </w:r>
      <w:r w:rsidR="003D79C0">
        <w:rPr>
          <w:rFonts w:ascii="Trebuchet MS" w:hAnsi="Trebuchet MS"/>
          <w:color w:val="000000"/>
          <w:sz w:val="22"/>
          <w:szCs w:val="22"/>
        </w:rPr>
        <w:t>.</w:t>
      </w:r>
      <w:r w:rsidR="003D79C0" w:rsidRPr="003D79C0">
        <w:rPr>
          <w:rFonts w:ascii="Trebuchet MS" w:hAnsi="Trebuchet MS"/>
          <w:color w:val="000000" w:themeColor="text1"/>
          <w:sz w:val="22"/>
          <w:szCs w:val="22"/>
        </w:rPr>
        <w:t xml:space="preserve"> </w:t>
      </w:r>
      <w:r w:rsidR="003D79C0">
        <w:rPr>
          <w:rFonts w:ascii="Trebuchet MS" w:hAnsi="Trebuchet MS"/>
          <w:color w:val="000000" w:themeColor="text1"/>
          <w:sz w:val="22"/>
          <w:szCs w:val="22"/>
        </w:rPr>
        <w:t>The proposed colouring of the banner is relatively muted and the permission sought is only temporary (</w:t>
      </w:r>
      <w:proofErr w:type="spellStart"/>
      <w:r w:rsidR="003D79C0">
        <w:rPr>
          <w:rFonts w:ascii="Trebuchet MS" w:hAnsi="Trebuchet MS"/>
          <w:color w:val="000000" w:themeColor="text1"/>
          <w:sz w:val="22"/>
          <w:szCs w:val="22"/>
        </w:rPr>
        <w:t>appox</w:t>
      </w:r>
      <w:proofErr w:type="spellEnd"/>
      <w:r w:rsidR="003D79C0">
        <w:rPr>
          <w:rFonts w:ascii="Trebuchet MS" w:hAnsi="Trebuchet MS"/>
          <w:color w:val="000000" w:themeColor="text1"/>
          <w:sz w:val="22"/>
          <w:szCs w:val="22"/>
        </w:rPr>
        <w:t>. 2 years). Given the above and the temporary nature of the signage proposed, it is considered that it would be unreasonable to refuse this banner on harm to the visual amenity of the area.</w:t>
      </w:r>
    </w:p>
    <w:p w:rsidR="003D79C0" w:rsidRDefault="003D79C0" w:rsidP="006771E6">
      <w:pPr>
        <w:pStyle w:val="PlainText"/>
        <w:contextualSpacing/>
        <w:jc w:val="both"/>
        <w:rPr>
          <w:rFonts w:ascii="Trebuchet MS" w:hAnsi="Trebuchet MS"/>
          <w:color w:val="000000" w:themeColor="text1"/>
          <w:sz w:val="22"/>
          <w:szCs w:val="22"/>
        </w:rPr>
      </w:pPr>
    </w:p>
    <w:p w:rsidR="003D79C0" w:rsidRPr="003D79C0" w:rsidRDefault="003D79C0" w:rsidP="006771E6">
      <w:pPr>
        <w:pStyle w:val="PlainText"/>
        <w:contextualSpacing/>
        <w:jc w:val="both"/>
        <w:rPr>
          <w:rFonts w:ascii="Trebuchet MS" w:hAnsi="Trebuchet MS"/>
          <w:color w:val="000000" w:themeColor="text1"/>
          <w:sz w:val="22"/>
          <w:szCs w:val="22"/>
        </w:rPr>
      </w:pPr>
      <w:r>
        <w:rPr>
          <w:rFonts w:ascii="Trebuchet MS" w:hAnsi="Trebuchet MS"/>
          <w:color w:val="000000" w:themeColor="text1"/>
          <w:sz w:val="22"/>
          <w:szCs w:val="22"/>
        </w:rPr>
        <w:t xml:space="preserve">With regards to the three banner signs proposed at ground floor level along the Queens Road frontage of 2 New Century place, the fact that the banner will completely cover a number of windows is contrary to Policy DM22. However, the permission sought here </w:t>
      </w:r>
      <w:r w:rsidR="008F387B">
        <w:rPr>
          <w:rFonts w:ascii="Trebuchet MS" w:hAnsi="Trebuchet MS"/>
          <w:color w:val="000000" w:themeColor="text1"/>
          <w:sz w:val="22"/>
          <w:szCs w:val="22"/>
        </w:rPr>
        <w:t>are</w:t>
      </w:r>
      <w:r>
        <w:rPr>
          <w:rFonts w:ascii="Trebuchet MS" w:hAnsi="Trebuchet MS"/>
          <w:color w:val="000000" w:themeColor="text1"/>
          <w:sz w:val="22"/>
          <w:szCs w:val="22"/>
        </w:rPr>
        <w:t xml:space="preserve"> temporary (for two years) and the agent has stated that the banners are proposed to cover many of the ground floor windows so that the signage will have the added benefit of adding security to the property whilst it under goes the refitting and renovation approved at this property under previous applications (</w:t>
      </w:r>
      <w:r w:rsidRPr="00991575">
        <w:rPr>
          <w:rFonts w:ascii="Trebuchet MS" w:hAnsi="Trebuchet MS"/>
          <w:sz w:val="22"/>
          <w:szCs w:val="22"/>
        </w:rPr>
        <w:t>172271</w:t>
      </w:r>
      <w:r>
        <w:rPr>
          <w:rFonts w:ascii="Trebuchet MS" w:hAnsi="Trebuchet MS"/>
          <w:sz w:val="22"/>
          <w:szCs w:val="22"/>
        </w:rPr>
        <w:t xml:space="preserve">/OPA and </w:t>
      </w:r>
      <w:r w:rsidRPr="00991575">
        <w:rPr>
          <w:rFonts w:ascii="Trebuchet MS" w:hAnsi="Trebuchet MS"/>
          <w:sz w:val="22"/>
          <w:szCs w:val="22"/>
        </w:rPr>
        <w:t>172254</w:t>
      </w:r>
      <w:r>
        <w:rPr>
          <w:rFonts w:ascii="Trebuchet MS" w:hAnsi="Trebuchet MS"/>
          <w:sz w:val="22"/>
          <w:szCs w:val="22"/>
        </w:rPr>
        <w:t>/FUL)</w:t>
      </w:r>
      <w:r w:rsidR="00EC5240">
        <w:rPr>
          <w:rFonts w:ascii="Trebuchet MS" w:hAnsi="Trebuchet MS"/>
          <w:sz w:val="22"/>
          <w:szCs w:val="22"/>
        </w:rPr>
        <w:t>.</w:t>
      </w:r>
      <w:r w:rsidR="008F387B">
        <w:rPr>
          <w:rFonts w:ascii="Trebuchet MS" w:hAnsi="Trebuchet MS"/>
          <w:sz w:val="22"/>
          <w:szCs w:val="22"/>
        </w:rPr>
        <w:t xml:space="preserve"> It is also noted the banners do make an attempt to respect the rhythm of fenestration and proportions of the building, by being three separate banners rather than one longer banner and by specifically leaving the windows under the first and second floor balcony clear. It is therefore considered that, in this instance, and especially considering the temporary nature of the permission sought, that the covering of ground floor windows by the proposed advertisements would be acceptable. With regards to the scale of the proposed advertisements, it is considered that given their temporary nature and the relative scale of Queens Road and the surrounding buildings, that the impact of the signage on the visual character of the area would not be sufficient to warrant refusal of this proposal. The design and colour of the proposed signage is considered acceptable and in keeping with the character of the area.</w:t>
      </w:r>
    </w:p>
    <w:p w:rsidR="005679E8" w:rsidRDefault="005679E8" w:rsidP="006771E6">
      <w:pPr>
        <w:pStyle w:val="PlainText"/>
        <w:contextualSpacing/>
        <w:jc w:val="both"/>
        <w:rPr>
          <w:rFonts w:ascii="Trebuchet MS" w:hAnsi="Trebuchet MS"/>
          <w:sz w:val="22"/>
          <w:szCs w:val="22"/>
          <w:u w:val="single"/>
        </w:rPr>
      </w:pPr>
    </w:p>
    <w:p w:rsidR="006771E6" w:rsidRPr="006771E6" w:rsidRDefault="006771E6" w:rsidP="006771E6">
      <w:pPr>
        <w:pStyle w:val="PlainText"/>
        <w:contextualSpacing/>
        <w:jc w:val="both"/>
        <w:rPr>
          <w:rFonts w:ascii="Trebuchet MS" w:hAnsi="Trebuchet MS"/>
          <w:sz w:val="22"/>
          <w:szCs w:val="22"/>
          <w:u w:val="single"/>
        </w:rPr>
      </w:pPr>
      <w:r w:rsidRPr="006771E6">
        <w:rPr>
          <w:rFonts w:ascii="Trebuchet MS" w:hAnsi="Trebuchet MS"/>
          <w:sz w:val="22"/>
          <w:szCs w:val="22"/>
          <w:u w:val="single"/>
        </w:rPr>
        <w:t xml:space="preserve">Impact on views of nearby heritage assets </w:t>
      </w:r>
    </w:p>
    <w:p w:rsidR="0027053E" w:rsidRDefault="006771E6" w:rsidP="006771E6">
      <w:pPr>
        <w:pStyle w:val="Default"/>
        <w:rPr>
          <w:bCs/>
          <w:iCs/>
          <w:sz w:val="22"/>
          <w:szCs w:val="22"/>
        </w:rPr>
      </w:pPr>
      <w:r>
        <w:rPr>
          <w:sz w:val="22"/>
          <w:szCs w:val="22"/>
        </w:rPr>
        <w:t xml:space="preserve">1 New Century Place sits within the Market Place/London Street Conservation Area and the rear of listed buildings 33 and 35 to 39 London Street face towards the rear of this building. 2 New Century Place, whilst not siting within the Conservation Area is adjacent to it and also adjacent to the Listed Buildings of Queens Crescent. </w:t>
      </w:r>
      <w:proofErr w:type="gramStart"/>
      <w:r w:rsidRPr="006771E6">
        <w:rPr>
          <w:color w:val="000000" w:themeColor="text1"/>
          <w:sz w:val="22"/>
          <w:szCs w:val="22"/>
        </w:rPr>
        <w:t>Policy</w:t>
      </w:r>
      <w:r w:rsidRPr="006A79D6">
        <w:rPr>
          <w:color w:val="000000" w:themeColor="text1"/>
          <w:sz w:val="22"/>
          <w:szCs w:val="22"/>
        </w:rPr>
        <w:t xml:space="preserve"> DM22 of the Sites and Detailed Policy Document 2012 (altered 2015)</w:t>
      </w:r>
      <w:r w:rsidR="001044FB">
        <w:rPr>
          <w:color w:val="000000" w:themeColor="text1"/>
          <w:sz w:val="22"/>
          <w:szCs w:val="22"/>
        </w:rPr>
        <w:t>,</w:t>
      </w:r>
      <w:r w:rsidRPr="006A79D6">
        <w:rPr>
          <w:color w:val="000000" w:themeColor="text1"/>
          <w:sz w:val="22"/>
          <w:szCs w:val="22"/>
        </w:rPr>
        <w:t xml:space="preserve"> </w:t>
      </w:r>
      <w:r w:rsidRPr="006771E6">
        <w:rPr>
          <w:color w:val="000000" w:themeColor="text1"/>
          <w:sz w:val="22"/>
          <w:szCs w:val="22"/>
        </w:rPr>
        <w:t>states that a</w:t>
      </w:r>
      <w:r w:rsidRPr="006771E6">
        <w:rPr>
          <w:bCs/>
          <w:iCs/>
          <w:sz w:val="22"/>
          <w:szCs w:val="22"/>
        </w:rPr>
        <w:t xml:space="preserve">dvertisements on listed buildings or in Conservation Areas </w:t>
      </w:r>
      <w:r>
        <w:rPr>
          <w:bCs/>
          <w:iCs/>
          <w:sz w:val="22"/>
          <w:szCs w:val="22"/>
        </w:rPr>
        <w:t xml:space="preserve">should </w:t>
      </w:r>
      <w:r w:rsidRPr="006771E6">
        <w:rPr>
          <w:bCs/>
          <w:iCs/>
          <w:sz w:val="22"/>
          <w:szCs w:val="22"/>
        </w:rPr>
        <w:t>respect or enhance the building or area, and respect the key</w:t>
      </w:r>
      <w:r w:rsidR="008F387B">
        <w:rPr>
          <w:bCs/>
          <w:iCs/>
          <w:sz w:val="22"/>
          <w:szCs w:val="22"/>
        </w:rPr>
        <w:t xml:space="preserve"> features of the historic asset.</w:t>
      </w:r>
      <w:proofErr w:type="gramEnd"/>
    </w:p>
    <w:p w:rsidR="008F387B" w:rsidRDefault="008F387B" w:rsidP="006771E6">
      <w:pPr>
        <w:pStyle w:val="Default"/>
        <w:rPr>
          <w:bCs/>
          <w:iCs/>
          <w:sz w:val="22"/>
          <w:szCs w:val="22"/>
        </w:rPr>
      </w:pPr>
    </w:p>
    <w:p w:rsidR="008F387B" w:rsidRDefault="008F387B" w:rsidP="006771E6">
      <w:pPr>
        <w:pStyle w:val="Default"/>
        <w:rPr>
          <w:bCs/>
          <w:iCs/>
          <w:sz w:val="22"/>
          <w:szCs w:val="22"/>
        </w:rPr>
      </w:pPr>
      <w:r>
        <w:rPr>
          <w:bCs/>
          <w:iCs/>
          <w:sz w:val="22"/>
          <w:szCs w:val="22"/>
        </w:rPr>
        <w:t>With regards to the high level sign proposed at 1 New Century Place</w:t>
      </w:r>
      <w:r w:rsidR="001044FB">
        <w:rPr>
          <w:bCs/>
          <w:iCs/>
          <w:sz w:val="22"/>
          <w:szCs w:val="22"/>
        </w:rPr>
        <w:t>, although it is within the Market Place/London Street Conservation Area, it is not situated in a particularly sensitive part of the Conservation Area. Given this location, the screening of the large trees to the front of the property and the fairly understated design of the sign is it felt that the banner will not impact on any significant views of the Conservation area. It is not considered that the setting of the nearby Listed buildings will be adversely affected either, given that these properties are located to the rear of 1 New Century Place (the other side to the proposed signage) and it is the rear of these properties rather than the more sensitive frontages which face towards the application property.</w:t>
      </w:r>
    </w:p>
    <w:p w:rsidR="008F387B" w:rsidRDefault="008F387B" w:rsidP="006771E6">
      <w:pPr>
        <w:pStyle w:val="Default"/>
        <w:rPr>
          <w:bCs/>
          <w:iCs/>
          <w:sz w:val="22"/>
          <w:szCs w:val="22"/>
        </w:rPr>
      </w:pPr>
    </w:p>
    <w:p w:rsidR="008F387B" w:rsidRPr="006771E6" w:rsidRDefault="008F387B" w:rsidP="006771E6">
      <w:pPr>
        <w:pStyle w:val="Default"/>
        <w:rPr>
          <w:sz w:val="22"/>
          <w:szCs w:val="22"/>
        </w:rPr>
      </w:pPr>
      <w:r>
        <w:rPr>
          <w:bCs/>
          <w:iCs/>
          <w:sz w:val="22"/>
          <w:szCs w:val="22"/>
        </w:rPr>
        <w:t>With regards to the three proposed at ground level along the Queens Road frontage of 2 New Century Place</w:t>
      </w:r>
      <w:r w:rsidR="001044FB">
        <w:rPr>
          <w:bCs/>
          <w:iCs/>
          <w:sz w:val="22"/>
          <w:szCs w:val="22"/>
        </w:rPr>
        <w:t xml:space="preserve">, it is considered that by virtue of their scale, they will have some impact on the setting of the </w:t>
      </w:r>
      <w:r w:rsidR="006B1175">
        <w:rPr>
          <w:bCs/>
          <w:iCs/>
          <w:sz w:val="22"/>
          <w:szCs w:val="22"/>
        </w:rPr>
        <w:t>l</w:t>
      </w:r>
      <w:r w:rsidR="001044FB">
        <w:rPr>
          <w:bCs/>
          <w:iCs/>
          <w:sz w:val="22"/>
          <w:szCs w:val="22"/>
        </w:rPr>
        <w:t xml:space="preserve">isted </w:t>
      </w:r>
      <w:r w:rsidR="006B1175">
        <w:rPr>
          <w:bCs/>
          <w:iCs/>
          <w:sz w:val="22"/>
          <w:szCs w:val="22"/>
        </w:rPr>
        <w:t>b</w:t>
      </w:r>
      <w:r w:rsidR="001044FB">
        <w:rPr>
          <w:bCs/>
          <w:iCs/>
          <w:sz w:val="22"/>
          <w:szCs w:val="22"/>
        </w:rPr>
        <w:t xml:space="preserve">uildings of Queens Crescent. However, given the temporary nature of the consent sought (approx. 2 years), </w:t>
      </w:r>
      <w:r w:rsidR="006B1175">
        <w:rPr>
          <w:bCs/>
          <w:iCs/>
          <w:sz w:val="22"/>
          <w:szCs w:val="22"/>
        </w:rPr>
        <w:t>the</w:t>
      </w:r>
      <w:r w:rsidR="006B7D6D">
        <w:rPr>
          <w:bCs/>
          <w:iCs/>
          <w:sz w:val="22"/>
          <w:szCs w:val="22"/>
        </w:rPr>
        <w:t xml:space="preserve"> significant</w:t>
      </w:r>
      <w:r w:rsidR="006B1175">
        <w:rPr>
          <w:bCs/>
          <w:iCs/>
          <w:sz w:val="22"/>
          <w:szCs w:val="22"/>
        </w:rPr>
        <w:t xml:space="preserve"> gap which separates the modern 2 New Century Place from the listed buildings of Queens Crescent </w:t>
      </w:r>
      <w:r w:rsidR="006B7D6D">
        <w:rPr>
          <w:bCs/>
          <w:iCs/>
          <w:sz w:val="22"/>
          <w:szCs w:val="22"/>
        </w:rPr>
        <w:t xml:space="preserve">and </w:t>
      </w:r>
      <w:r w:rsidR="006B1175">
        <w:rPr>
          <w:bCs/>
          <w:iCs/>
          <w:sz w:val="22"/>
          <w:szCs w:val="22"/>
        </w:rPr>
        <w:t xml:space="preserve">the fact that </w:t>
      </w:r>
      <w:r w:rsidR="006B7D6D">
        <w:rPr>
          <w:bCs/>
          <w:iCs/>
          <w:sz w:val="22"/>
          <w:szCs w:val="22"/>
        </w:rPr>
        <w:t xml:space="preserve">the banners </w:t>
      </w:r>
      <w:r w:rsidR="006B1175">
        <w:rPr>
          <w:bCs/>
          <w:iCs/>
          <w:sz w:val="22"/>
          <w:szCs w:val="22"/>
        </w:rPr>
        <w:t>will be non-illuminated, will have a slim profile</w:t>
      </w:r>
      <w:r w:rsidR="001044FB">
        <w:rPr>
          <w:bCs/>
          <w:iCs/>
          <w:sz w:val="22"/>
          <w:szCs w:val="22"/>
        </w:rPr>
        <w:t xml:space="preserve"> and </w:t>
      </w:r>
      <w:r w:rsidR="006B1175">
        <w:rPr>
          <w:bCs/>
          <w:iCs/>
          <w:sz w:val="22"/>
          <w:szCs w:val="22"/>
        </w:rPr>
        <w:t>have</w:t>
      </w:r>
      <w:r w:rsidR="001044FB">
        <w:rPr>
          <w:bCs/>
          <w:iCs/>
          <w:sz w:val="22"/>
          <w:szCs w:val="22"/>
        </w:rPr>
        <w:t xml:space="preserve"> relatively understated colouring</w:t>
      </w:r>
      <w:r w:rsidR="006B1175">
        <w:rPr>
          <w:bCs/>
          <w:iCs/>
          <w:sz w:val="22"/>
          <w:szCs w:val="22"/>
        </w:rPr>
        <w:t xml:space="preserve">, it is considered that </w:t>
      </w:r>
      <w:r w:rsidR="006B7D6D">
        <w:rPr>
          <w:bCs/>
          <w:iCs/>
          <w:sz w:val="22"/>
          <w:szCs w:val="22"/>
        </w:rPr>
        <w:t>there would be no significant harm to the setting of these listed buildings and on this occasion the proposed signage would be considered acceptable.</w:t>
      </w:r>
    </w:p>
    <w:p w:rsidR="006771E6" w:rsidRPr="006771E6" w:rsidRDefault="006771E6" w:rsidP="0027053E">
      <w:pPr>
        <w:jc w:val="both"/>
        <w:rPr>
          <w:rFonts w:ascii="Trebuchet MS" w:hAnsi="Trebuchet MS"/>
          <w:sz w:val="22"/>
          <w:szCs w:val="22"/>
        </w:rPr>
      </w:pPr>
    </w:p>
    <w:p w:rsidR="0027053E" w:rsidRPr="006771E6" w:rsidRDefault="0027053E" w:rsidP="0027053E">
      <w:pPr>
        <w:autoSpaceDE w:val="0"/>
        <w:autoSpaceDN w:val="0"/>
        <w:adjustRightInd w:val="0"/>
        <w:jc w:val="both"/>
        <w:rPr>
          <w:rFonts w:ascii="Trebuchet MS" w:hAnsi="Trebuchet MS"/>
          <w:sz w:val="22"/>
          <w:szCs w:val="22"/>
          <w:u w:val="single"/>
        </w:rPr>
      </w:pPr>
      <w:r w:rsidRPr="006771E6">
        <w:rPr>
          <w:rFonts w:ascii="Trebuchet MS" w:hAnsi="Trebuchet MS"/>
          <w:sz w:val="22"/>
          <w:szCs w:val="22"/>
          <w:u w:val="single"/>
        </w:rPr>
        <w:t>Public Safety</w:t>
      </w:r>
    </w:p>
    <w:p w:rsidR="00625419" w:rsidRDefault="00625419" w:rsidP="00625419">
      <w:pPr>
        <w:pStyle w:val="PlainText"/>
        <w:contextualSpacing/>
        <w:jc w:val="both"/>
        <w:rPr>
          <w:rFonts w:ascii="Trebuchet MS" w:hAnsi="Trebuchet MS"/>
          <w:color w:val="000000"/>
          <w:sz w:val="22"/>
          <w:szCs w:val="22"/>
        </w:rPr>
      </w:pPr>
      <w:r w:rsidRPr="006771E6">
        <w:rPr>
          <w:rFonts w:ascii="Trebuchet MS" w:hAnsi="Trebuchet MS"/>
          <w:color w:val="000000"/>
          <w:sz w:val="22"/>
          <w:szCs w:val="22"/>
        </w:rPr>
        <w:t>The proposed advertisements are located in positions that would not cause a physical</w:t>
      </w:r>
      <w:r w:rsidRPr="00625419">
        <w:rPr>
          <w:rFonts w:ascii="Trebuchet MS" w:hAnsi="Trebuchet MS"/>
          <w:color w:val="000000"/>
          <w:sz w:val="22"/>
          <w:szCs w:val="22"/>
        </w:rPr>
        <w:t xml:space="preserve"> obstruction to members of the public using the highway. The </w:t>
      </w:r>
      <w:r>
        <w:rPr>
          <w:rFonts w:ascii="Trebuchet MS" w:hAnsi="Trebuchet MS"/>
          <w:color w:val="000000"/>
          <w:sz w:val="22"/>
          <w:szCs w:val="22"/>
        </w:rPr>
        <w:t>proposed advertisements are</w:t>
      </w:r>
      <w:r w:rsidRPr="00625419">
        <w:rPr>
          <w:rFonts w:ascii="Trebuchet MS" w:hAnsi="Trebuchet MS"/>
          <w:color w:val="000000"/>
          <w:sz w:val="22"/>
          <w:szCs w:val="22"/>
        </w:rPr>
        <w:t xml:space="preserve"> also to be non-illuminated and static. As such the proposal is considered to be acceptable in public safety terms in accordance with DM12: Access, Traffic and Highway-Related Matters of the Sites and Detailed Policies Document (2012).</w:t>
      </w:r>
    </w:p>
    <w:p w:rsidR="0027053E" w:rsidRPr="0027053E" w:rsidRDefault="0027053E" w:rsidP="0027053E">
      <w:pPr>
        <w:rPr>
          <w:rFonts w:ascii="Trebuchet MS" w:hAnsi="Trebuchet MS"/>
          <w:color w:val="000000"/>
          <w:sz w:val="22"/>
          <w:szCs w:val="22"/>
          <w:highlight w:val="yellow"/>
        </w:rPr>
      </w:pPr>
    </w:p>
    <w:p w:rsidR="0027053E" w:rsidRPr="006B7D6D" w:rsidRDefault="0027053E" w:rsidP="0027053E">
      <w:pPr>
        <w:autoSpaceDE w:val="0"/>
        <w:autoSpaceDN w:val="0"/>
        <w:adjustRightInd w:val="0"/>
        <w:jc w:val="both"/>
        <w:rPr>
          <w:rFonts w:ascii="Trebuchet MS" w:hAnsi="Trebuchet MS"/>
          <w:sz w:val="22"/>
          <w:szCs w:val="22"/>
          <w:u w:val="single"/>
        </w:rPr>
      </w:pPr>
      <w:r w:rsidRPr="006B7D6D">
        <w:rPr>
          <w:rFonts w:ascii="Trebuchet MS" w:hAnsi="Trebuchet MS"/>
          <w:sz w:val="22"/>
          <w:szCs w:val="22"/>
        </w:rPr>
        <w:t xml:space="preserve">11. </w:t>
      </w:r>
      <w:r w:rsidRPr="006B7D6D">
        <w:rPr>
          <w:rFonts w:ascii="Trebuchet MS" w:hAnsi="Trebuchet MS"/>
          <w:sz w:val="22"/>
          <w:szCs w:val="22"/>
          <w:u w:val="single"/>
        </w:rPr>
        <w:t>Conclusion</w:t>
      </w:r>
    </w:p>
    <w:p w:rsidR="006B7D6D" w:rsidRPr="006B7D6D" w:rsidRDefault="006B7D6D" w:rsidP="006B7D6D">
      <w:pPr>
        <w:jc w:val="both"/>
        <w:rPr>
          <w:rFonts w:ascii="Trebuchet MS" w:hAnsi="Trebuchet MS"/>
          <w:color w:val="000000" w:themeColor="text1"/>
          <w:sz w:val="22"/>
          <w:szCs w:val="22"/>
        </w:rPr>
      </w:pPr>
      <w:r w:rsidRPr="006B7D6D">
        <w:rPr>
          <w:rFonts w:ascii="Trebuchet MS" w:hAnsi="Trebuchet MS"/>
          <w:color w:val="000000" w:themeColor="text1"/>
          <w:sz w:val="22"/>
          <w:szCs w:val="22"/>
        </w:rPr>
        <w:t>It is considered that the proposed advertisements are acceptable for the reasons set out above.</w:t>
      </w:r>
    </w:p>
    <w:p w:rsidR="00D04841" w:rsidRPr="006B7D6D" w:rsidRDefault="00D04841" w:rsidP="00D04841">
      <w:pPr>
        <w:pStyle w:val="Default"/>
        <w:rPr>
          <w:sz w:val="22"/>
          <w:szCs w:val="22"/>
        </w:rPr>
      </w:pPr>
    </w:p>
    <w:p w:rsidR="0027053E" w:rsidRPr="0027053E" w:rsidRDefault="0027053E" w:rsidP="0027053E">
      <w:pPr>
        <w:autoSpaceDE w:val="0"/>
        <w:autoSpaceDN w:val="0"/>
        <w:jc w:val="both"/>
        <w:rPr>
          <w:rFonts w:ascii="Trebuchet MS" w:eastAsiaTheme="minorEastAsia" w:hAnsi="Trebuchet MS"/>
          <w:b/>
          <w:bCs/>
          <w:sz w:val="22"/>
          <w:szCs w:val="22"/>
          <w:lang w:eastAsia="en-GB"/>
        </w:rPr>
      </w:pPr>
      <w:r w:rsidRPr="006B7D6D">
        <w:rPr>
          <w:rFonts w:ascii="Trebuchet MS" w:eastAsiaTheme="minorEastAsia" w:hAnsi="Trebuchet MS"/>
          <w:b/>
          <w:bCs/>
          <w:sz w:val="22"/>
          <w:szCs w:val="22"/>
          <w:lang w:eastAsia="en-GB"/>
        </w:rPr>
        <w:t>12. RECOMMENDATION</w:t>
      </w:r>
      <w:r w:rsidRPr="0027053E">
        <w:rPr>
          <w:rFonts w:ascii="Trebuchet MS" w:eastAsiaTheme="minorEastAsia" w:hAnsi="Trebuchet MS"/>
          <w:b/>
          <w:bCs/>
          <w:sz w:val="22"/>
          <w:szCs w:val="22"/>
          <w:lang w:eastAsia="en-GB"/>
        </w:rPr>
        <w:t>:</w:t>
      </w:r>
    </w:p>
    <w:p w:rsidR="0027053E" w:rsidRPr="0027053E" w:rsidRDefault="0027053E" w:rsidP="0027053E">
      <w:pPr>
        <w:autoSpaceDE w:val="0"/>
        <w:autoSpaceDN w:val="0"/>
        <w:ind w:hanging="11"/>
        <w:jc w:val="both"/>
        <w:rPr>
          <w:rFonts w:ascii="Trebuchet MS" w:hAnsi="Trebuchet MS"/>
          <w:bCs/>
          <w:sz w:val="22"/>
          <w:szCs w:val="22"/>
        </w:rPr>
      </w:pPr>
      <w:r w:rsidRPr="0027053E">
        <w:rPr>
          <w:rFonts w:ascii="Trebuchet MS" w:hAnsi="Trebuchet MS"/>
          <w:bCs/>
          <w:sz w:val="22"/>
          <w:szCs w:val="22"/>
        </w:rPr>
        <w:t xml:space="preserve">GRANT advertisement consent </w:t>
      </w:r>
    </w:p>
    <w:p w:rsidR="0027053E" w:rsidRDefault="0027053E" w:rsidP="00D04841">
      <w:pPr>
        <w:pStyle w:val="Default"/>
        <w:rPr>
          <w:sz w:val="23"/>
          <w:szCs w:val="23"/>
        </w:rPr>
      </w:pPr>
    </w:p>
    <w:p w:rsidR="0027053E" w:rsidRPr="0027053E" w:rsidRDefault="0027053E" w:rsidP="0027053E">
      <w:pPr>
        <w:autoSpaceDE w:val="0"/>
        <w:autoSpaceDN w:val="0"/>
        <w:ind w:hanging="11"/>
        <w:jc w:val="both"/>
        <w:rPr>
          <w:rFonts w:ascii="Trebuchet MS" w:eastAsiaTheme="minorEastAsia" w:hAnsi="Trebuchet MS" w:cs="Trebuchet MS"/>
          <w:b/>
          <w:sz w:val="22"/>
          <w:szCs w:val="22"/>
          <w:lang w:eastAsia="en-GB"/>
        </w:rPr>
      </w:pPr>
      <w:r w:rsidRPr="0027053E">
        <w:rPr>
          <w:rFonts w:ascii="Trebuchet MS" w:eastAsiaTheme="minorEastAsia" w:hAnsi="Trebuchet MS" w:cs="Trebuchet MS"/>
          <w:b/>
          <w:sz w:val="22"/>
          <w:szCs w:val="22"/>
          <w:lang w:eastAsia="en-GB"/>
        </w:rPr>
        <w:t>Conditions</w:t>
      </w:r>
    </w:p>
    <w:p w:rsidR="0027053E" w:rsidRPr="0027053E" w:rsidRDefault="0027053E" w:rsidP="0027053E">
      <w:pPr>
        <w:pStyle w:val="ListParagraph"/>
        <w:numPr>
          <w:ilvl w:val="0"/>
          <w:numId w:val="1"/>
        </w:numPr>
        <w:ind w:left="0" w:hanging="426"/>
        <w:jc w:val="both"/>
        <w:rPr>
          <w:rFonts w:ascii="Trebuchet MS" w:hAnsi="Trebuchet MS" w:cs="Arial"/>
          <w:sz w:val="22"/>
          <w:szCs w:val="22"/>
        </w:rPr>
      </w:pPr>
      <w:r w:rsidRPr="0027053E">
        <w:rPr>
          <w:rFonts w:ascii="Trebuchet MS" w:hAnsi="Trebuchet MS" w:cs="Arial"/>
          <w:sz w:val="22"/>
          <w:szCs w:val="22"/>
        </w:rPr>
        <w:t xml:space="preserve">This consent relates to the following drawings only: </w:t>
      </w:r>
    </w:p>
    <w:p w:rsidR="006B7D6D" w:rsidRPr="006B7D6D" w:rsidRDefault="006B7D6D" w:rsidP="006B7D6D">
      <w:pPr>
        <w:pStyle w:val="Default"/>
        <w:rPr>
          <w:sz w:val="23"/>
          <w:szCs w:val="23"/>
        </w:rPr>
      </w:pPr>
      <w:r w:rsidRPr="006B7D6D">
        <w:rPr>
          <w:sz w:val="23"/>
          <w:szCs w:val="23"/>
        </w:rPr>
        <w:t>Drawing No: 16033-0006 – Location Plan</w:t>
      </w:r>
    </w:p>
    <w:p w:rsidR="006B7D6D" w:rsidRPr="006B7D6D" w:rsidRDefault="006B7D6D" w:rsidP="006B7D6D">
      <w:pPr>
        <w:pStyle w:val="Default"/>
        <w:rPr>
          <w:sz w:val="23"/>
          <w:szCs w:val="23"/>
        </w:rPr>
      </w:pPr>
      <w:r w:rsidRPr="006B7D6D">
        <w:rPr>
          <w:sz w:val="23"/>
          <w:szCs w:val="23"/>
        </w:rPr>
        <w:t>Received 26</w:t>
      </w:r>
      <w:r w:rsidRPr="006B7D6D">
        <w:rPr>
          <w:sz w:val="23"/>
          <w:szCs w:val="23"/>
          <w:vertAlign w:val="superscript"/>
        </w:rPr>
        <w:t>th</w:t>
      </w:r>
      <w:r w:rsidRPr="006B7D6D">
        <w:rPr>
          <w:sz w:val="23"/>
          <w:szCs w:val="23"/>
        </w:rPr>
        <w:t xml:space="preserve"> January 2018</w:t>
      </w:r>
    </w:p>
    <w:p w:rsidR="006B7D6D" w:rsidRPr="006B7D6D" w:rsidRDefault="006B7D6D" w:rsidP="006B7D6D">
      <w:pPr>
        <w:pStyle w:val="Default"/>
        <w:rPr>
          <w:sz w:val="23"/>
          <w:szCs w:val="23"/>
        </w:rPr>
      </w:pPr>
      <w:r w:rsidRPr="006B7D6D">
        <w:rPr>
          <w:sz w:val="23"/>
          <w:szCs w:val="23"/>
        </w:rPr>
        <w:t>External Marketing (advertisement details)</w:t>
      </w:r>
    </w:p>
    <w:p w:rsidR="006B7D6D" w:rsidRPr="006B7D6D" w:rsidRDefault="006B7D6D" w:rsidP="006B7D6D">
      <w:pPr>
        <w:pStyle w:val="Default"/>
        <w:rPr>
          <w:sz w:val="23"/>
          <w:szCs w:val="23"/>
        </w:rPr>
      </w:pPr>
      <w:r w:rsidRPr="006B7D6D">
        <w:rPr>
          <w:sz w:val="23"/>
          <w:szCs w:val="23"/>
        </w:rPr>
        <w:t>Received 11</w:t>
      </w:r>
      <w:r w:rsidRPr="006B7D6D">
        <w:rPr>
          <w:sz w:val="23"/>
          <w:szCs w:val="23"/>
          <w:vertAlign w:val="superscript"/>
        </w:rPr>
        <w:t>th</w:t>
      </w:r>
      <w:r w:rsidRPr="006B7D6D">
        <w:rPr>
          <w:sz w:val="23"/>
          <w:szCs w:val="23"/>
        </w:rPr>
        <w:t xml:space="preserve"> April 2018</w:t>
      </w:r>
    </w:p>
    <w:p w:rsidR="006B7D6D" w:rsidRPr="006B7D6D" w:rsidRDefault="006B7D6D" w:rsidP="006B7D6D">
      <w:pPr>
        <w:pStyle w:val="Default"/>
        <w:rPr>
          <w:sz w:val="23"/>
          <w:szCs w:val="23"/>
        </w:rPr>
      </w:pPr>
      <w:r w:rsidRPr="006B7D6D">
        <w:rPr>
          <w:sz w:val="23"/>
          <w:szCs w:val="23"/>
        </w:rPr>
        <w:t xml:space="preserve">Drawing No: 16033-0006 </w:t>
      </w:r>
      <w:proofErr w:type="gramStart"/>
      <w:r w:rsidRPr="006B7D6D">
        <w:rPr>
          <w:sz w:val="23"/>
          <w:szCs w:val="23"/>
        </w:rPr>
        <w:t>rev</w:t>
      </w:r>
      <w:proofErr w:type="gramEnd"/>
      <w:r w:rsidRPr="006B7D6D">
        <w:rPr>
          <w:sz w:val="23"/>
          <w:szCs w:val="23"/>
        </w:rPr>
        <w:t xml:space="preserve"> A - Plan</w:t>
      </w:r>
    </w:p>
    <w:p w:rsidR="006B7D6D" w:rsidRDefault="006B7D6D" w:rsidP="006B7D6D">
      <w:pPr>
        <w:pStyle w:val="Default"/>
        <w:rPr>
          <w:sz w:val="23"/>
          <w:szCs w:val="23"/>
        </w:rPr>
      </w:pPr>
      <w:r w:rsidRPr="006B7D6D">
        <w:rPr>
          <w:sz w:val="23"/>
          <w:szCs w:val="23"/>
        </w:rPr>
        <w:t>Received 16</w:t>
      </w:r>
      <w:r w:rsidRPr="006B7D6D">
        <w:rPr>
          <w:sz w:val="23"/>
          <w:szCs w:val="23"/>
          <w:vertAlign w:val="superscript"/>
        </w:rPr>
        <w:t>th</w:t>
      </w:r>
      <w:r w:rsidRPr="006B7D6D">
        <w:rPr>
          <w:sz w:val="23"/>
          <w:szCs w:val="23"/>
        </w:rPr>
        <w:t xml:space="preserve"> April 2018</w:t>
      </w:r>
    </w:p>
    <w:p w:rsidR="0027053E" w:rsidRPr="0027053E" w:rsidRDefault="0027053E" w:rsidP="0027053E">
      <w:pPr>
        <w:pStyle w:val="ListParagraph"/>
        <w:jc w:val="both"/>
        <w:rPr>
          <w:rFonts w:ascii="Trebuchet MS" w:hAnsi="Trebuchet MS"/>
          <w:sz w:val="22"/>
          <w:szCs w:val="22"/>
        </w:rPr>
      </w:pPr>
    </w:p>
    <w:p w:rsidR="0027053E" w:rsidRPr="0027053E" w:rsidRDefault="0027053E" w:rsidP="0027053E">
      <w:pPr>
        <w:jc w:val="both"/>
        <w:rPr>
          <w:rFonts w:ascii="Trebuchet MS" w:hAnsi="Trebuchet MS" w:cs="Arial"/>
          <w:sz w:val="22"/>
          <w:szCs w:val="22"/>
        </w:rPr>
      </w:pPr>
      <w:r w:rsidRPr="0027053E">
        <w:rPr>
          <w:rFonts w:ascii="Trebuchet MS" w:hAnsi="Trebuchet MS" w:cs="Arial"/>
          <w:sz w:val="22"/>
          <w:szCs w:val="22"/>
        </w:rPr>
        <w:t xml:space="preserve">Reason: For the avoidance of doubt and to clarify which drawings are </w:t>
      </w:r>
      <w:proofErr w:type="gramStart"/>
      <w:r w:rsidRPr="0027053E">
        <w:rPr>
          <w:rFonts w:ascii="Trebuchet MS" w:hAnsi="Trebuchet MS" w:cs="Arial"/>
          <w:sz w:val="22"/>
          <w:szCs w:val="22"/>
        </w:rPr>
        <w:t>approved.</w:t>
      </w:r>
      <w:proofErr w:type="gramEnd"/>
      <w:r w:rsidRPr="0027053E">
        <w:rPr>
          <w:rFonts w:ascii="Trebuchet MS" w:hAnsi="Trebuchet MS" w:cs="Arial"/>
          <w:sz w:val="22"/>
          <w:szCs w:val="22"/>
        </w:rPr>
        <w:t xml:space="preserve"> </w:t>
      </w:r>
    </w:p>
    <w:p w:rsidR="0027053E" w:rsidRPr="0027053E" w:rsidRDefault="0027053E" w:rsidP="0027053E">
      <w:pPr>
        <w:pStyle w:val="ListParagraph"/>
        <w:ind w:left="284"/>
        <w:jc w:val="both"/>
        <w:rPr>
          <w:rFonts w:ascii="Trebuchet MS" w:hAnsi="Trebuchet MS" w:cs="Arial"/>
          <w:sz w:val="22"/>
          <w:szCs w:val="22"/>
        </w:rPr>
      </w:pPr>
    </w:p>
    <w:p w:rsidR="0027053E" w:rsidRPr="0027053E" w:rsidRDefault="0027053E" w:rsidP="0027053E">
      <w:pPr>
        <w:ind w:hanging="426"/>
        <w:jc w:val="both"/>
        <w:rPr>
          <w:rFonts w:ascii="Trebuchet MS" w:hAnsi="Trebuchet MS" w:cs="Arial"/>
          <w:sz w:val="22"/>
          <w:szCs w:val="22"/>
        </w:rPr>
      </w:pPr>
      <w:r w:rsidRPr="0027053E">
        <w:rPr>
          <w:rFonts w:ascii="Trebuchet MS" w:hAnsi="Trebuchet MS" w:cs="Arial"/>
          <w:sz w:val="22"/>
          <w:szCs w:val="22"/>
        </w:rPr>
        <w:t>2.</w:t>
      </w:r>
      <w:r w:rsidRPr="0027053E">
        <w:rPr>
          <w:rFonts w:ascii="Trebuchet MS" w:hAnsi="Trebuchet MS" w:cs="Arial"/>
          <w:sz w:val="22"/>
          <w:szCs w:val="22"/>
        </w:rPr>
        <w:tab/>
        <w:t xml:space="preserve">The advertisements </w:t>
      </w:r>
      <w:r w:rsidRPr="006B7D6D">
        <w:rPr>
          <w:rFonts w:ascii="Trebuchet MS" w:hAnsi="Trebuchet MS" w:cs="Arial"/>
          <w:sz w:val="22"/>
          <w:szCs w:val="22"/>
        </w:rPr>
        <w:t xml:space="preserve">hereby approved are to be removed on or before </w:t>
      </w:r>
      <w:r w:rsidR="006B7D6D" w:rsidRPr="006B7D6D">
        <w:rPr>
          <w:rFonts w:ascii="Trebuchet MS" w:hAnsi="Trebuchet MS" w:cs="Arial"/>
          <w:sz w:val="22"/>
          <w:szCs w:val="22"/>
        </w:rPr>
        <w:t>1st</w:t>
      </w:r>
      <w:r w:rsidRPr="006B7D6D">
        <w:rPr>
          <w:rFonts w:ascii="Trebuchet MS" w:hAnsi="Trebuchet MS" w:cs="Arial"/>
          <w:sz w:val="22"/>
          <w:szCs w:val="22"/>
        </w:rPr>
        <w:t xml:space="preserve"> March 20</w:t>
      </w:r>
      <w:r w:rsidR="006B7D6D" w:rsidRPr="006B7D6D">
        <w:rPr>
          <w:rFonts w:ascii="Trebuchet MS" w:hAnsi="Trebuchet MS" w:cs="Arial"/>
          <w:sz w:val="22"/>
          <w:szCs w:val="22"/>
        </w:rPr>
        <w:t>20</w:t>
      </w:r>
      <w:r w:rsidRPr="006B7D6D">
        <w:rPr>
          <w:rFonts w:ascii="Trebuchet MS" w:hAnsi="Trebuchet MS" w:cs="Arial"/>
          <w:sz w:val="22"/>
          <w:szCs w:val="22"/>
        </w:rPr>
        <w:t>.</w:t>
      </w:r>
      <w:r w:rsidRPr="0027053E">
        <w:rPr>
          <w:rFonts w:ascii="Trebuchet MS" w:hAnsi="Trebuchet MS" w:cs="Arial"/>
          <w:sz w:val="22"/>
          <w:szCs w:val="22"/>
        </w:rPr>
        <w:t xml:space="preserve"> </w:t>
      </w:r>
    </w:p>
    <w:p w:rsidR="0027053E" w:rsidRPr="0027053E" w:rsidRDefault="0027053E" w:rsidP="0027053E">
      <w:pPr>
        <w:ind w:hanging="426"/>
        <w:jc w:val="both"/>
        <w:rPr>
          <w:rFonts w:ascii="Trebuchet MS" w:hAnsi="Trebuchet MS" w:cs="Arial"/>
          <w:sz w:val="22"/>
          <w:szCs w:val="22"/>
        </w:rPr>
      </w:pPr>
    </w:p>
    <w:p w:rsidR="0027053E" w:rsidRPr="0027053E" w:rsidRDefault="0027053E" w:rsidP="0027053E">
      <w:pPr>
        <w:jc w:val="both"/>
        <w:rPr>
          <w:rFonts w:ascii="Trebuchet MS" w:hAnsi="Trebuchet MS" w:cs="Arial"/>
          <w:sz w:val="22"/>
          <w:szCs w:val="22"/>
        </w:rPr>
      </w:pPr>
      <w:r w:rsidRPr="0027053E">
        <w:rPr>
          <w:rFonts w:ascii="Trebuchet MS" w:hAnsi="Trebuchet MS" w:cs="Arial"/>
          <w:sz w:val="22"/>
          <w:szCs w:val="22"/>
        </w:rPr>
        <w:t>Reason: In the interests of visual amenity, in accordance with Policy DM22 of the Sites and Detailed Policies Document 2012 (Altered 2015).</w:t>
      </w:r>
    </w:p>
    <w:p w:rsidR="0027053E" w:rsidRPr="0027053E" w:rsidRDefault="0027053E" w:rsidP="0027053E">
      <w:pPr>
        <w:ind w:hanging="426"/>
        <w:jc w:val="both"/>
        <w:rPr>
          <w:rFonts w:ascii="Trebuchet MS" w:hAnsi="Trebuchet MS" w:cs="Arial"/>
          <w:sz w:val="22"/>
          <w:szCs w:val="22"/>
        </w:rPr>
      </w:pPr>
    </w:p>
    <w:p w:rsidR="0027053E" w:rsidRPr="0027053E" w:rsidRDefault="0027053E" w:rsidP="0027053E">
      <w:pPr>
        <w:ind w:hanging="426"/>
        <w:jc w:val="both"/>
        <w:rPr>
          <w:rFonts w:ascii="Trebuchet MS" w:hAnsi="Trebuchet MS" w:cs="Arial"/>
          <w:sz w:val="22"/>
          <w:szCs w:val="22"/>
        </w:rPr>
      </w:pPr>
      <w:r w:rsidRPr="0027053E">
        <w:rPr>
          <w:rFonts w:ascii="Trebuchet MS" w:hAnsi="Trebuchet MS" w:cs="Arial"/>
          <w:sz w:val="22"/>
          <w:szCs w:val="22"/>
        </w:rPr>
        <w:t xml:space="preserve">3. </w:t>
      </w:r>
      <w:r w:rsidRPr="0027053E">
        <w:rPr>
          <w:rFonts w:ascii="Trebuchet MS" w:hAnsi="Trebuchet MS" w:cs="Arial"/>
          <w:sz w:val="22"/>
          <w:szCs w:val="22"/>
        </w:rPr>
        <w:tab/>
        <w:t xml:space="preserve">Standard Conditions: </w:t>
      </w:r>
    </w:p>
    <w:p w:rsidR="0027053E" w:rsidRPr="0027053E" w:rsidRDefault="0027053E" w:rsidP="0027053E">
      <w:pPr>
        <w:ind w:left="720"/>
        <w:jc w:val="both"/>
        <w:rPr>
          <w:rFonts w:ascii="Trebuchet MS" w:hAnsi="Trebuchet MS" w:cs="Arial"/>
          <w:sz w:val="22"/>
          <w:szCs w:val="22"/>
        </w:rPr>
      </w:pPr>
      <w:proofErr w:type="spellStart"/>
      <w:r w:rsidRPr="0027053E">
        <w:rPr>
          <w:rFonts w:ascii="Trebuchet MS" w:hAnsi="Trebuchet MS" w:cs="Arial"/>
          <w:sz w:val="22"/>
          <w:szCs w:val="22"/>
        </w:rPr>
        <w:t>i</w:t>
      </w:r>
      <w:proofErr w:type="spellEnd"/>
      <w:r w:rsidRPr="0027053E">
        <w:rPr>
          <w:rFonts w:ascii="Trebuchet MS" w:hAnsi="Trebuchet MS" w:cs="Arial"/>
          <w:sz w:val="22"/>
          <w:szCs w:val="22"/>
        </w:rPr>
        <w:t xml:space="preserve">. No advertisement is to be displayed without the permission of the owner of the site or any other person with an interest in the site entitled to grant permission. </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Reason: In accordance with Schedule 2, Regulation 2(1) of the Town and Country Planning (Control of Advertisements) (England) Regulations 2007. </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ii. No advertisement shall be sited or displayed so as to:</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a) </w:t>
      </w:r>
      <w:proofErr w:type="gramStart"/>
      <w:r w:rsidRPr="0027053E">
        <w:rPr>
          <w:rFonts w:ascii="Trebuchet MS" w:hAnsi="Trebuchet MS" w:cs="Arial"/>
          <w:sz w:val="22"/>
          <w:szCs w:val="22"/>
        </w:rPr>
        <w:t>endanger</w:t>
      </w:r>
      <w:proofErr w:type="gramEnd"/>
      <w:r w:rsidRPr="0027053E">
        <w:rPr>
          <w:rFonts w:ascii="Trebuchet MS" w:hAnsi="Trebuchet MS" w:cs="Arial"/>
          <w:sz w:val="22"/>
          <w:szCs w:val="22"/>
        </w:rPr>
        <w:t xml:space="preserve"> persons using any highway, railway, waterway, dock, harbour or aerodrome (civil or military);</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b) </w:t>
      </w:r>
      <w:proofErr w:type="gramStart"/>
      <w:r w:rsidRPr="0027053E">
        <w:rPr>
          <w:rFonts w:ascii="Trebuchet MS" w:hAnsi="Trebuchet MS" w:cs="Arial"/>
          <w:sz w:val="22"/>
          <w:szCs w:val="22"/>
        </w:rPr>
        <w:t>obscure</w:t>
      </w:r>
      <w:proofErr w:type="gramEnd"/>
      <w:r w:rsidRPr="0027053E">
        <w:rPr>
          <w:rFonts w:ascii="Trebuchet MS" w:hAnsi="Trebuchet MS" w:cs="Arial"/>
          <w:sz w:val="22"/>
          <w:szCs w:val="22"/>
        </w:rPr>
        <w:t>, or hinder the ready interpretation of, any traffic sign, railway signal or aid to navigation by water or air; or</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c) </w:t>
      </w:r>
      <w:proofErr w:type="gramStart"/>
      <w:r w:rsidRPr="0027053E">
        <w:rPr>
          <w:rFonts w:ascii="Trebuchet MS" w:hAnsi="Trebuchet MS" w:cs="Arial"/>
          <w:sz w:val="22"/>
          <w:szCs w:val="22"/>
        </w:rPr>
        <w:t>hinder</w:t>
      </w:r>
      <w:proofErr w:type="gramEnd"/>
      <w:r w:rsidRPr="0027053E">
        <w:rPr>
          <w:rFonts w:ascii="Trebuchet MS" w:hAnsi="Trebuchet MS" w:cs="Arial"/>
          <w:sz w:val="22"/>
          <w:szCs w:val="22"/>
        </w:rPr>
        <w:t xml:space="preserve"> the operation of any device used for the purpose of security or surveillance or for measuring the speed of any vehicle. </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Reason: in accordance with Schedule 2, Regulation 2(1) of the Town and Country Planning (Control of Advertisements) (England) Regulations 2007. </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iii. Any advertisement displayed, and any site used for the display of advertisements, shall be maintained in a condition that does not impair the visual amenity of the site. </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Reason: In accordance with Schedule 2, Regulation 2(1) of the Town and Country Planning (Control of Advertisements) (England) Regulations 2007. </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iv. Any structure or hoarding erected or used principally for the purpose of displaying advertisements shall be maintained in a condition that does not endanger the public. </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Reason: In accordance with Schedule 2, Regulation 2(1) of the Town and Country Planning (Control of Advertisements) (England) Regulations 2007. </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v. Where an advertisement is required under these Regulations to be removed, the site shall be left in a condition that does not endanger the public or impair visual amenity. </w:t>
      </w:r>
    </w:p>
    <w:p w:rsidR="0027053E" w:rsidRPr="0027053E" w:rsidRDefault="0027053E" w:rsidP="0027053E">
      <w:pPr>
        <w:ind w:left="720"/>
        <w:jc w:val="both"/>
        <w:rPr>
          <w:rFonts w:ascii="Trebuchet MS" w:hAnsi="Trebuchet MS" w:cs="Arial"/>
          <w:sz w:val="22"/>
          <w:szCs w:val="22"/>
        </w:rPr>
      </w:pPr>
      <w:r w:rsidRPr="0027053E">
        <w:rPr>
          <w:rFonts w:ascii="Trebuchet MS" w:hAnsi="Trebuchet MS" w:cs="Arial"/>
          <w:sz w:val="22"/>
          <w:szCs w:val="22"/>
        </w:rPr>
        <w:t xml:space="preserve">Reason: In accordance with Schedule 2, Regulation 2(1) of the Town and Country Planning (Control of Advertisements) (England) Regulations 2007. </w:t>
      </w:r>
    </w:p>
    <w:p w:rsidR="0027053E" w:rsidRDefault="0027053E" w:rsidP="0027053E">
      <w:pPr>
        <w:ind w:left="720"/>
        <w:jc w:val="both"/>
        <w:rPr>
          <w:rFonts w:ascii="Trebuchet MS" w:hAnsi="Trebuchet MS" w:cs="Arial"/>
          <w:sz w:val="22"/>
          <w:szCs w:val="22"/>
        </w:rPr>
      </w:pPr>
    </w:p>
    <w:p w:rsidR="00244A82" w:rsidRPr="0027053E" w:rsidRDefault="00244A82" w:rsidP="0027053E">
      <w:pPr>
        <w:ind w:left="720"/>
        <w:jc w:val="both"/>
        <w:rPr>
          <w:rFonts w:ascii="Trebuchet MS" w:hAnsi="Trebuchet MS" w:cs="Arial"/>
          <w:sz w:val="22"/>
          <w:szCs w:val="22"/>
        </w:rPr>
      </w:pPr>
    </w:p>
    <w:p w:rsidR="0027053E" w:rsidRPr="0027053E" w:rsidRDefault="0027053E" w:rsidP="0027053E">
      <w:pPr>
        <w:ind w:left="720" w:hanging="720"/>
        <w:jc w:val="both"/>
        <w:rPr>
          <w:rFonts w:ascii="Trebuchet MS" w:hAnsi="Trebuchet MS" w:cs="Arial"/>
          <w:sz w:val="22"/>
          <w:szCs w:val="22"/>
          <w:u w:val="single"/>
        </w:rPr>
      </w:pPr>
      <w:proofErr w:type="spellStart"/>
      <w:r w:rsidRPr="0027053E">
        <w:rPr>
          <w:rFonts w:ascii="Trebuchet MS" w:hAnsi="Trebuchet MS" w:cs="Arial"/>
          <w:sz w:val="22"/>
          <w:szCs w:val="22"/>
          <w:u w:val="single"/>
        </w:rPr>
        <w:t>Informatives</w:t>
      </w:r>
      <w:proofErr w:type="spellEnd"/>
    </w:p>
    <w:p w:rsidR="0027053E" w:rsidRPr="0027053E" w:rsidRDefault="0027053E" w:rsidP="0027053E">
      <w:pPr>
        <w:pStyle w:val="ListParagraph"/>
        <w:numPr>
          <w:ilvl w:val="0"/>
          <w:numId w:val="2"/>
        </w:numPr>
        <w:jc w:val="both"/>
        <w:rPr>
          <w:rFonts w:ascii="Trebuchet MS" w:hAnsi="Trebuchet MS" w:cs="Arial"/>
          <w:sz w:val="22"/>
          <w:szCs w:val="22"/>
        </w:rPr>
      </w:pPr>
      <w:r w:rsidRPr="0027053E">
        <w:rPr>
          <w:rFonts w:ascii="Trebuchet MS" w:hAnsi="Trebuchet MS" w:cs="Arial"/>
          <w:sz w:val="22"/>
          <w:szCs w:val="22"/>
        </w:rPr>
        <w:t>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w:t>
      </w:r>
    </w:p>
    <w:p w:rsidR="0027053E" w:rsidRPr="0027053E" w:rsidRDefault="0027053E" w:rsidP="0027053E">
      <w:pPr>
        <w:pStyle w:val="ListParagraph"/>
        <w:jc w:val="both"/>
        <w:rPr>
          <w:rFonts w:ascii="Trebuchet MS" w:hAnsi="Trebuchet MS" w:cs="Arial"/>
          <w:sz w:val="22"/>
          <w:szCs w:val="22"/>
        </w:rPr>
      </w:pPr>
    </w:p>
    <w:p w:rsidR="0027053E" w:rsidRPr="0027053E" w:rsidRDefault="0027053E" w:rsidP="0027053E">
      <w:pPr>
        <w:pStyle w:val="ListParagraph"/>
        <w:numPr>
          <w:ilvl w:val="0"/>
          <w:numId w:val="2"/>
        </w:numPr>
        <w:jc w:val="both"/>
        <w:rPr>
          <w:rFonts w:ascii="Trebuchet MS" w:hAnsi="Trebuchet MS" w:cs="Arial"/>
          <w:sz w:val="22"/>
          <w:szCs w:val="22"/>
        </w:rPr>
      </w:pPr>
      <w:r w:rsidRPr="0027053E">
        <w:rPr>
          <w:rFonts w:ascii="Trebuchet MS" w:hAnsi="Trebuchet MS" w:cs="Arial"/>
          <w:sz w:val="22"/>
          <w:szCs w:val="22"/>
        </w:rPr>
        <w:t>The decision to grant consent follows the positive and proactive consideration of the issues raised including issuing the decision within the agreed time period.</w:t>
      </w:r>
    </w:p>
    <w:p w:rsidR="0027053E" w:rsidRPr="0027053E" w:rsidRDefault="0027053E" w:rsidP="0027053E">
      <w:pPr>
        <w:pStyle w:val="ListParagraph"/>
        <w:rPr>
          <w:rFonts w:ascii="Trebuchet MS" w:hAnsi="Trebuchet MS" w:cs="Arial"/>
          <w:sz w:val="22"/>
          <w:szCs w:val="22"/>
        </w:rPr>
      </w:pPr>
    </w:p>
    <w:p w:rsidR="0027053E" w:rsidRDefault="0027053E" w:rsidP="0027053E">
      <w:pPr>
        <w:pStyle w:val="ListParagraph"/>
        <w:numPr>
          <w:ilvl w:val="0"/>
          <w:numId w:val="2"/>
        </w:numPr>
        <w:jc w:val="both"/>
        <w:rPr>
          <w:rFonts w:ascii="Trebuchet MS" w:hAnsi="Trebuchet MS" w:cs="Arial"/>
          <w:sz w:val="22"/>
          <w:szCs w:val="22"/>
        </w:rPr>
      </w:pPr>
      <w:r w:rsidRPr="0027053E">
        <w:rPr>
          <w:rFonts w:ascii="Trebuchet MS" w:hAnsi="Trebuchet MS" w:cs="Arial"/>
          <w:sz w:val="22"/>
          <w:szCs w:val="22"/>
        </w:rPr>
        <w:t>These works may require separate approval under the Building Regulations.  Please contact the Council's Building Control service for further advice on (0118) 937 2449.</w:t>
      </w:r>
    </w:p>
    <w:p w:rsidR="006B7D6D" w:rsidRPr="0027053E" w:rsidRDefault="006B7D6D" w:rsidP="00213490">
      <w:pPr>
        <w:pStyle w:val="ListParagraph"/>
        <w:jc w:val="both"/>
        <w:rPr>
          <w:rFonts w:ascii="Trebuchet MS" w:hAnsi="Trebuchet MS" w:cs="Arial"/>
          <w:sz w:val="22"/>
          <w:szCs w:val="22"/>
        </w:rPr>
      </w:pPr>
    </w:p>
    <w:p w:rsidR="006B7D6D" w:rsidRPr="0093052E" w:rsidRDefault="006B7D6D" w:rsidP="006B7D6D">
      <w:pPr>
        <w:pStyle w:val="ListParagraph"/>
        <w:numPr>
          <w:ilvl w:val="0"/>
          <w:numId w:val="2"/>
        </w:numPr>
        <w:jc w:val="both"/>
        <w:rPr>
          <w:rFonts w:ascii="Trebuchet MS" w:hAnsi="Trebuchet MS" w:cs="Arial"/>
          <w:sz w:val="22"/>
          <w:szCs w:val="22"/>
        </w:rPr>
      </w:pPr>
      <w:r>
        <w:rPr>
          <w:rFonts w:ascii="Trebuchet MS" w:hAnsi="Trebuchet MS" w:cs="Arial"/>
          <w:sz w:val="22"/>
          <w:szCs w:val="22"/>
        </w:rPr>
        <w:t xml:space="preserve">Please note that the existing permissions granted at 1 and 2 </w:t>
      </w:r>
      <w:proofErr w:type="gramStart"/>
      <w:r>
        <w:rPr>
          <w:rFonts w:ascii="Trebuchet MS" w:hAnsi="Trebuchet MS" w:cs="Arial"/>
          <w:sz w:val="22"/>
          <w:szCs w:val="22"/>
        </w:rPr>
        <w:t>New</w:t>
      </w:r>
      <w:proofErr w:type="gramEnd"/>
      <w:r>
        <w:rPr>
          <w:rFonts w:ascii="Trebuchet MS" w:hAnsi="Trebuchet MS" w:cs="Arial"/>
          <w:sz w:val="22"/>
          <w:szCs w:val="22"/>
        </w:rPr>
        <w:t xml:space="preserve"> Century Place </w:t>
      </w:r>
      <w:r w:rsidR="00213490">
        <w:rPr>
          <w:rFonts w:ascii="Trebuchet MS" w:hAnsi="Trebuchet MS" w:cs="Arial"/>
          <w:sz w:val="22"/>
          <w:szCs w:val="22"/>
        </w:rPr>
        <w:t xml:space="preserve">(172271 and 172272) </w:t>
      </w:r>
      <w:r>
        <w:rPr>
          <w:rFonts w:ascii="Trebuchet MS" w:hAnsi="Trebuchet MS" w:cs="Arial"/>
          <w:sz w:val="22"/>
          <w:szCs w:val="22"/>
        </w:rPr>
        <w:t>al</w:t>
      </w:r>
      <w:r w:rsidR="00213490">
        <w:rPr>
          <w:rFonts w:ascii="Trebuchet MS" w:hAnsi="Trebuchet MS" w:cs="Arial"/>
          <w:sz w:val="22"/>
          <w:szCs w:val="22"/>
        </w:rPr>
        <w:t>low for a change of use to from Office (B1) to Residential (C3). If you wish to use the properties for student accommodation (as advertised by the signage granted under this consent), this will be considered to constitute a further change of use and will require a separate grant of planning permission.</w:t>
      </w:r>
    </w:p>
    <w:p w:rsidR="0027053E" w:rsidRPr="0027053E" w:rsidRDefault="0027053E" w:rsidP="0027053E">
      <w:pPr>
        <w:pStyle w:val="ListParagraph"/>
        <w:ind w:left="709"/>
        <w:jc w:val="both"/>
        <w:rPr>
          <w:rFonts w:ascii="Trebuchet MS" w:hAnsi="Trebuchet MS" w:cs="Arial"/>
          <w:sz w:val="22"/>
          <w:szCs w:val="22"/>
        </w:rPr>
      </w:pPr>
    </w:p>
    <w:p w:rsidR="0027053E" w:rsidRPr="0027053E" w:rsidRDefault="0027053E" w:rsidP="0027053E">
      <w:pPr>
        <w:pStyle w:val="ListParagraph"/>
        <w:ind w:left="360"/>
        <w:jc w:val="both"/>
        <w:rPr>
          <w:rFonts w:ascii="Trebuchet MS" w:hAnsi="Trebuchet MS"/>
          <w:sz w:val="22"/>
          <w:szCs w:val="22"/>
        </w:rPr>
      </w:pPr>
    </w:p>
    <w:p w:rsidR="0027053E" w:rsidRPr="0027053E" w:rsidRDefault="0027053E" w:rsidP="0027053E">
      <w:pPr>
        <w:rPr>
          <w:sz w:val="22"/>
          <w:szCs w:val="22"/>
        </w:rPr>
      </w:pPr>
    </w:p>
    <w:p w:rsidR="0027053E" w:rsidRPr="0027053E" w:rsidRDefault="0027053E" w:rsidP="0027053E">
      <w:pPr>
        <w:rPr>
          <w:sz w:val="22"/>
          <w:szCs w:val="22"/>
        </w:rPr>
      </w:pPr>
    </w:p>
    <w:p w:rsidR="004443B7" w:rsidRPr="0027053E" w:rsidRDefault="004443B7">
      <w:pPr>
        <w:rPr>
          <w:sz w:val="22"/>
          <w:szCs w:val="22"/>
        </w:rPr>
      </w:pPr>
    </w:p>
    <w:sectPr w:rsidR="004443B7" w:rsidRPr="0027053E"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841" w:rsidRDefault="00D04841" w:rsidP="004E31E0">
      <w:r>
        <w:separator/>
      </w:r>
    </w:p>
  </w:endnote>
  <w:endnote w:type="continuationSeparator" w:id="0">
    <w:p w:rsidR="00D04841" w:rsidRDefault="00D04841"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841" w:rsidRDefault="00D04841" w:rsidP="004E31E0">
      <w:r>
        <w:separator/>
      </w:r>
    </w:p>
  </w:footnote>
  <w:footnote w:type="continuationSeparator" w:id="0">
    <w:p w:rsidR="00D04841" w:rsidRDefault="00D04841"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D4DEB"/>
    <w:multiLevelType w:val="hybridMultilevel"/>
    <w:tmpl w:val="19EA749A"/>
    <w:lvl w:ilvl="0" w:tplc="70D2CC7C">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841"/>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3259"/>
    <w:rsid w:val="000D706C"/>
    <w:rsid w:val="000E0A40"/>
    <w:rsid w:val="000F059F"/>
    <w:rsid w:val="000F1AD2"/>
    <w:rsid w:val="000F36B0"/>
    <w:rsid w:val="001044FB"/>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3490"/>
    <w:rsid w:val="00214DB5"/>
    <w:rsid w:val="00215EEB"/>
    <w:rsid w:val="002208C5"/>
    <w:rsid w:val="00243A26"/>
    <w:rsid w:val="00244A82"/>
    <w:rsid w:val="002641DA"/>
    <w:rsid w:val="00265B73"/>
    <w:rsid w:val="0026697C"/>
    <w:rsid w:val="00266FC7"/>
    <w:rsid w:val="0027053E"/>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D79C0"/>
    <w:rsid w:val="003E5C4D"/>
    <w:rsid w:val="003F2FD3"/>
    <w:rsid w:val="00403969"/>
    <w:rsid w:val="00403EB2"/>
    <w:rsid w:val="00403FE7"/>
    <w:rsid w:val="004066F0"/>
    <w:rsid w:val="00407391"/>
    <w:rsid w:val="00407E21"/>
    <w:rsid w:val="00415104"/>
    <w:rsid w:val="00431FA2"/>
    <w:rsid w:val="00432D29"/>
    <w:rsid w:val="0043305B"/>
    <w:rsid w:val="004345A5"/>
    <w:rsid w:val="004443B7"/>
    <w:rsid w:val="00444DFD"/>
    <w:rsid w:val="0045093C"/>
    <w:rsid w:val="00454CC0"/>
    <w:rsid w:val="004578EF"/>
    <w:rsid w:val="0045793E"/>
    <w:rsid w:val="00460D89"/>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456BA"/>
    <w:rsid w:val="00563012"/>
    <w:rsid w:val="00566087"/>
    <w:rsid w:val="005679E8"/>
    <w:rsid w:val="00567D5A"/>
    <w:rsid w:val="00574BFD"/>
    <w:rsid w:val="00584242"/>
    <w:rsid w:val="00596D06"/>
    <w:rsid w:val="005A08BD"/>
    <w:rsid w:val="005A3777"/>
    <w:rsid w:val="005B0C4E"/>
    <w:rsid w:val="005B5DD8"/>
    <w:rsid w:val="005B6488"/>
    <w:rsid w:val="005C06C8"/>
    <w:rsid w:val="005C1AFA"/>
    <w:rsid w:val="005C23AC"/>
    <w:rsid w:val="005C3C4E"/>
    <w:rsid w:val="005E431E"/>
    <w:rsid w:val="005E5804"/>
    <w:rsid w:val="005F1AB3"/>
    <w:rsid w:val="005F45D4"/>
    <w:rsid w:val="00603B89"/>
    <w:rsid w:val="00625419"/>
    <w:rsid w:val="00632A0D"/>
    <w:rsid w:val="00647314"/>
    <w:rsid w:val="006475AE"/>
    <w:rsid w:val="00650603"/>
    <w:rsid w:val="00657BAD"/>
    <w:rsid w:val="0066041B"/>
    <w:rsid w:val="00676ACC"/>
    <w:rsid w:val="006771E6"/>
    <w:rsid w:val="00677BBD"/>
    <w:rsid w:val="006834E0"/>
    <w:rsid w:val="00683E1D"/>
    <w:rsid w:val="006842ED"/>
    <w:rsid w:val="0069246F"/>
    <w:rsid w:val="00695721"/>
    <w:rsid w:val="006A0806"/>
    <w:rsid w:val="006A5B75"/>
    <w:rsid w:val="006B1175"/>
    <w:rsid w:val="006B7D6D"/>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266"/>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8F387B"/>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9157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961B4"/>
    <w:rsid w:val="00CA0A69"/>
    <w:rsid w:val="00CB3CD8"/>
    <w:rsid w:val="00CB49B8"/>
    <w:rsid w:val="00CC7293"/>
    <w:rsid w:val="00CD4B85"/>
    <w:rsid w:val="00CD6E82"/>
    <w:rsid w:val="00CE042A"/>
    <w:rsid w:val="00CE3106"/>
    <w:rsid w:val="00CE4B18"/>
    <w:rsid w:val="00CF5C08"/>
    <w:rsid w:val="00D03C30"/>
    <w:rsid w:val="00D04841"/>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240"/>
    <w:rsid w:val="00EC5BCA"/>
    <w:rsid w:val="00ED4078"/>
    <w:rsid w:val="00ED7586"/>
    <w:rsid w:val="00EE19DA"/>
    <w:rsid w:val="00EE1DD0"/>
    <w:rsid w:val="00EE4F57"/>
    <w:rsid w:val="00EE59B2"/>
    <w:rsid w:val="00EF514F"/>
    <w:rsid w:val="00EF6BFE"/>
    <w:rsid w:val="00F00206"/>
    <w:rsid w:val="00F00F40"/>
    <w:rsid w:val="00F04742"/>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5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paragraph" w:customStyle="1" w:styleId="Default">
    <w:name w:val="Default"/>
    <w:rsid w:val="00D04841"/>
    <w:pPr>
      <w:autoSpaceDE w:val="0"/>
      <w:autoSpaceDN w:val="0"/>
      <w:adjustRightInd w:val="0"/>
      <w:spacing w:after="0" w:line="240" w:lineRule="auto"/>
    </w:pPr>
    <w:rPr>
      <w:rFonts w:ascii="Trebuchet MS" w:hAnsi="Trebuchet MS" w:cs="Trebuchet MS"/>
      <w:color w:val="000000"/>
      <w:sz w:val="24"/>
      <w:szCs w:val="24"/>
    </w:rPr>
  </w:style>
  <w:style w:type="paragraph" w:styleId="ListParagraph">
    <w:name w:val="List Paragraph"/>
    <w:basedOn w:val="Normal"/>
    <w:uiPriority w:val="34"/>
    <w:qFormat/>
    <w:rsid w:val="00460D89"/>
    <w:pPr>
      <w:autoSpaceDE w:val="0"/>
      <w:autoSpaceDN w:val="0"/>
      <w:ind w:left="720"/>
      <w:contextualSpacing/>
    </w:pPr>
    <w:rPr>
      <w:rFonts w:eastAsiaTheme="minorEastAsia"/>
      <w:sz w:val="20"/>
      <w:szCs w:val="20"/>
      <w:lang w:eastAsia="en-GB"/>
    </w:rPr>
  </w:style>
  <w:style w:type="paragraph" w:customStyle="1" w:styleId="MemoParagraph">
    <w:name w:val="Memo Paragraph"/>
    <w:rsid w:val="00991575"/>
    <w:pPr>
      <w:spacing w:after="0" w:line="240" w:lineRule="auto"/>
    </w:pPr>
    <w:rPr>
      <w:rFonts w:ascii="Trebuchet MS" w:eastAsia="Times New Roman" w:hAnsi="Trebuchet MS" w:cs="Times New Roman"/>
      <w:szCs w:val="20"/>
    </w:rPr>
  </w:style>
  <w:style w:type="paragraph" w:styleId="PlainText">
    <w:name w:val="Plain Text"/>
    <w:basedOn w:val="Normal"/>
    <w:link w:val="PlainTextChar"/>
    <w:rsid w:val="00625419"/>
    <w:rPr>
      <w:rFonts w:ascii="Courier New" w:hAnsi="Courier New" w:cs="Courier New"/>
      <w:sz w:val="20"/>
      <w:szCs w:val="20"/>
      <w:lang w:eastAsia="en-GB"/>
    </w:rPr>
  </w:style>
  <w:style w:type="character" w:customStyle="1" w:styleId="PlainTextChar">
    <w:name w:val="Plain Text Char"/>
    <w:basedOn w:val="DefaultParagraphFont"/>
    <w:link w:val="PlainText"/>
    <w:rsid w:val="00625419"/>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5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paragraph" w:customStyle="1" w:styleId="Default">
    <w:name w:val="Default"/>
    <w:rsid w:val="00D04841"/>
    <w:pPr>
      <w:autoSpaceDE w:val="0"/>
      <w:autoSpaceDN w:val="0"/>
      <w:adjustRightInd w:val="0"/>
      <w:spacing w:after="0" w:line="240" w:lineRule="auto"/>
    </w:pPr>
    <w:rPr>
      <w:rFonts w:ascii="Trebuchet MS" w:hAnsi="Trebuchet MS" w:cs="Trebuchet MS"/>
      <w:color w:val="000000"/>
      <w:sz w:val="24"/>
      <w:szCs w:val="24"/>
    </w:rPr>
  </w:style>
  <w:style w:type="paragraph" w:styleId="ListParagraph">
    <w:name w:val="List Paragraph"/>
    <w:basedOn w:val="Normal"/>
    <w:uiPriority w:val="34"/>
    <w:qFormat/>
    <w:rsid w:val="00460D89"/>
    <w:pPr>
      <w:autoSpaceDE w:val="0"/>
      <w:autoSpaceDN w:val="0"/>
      <w:ind w:left="720"/>
      <w:contextualSpacing/>
    </w:pPr>
    <w:rPr>
      <w:rFonts w:eastAsiaTheme="minorEastAsia"/>
      <w:sz w:val="20"/>
      <w:szCs w:val="20"/>
      <w:lang w:eastAsia="en-GB"/>
    </w:rPr>
  </w:style>
  <w:style w:type="paragraph" w:customStyle="1" w:styleId="MemoParagraph">
    <w:name w:val="Memo Paragraph"/>
    <w:rsid w:val="00991575"/>
    <w:pPr>
      <w:spacing w:after="0" w:line="240" w:lineRule="auto"/>
    </w:pPr>
    <w:rPr>
      <w:rFonts w:ascii="Trebuchet MS" w:eastAsia="Times New Roman" w:hAnsi="Trebuchet MS" w:cs="Times New Roman"/>
      <w:szCs w:val="20"/>
    </w:rPr>
  </w:style>
  <w:style w:type="paragraph" w:styleId="PlainText">
    <w:name w:val="Plain Text"/>
    <w:basedOn w:val="Normal"/>
    <w:link w:val="PlainTextChar"/>
    <w:rsid w:val="00625419"/>
    <w:rPr>
      <w:rFonts w:ascii="Courier New" w:hAnsi="Courier New" w:cs="Courier New"/>
      <w:sz w:val="20"/>
      <w:szCs w:val="20"/>
      <w:lang w:eastAsia="en-GB"/>
    </w:rPr>
  </w:style>
  <w:style w:type="character" w:customStyle="1" w:styleId="PlainTextChar">
    <w:name w:val="Plain Text Char"/>
    <w:basedOn w:val="DefaultParagraphFont"/>
    <w:link w:val="PlainText"/>
    <w:rsid w:val="00625419"/>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6</Pages>
  <Words>2883</Words>
  <Characters>16438</Characters>
  <Application>Microsoft Office Word</Application>
  <DocSecurity>0</DocSecurity>
  <Lines>136</Lines>
  <Paragraphs>38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Reading Borough LDF Core Strategy (2008) (altered 2015)</vt:lpstr>
    </vt:vector>
  </TitlesOfParts>
  <Company>Reading Borough Council</Company>
  <LinksUpToDate>false</LinksUpToDate>
  <CharactersWithSpaces>19283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8</cp:revision>
  <dcterms:created xsi:type="dcterms:W3CDTF">2018-04-12T14:09:00Z</dcterms:created>
  <dcterms:modified xsi:type="dcterms:W3CDTF">2018-04-16T15:23:00Z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2018-04-12T15:54:25Z</vt:filetime>
  </property>
</Properties>
</file>