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A0B28" w:rsidRDefault="00FA1CFE" w:rsidP="006A0B28">
      <w:pPr>
        <w:rPr>
          <w:rFonts w:ascii="Trebuchet MS" w:hAnsi="Trebuchet MS"/>
          <w:b/>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543DE2">
        <w:rPr>
          <w:rFonts w:ascii="Trebuchet MS" w:hAnsi="Trebuchet MS"/>
          <w:b/>
          <w:sz w:val="22"/>
          <w:szCs w:val="22"/>
        </w:rPr>
        <w:t xml:space="preserve">    </w:t>
      </w:r>
      <w:r w:rsidR="00633773" w:rsidRPr="006A0B28">
        <w:rPr>
          <w:rFonts w:ascii="Trebuchet MS" w:hAnsi="Trebuchet MS"/>
          <w:b/>
          <w:sz w:val="22"/>
          <w:szCs w:val="22"/>
        </w:rPr>
        <w:t>Target Date:</w:t>
      </w:r>
      <w:r w:rsidR="00543DE2">
        <w:rPr>
          <w:rFonts w:ascii="Trebuchet MS" w:hAnsi="Trebuchet MS"/>
          <w:b/>
          <w:sz w:val="22"/>
          <w:szCs w:val="22"/>
        </w:rPr>
        <w:t xml:space="preserve"> </w:t>
      </w:r>
      <w:r w:rsidR="00543DE2" w:rsidRPr="00543DE2">
        <w:rPr>
          <w:rFonts w:ascii="Trebuchet MS" w:hAnsi="Trebuchet MS"/>
          <w:sz w:val="22"/>
          <w:szCs w:val="22"/>
        </w:rPr>
        <w:t>08/01/19</w:t>
      </w:r>
    </w:p>
    <w:p w:rsidR="00FA1CFE" w:rsidRPr="006A0B28" w:rsidRDefault="00FA1CFE" w:rsidP="006A0B28">
      <w:pPr>
        <w:rPr>
          <w:rFonts w:ascii="Trebuchet MS" w:hAnsi="Trebuchet MS"/>
          <w:b/>
          <w:sz w:val="22"/>
          <w:szCs w:val="22"/>
        </w:rPr>
      </w:pPr>
    </w:p>
    <w:p w:rsidR="00FA1CFE" w:rsidRPr="00543DE2" w:rsidRDefault="00E90482" w:rsidP="006A0B28">
      <w:pPr>
        <w:rPr>
          <w:rFonts w:ascii="Trebuchet MS" w:hAnsi="Trebuchet MS"/>
          <w:sz w:val="22"/>
          <w:szCs w:val="22"/>
        </w:rPr>
      </w:pPr>
      <w:r w:rsidRPr="006A0B28">
        <w:rPr>
          <w:rFonts w:ascii="Trebuchet MS" w:hAnsi="Trebuchet MS"/>
          <w:b/>
          <w:sz w:val="22"/>
          <w:szCs w:val="22"/>
        </w:rPr>
        <w:t>Application No:</w:t>
      </w:r>
      <w:r w:rsidR="00543DE2">
        <w:rPr>
          <w:rFonts w:ascii="Trebuchet MS" w:hAnsi="Trebuchet MS"/>
          <w:b/>
          <w:sz w:val="22"/>
          <w:szCs w:val="22"/>
        </w:rPr>
        <w:t xml:space="preserve"> </w:t>
      </w:r>
      <w:r w:rsidR="00543DE2">
        <w:rPr>
          <w:rFonts w:ascii="Trebuchet MS" w:hAnsi="Trebuchet MS"/>
          <w:sz w:val="22"/>
          <w:szCs w:val="22"/>
        </w:rPr>
        <w:t>181868/HOU</w:t>
      </w:r>
    </w:p>
    <w:p w:rsidR="00FA1CFE" w:rsidRPr="00543DE2" w:rsidRDefault="00FA1CFE" w:rsidP="006A0B28">
      <w:pPr>
        <w:rPr>
          <w:rFonts w:ascii="Trebuchet MS" w:hAnsi="Trebuchet MS"/>
          <w:sz w:val="22"/>
          <w:szCs w:val="22"/>
        </w:rPr>
      </w:pPr>
      <w:r w:rsidRPr="006A0B28">
        <w:rPr>
          <w:rFonts w:ascii="Trebuchet MS" w:hAnsi="Trebuchet MS"/>
          <w:b/>
          <w:sz w:val="22"/>
          <w:szCs w:val="22"/>
        </w:rPr>
        <w:t xml:space="preserve">Address: </w:t>
      </w:r>
      <w:r w:rsidR="00543DE2">
        <w:rPr>
          <w:rFonts w:ascii="Trebuchet MS" w:hAnsi="Trebuchet MS"/>
          <w:sz w:val="22"/>
          <w:szCs w:val="22"/>
        </w:rPr>
        <w:t>16 Broomfield Road</w:t>
      </w:r>
    </w:p>
    <w:p w:rsidR="00D235B9" w:rsidRPr="00543DE2" w:rsidRDefault="00FA1CFE" w:rsidP="006A0B28">
      <w:pPr>
        <w:rPr>
          <w:rFonts w:ascii="Trebuchet MS" w:hAnsi="Trebuchet MS"/>
          <w:sz w:val="22"/>
          <w:szCs w:val="22"/>
        </w:rPr>
      </w:pPr>
      <w:r w:rsidRPr="006A0B28">
        <w:rPr>
          <w:rFonts w:ascii="Trebuchet MS" w:hAnsi="Trebuchet MS"/>
          <w:b/>
          <w:sz w:val="22"/>
          <w:szCs w:val="22"/>
        </w:rPr>
        <w:t xml:space="preserve">Proposal: </w:t>
      </w:r>
      <w:r w:rsidR="00543DE2">
        <w:rPr>
          <w:rFonts w:ascii="Trebuchet MS" w:hAnsi="Trebuchet MS"/>
          <w:sz w:val="22"/>
          <w:szCs w:val="22"/>
        </w:rPr>
        <w:t>Erection of fence (</w:t>
      </w:r>
      <w:r w:rsidR="008D1EB2">
        <w:rPr>
          <w:rFonts w:ascii="Trebuchet MS" w:hAnsi="Trebuchet MS"/>
          <w:sz w:val="22"/>
          <w:szCs w:val="22"/>
        </w:rPr>
        <w:t>part-</w:t>
      </w:r>
      <w:r w:rsidR="00543DE2">
        <w:rPr>
          <w:rFonts w:ascii="Trebuchet MS" w:hAnsi="Trebuchet MS"/>
          <w:sz w:val="22"/>
          <w:szCs w:val="22"/>
        </w:rPr>
        <w:t>retrospective)</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543DE2" w:rsidRPr="00543DE2" w:rsidRDefault="00543DE2" w:rsidP="006A0B28">
      <w:pPr>
        <w:rPr>
          <w:rFonts w:ascii="Trebuchet MS" w:hAnsi="Trebuchet MS"/>
          <w:sz w:val="22"/>
          <w:szCs w:val="22"/>
        </w:rPr>
      </w:pPr>
      <w:r>
        <w:rPr>
          <w:rFonts w:ascii="Trebuchet MS" w:hAnsi="Trebuchet MS"/>
          <w:sz w:val="22"/>
          <w:szCs w:val="22"/>
        </w:rPr>
        <w:t xml:space="preserve">The application site comprises a two storey link attached dwelling with a pitched roof. </w:t>
      </w:r>
      <w:r w:rsidR="005F59B6">
        <w:rPr>
          <w:rFonts w:ascii="Trebuchet MS" w:hAnsi="Trebuchet MS"/>
          <w:sz w:val="22"/>
          <w:szCs w:val="22"/>
        </w:rPr>
        <w:t>The dwelling benefits from a large single storey side extension beyond the original northward elevation. A large fence, the subject of this application, encloses a section of grass verge outside the domestic curtilage</w:t>
      </w:r>
      <w:r w:rsidR="005640FC">
        <w:rPr>
          <w:rFonts w:ascii="Trebuchet MS" w:hAnsi="Trebuchet MS"/>
          <w:sz w:val="22"/>
          <w:szCs w:val="22"/>
        </w:rPr>
        <w:t xml:space="preserve"> of 16 Broomfield Road</w:t>
      </w:r>
      <w:r w:rsidR="005F59B6">
        <w:rPr>
          <w:rFonts w:ascii="Trebuchet MS" w:hAnsi="Trebuchet MS"/>
          <w:sz w:val="22"/>
          <w:szCs w:val="22"/>
        </w:rPr>
        <w:t>.</w:t>
      </w:r>
      <w:r w:rsidR="005640FC">
        <w:rPr>
          <w:rFonts w:ascii="Trebuchet MS" w:hAnsi="Trebuchet MS"/>
          <w:sz w:val="22"/>
          <w:szCs w:val="22"/>
        </w:rPr>
        <w:t xml:space="preserve"> </w:t>
      </w:r>
      <w:r w:rsidR="00322F1E">
        <w:rPr>
          <w:rFonts w:ascii="Trebuchet MS" w:hAnsi="Trebuchet MS"/>
          <w:sz w:val="22"/>
          <w:szCs w:val="22"/>
        </w:rPr>
        <w:t xml:space="preserve">The site topography rises </w:t>
      </w:r>
      <w:r w:rsidR="0046782F">
        <w:rPr>
          <w:rFonts w:ascii="Trebuchet MS" w:hAnsi="Trebuchet MS"/>
          <w:sz w:val="22"/>
          <w:szCs w:val="22"/>
        </w:rPr>
        <w:t xml:space="preserve">towards the footpath beyond the original side elevation of the dwelling. </w:t>
      </w:r>
      <w:r w:rsidR="005640FC">
        <w:rPr>
          <w:rFonts w:ascii="Trebuchet MS" w:hAnsi="Trebuchet MS"/>
          <w:sz w:val="22"/>
          <w:szCs w:val="22"/>
        </w:rPr>
        <w:t xml:space="preserve">The site occupies a prominent position on a bend in the road, on the brow of a hill. </w:t>
      </w:r>
      <w:r w:rsidR="00016D1F">
        <w:rPr>
          <w:rFonts w:ascii="Trebuchet MS" w:hAnsi="Trebuchet MS"/>
          <w:sz w:val="22"/>
          <w:szCs w:val="22"/>
        </w:rPr>
        <w:t>This section of Broomfield Road is characterised by wide, open frontages, which are accentuated by the rise and bend in the road. The surrounding are</w:t>
      </w:r>
      <w:r w:rsidR="00523A73">
        <w:rPr>
          <w:rFonts w:ascii="Trebuchet MS" w:hAnsi="Trebuchet MS"/>
          <w:sz w:val="22"/>
          <w:szCs w:val="22"/>
        </w:rPr>
        <w:t>a is predominantly residential.</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016D1F" w:rsidRPr="00016D1F" w:rsidRDefault="00016D1F" w:rsidP="006A0B28">
      <w:pPr>
        <w:rPr>
          <w:rFonts w:ascii="Trebuchet MS" w:hAnsi="Trebuchet MS"/>
          <w:sz w:val="22"/>
          <w:szCs w:val="22"/>
        </w:rPr>
      </w:pPr>
      <w:r>
        <w:rPr>
          <w:rFonts w:ascii="Trebuchet MS" w:hAnsi="Trebuchet MS"/>
          <w:sz w:val="22"/>
          <w:szCs w:val="22"/>
        </w:rPr>
        <w:t xml:space="preserve">This is a </w:t>
      </w:r>
      <w:r w:rsidR="008D1EB2">
        <w:rPr>
          <w:rFonts w:ascii="Trebuchet MS" w:hAnsi="Trebuchet MS"/>
          <w:sz w:val="22"/>
          <w:szCs w:val="22"/>
        </w:rPr>
        <w:t>part-</w:t>
      </w:r>
      <w:r>
        <w:rPr>
          <w:rFonts w:ascii="Trebuchet MS" w:hAnsi="Trebuchet MS"/>
          <w:sz w:val="22"/>
          <w:szCs w:val="22"/>
        </w:rPr>
        <w:t>retrospective application for the erection of a fence.</w:t>
      </w:r>
      <w:r w:rsidR="008D1EB2">
        <w:rPr>
          <w:rFonts w:ascii="Trebuchet MS" w:hAnsi="Trebuchet MS"/>
          <w:sz w:val="22"/>
          <w:szCs w:val="22"/>
        </w:rPr>
        <w:t xml:space="preserve"> In its existing form, the fence is located immediately adjacent to the edge of the footpath. The proposal seeks to move the fence 1.2m away from the edge of the footpath. The fence is of close-boarded timber construction and stands at a height of 1.829m. The fence extends flush to the principle elevation of the dwelling, before projecting to a depth of approximately 15m.</w:t>
      </w:r>
      <w:r w:rsidR="0046782F">
        <w:rPr>
          <w:rFonts w:ascii="Trebuchet MS" w:hAnsi="Trebuchet MS"/>
          <w:sz w:val="22"/>
          <w:szCs w:val="22"/>
        </w:rPr>
        <w:t xml:space="preserve"> </w:t>
      </w:r>
      <w:r w:rsidR="008D1EB2">
        <w:rPr>
          <w:rFonts w:ascii="Trebuchet MS" w:hAnsi="Trebuchet MS"/>
          <w:sz w:val="22"/>
          <w:szCs w:val="22"/>
        </w:rPr>
        <w:t xml:space="preserve"> </w:t>
      </w:r>
      <w:r>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016D1F" w:rsidP="006A0B28">
      <w:pPr>
        <w:rPr>
          <w:rFonts w:ascii="Trebuchet MS" w:hAnsi="Trebuchet MS"/>
          <w:sz w:val="22"/>
          <w:szCs w:val="22"/>
        </w:rPr>
      </w:pPr>
      <w:r>
        <w:rPr>
          <w:rFonts w:ascii="Trebuchet MS" w:hAnsi="Trebuchet MS"/>
          <w:sz w:val="22"/>
          <w:szCs w:val="22"/>
        </w:rPr>
        <w:t>The applicant</w:t>
      </w:r>
      <w:r w:rsidR="00FA1CFE" w:rsidRPr="006A0B28">
        <w:rPr>
          <w:rFonts w:ascii="Trebuchet MS" w:hAnsi="Trebuchet MS"/>
          <w:sz w:val="22"/>
          <w:szCs w:val="22"/>
        </w:rPr>
        <w:t xml:space="preserve"> </w:t>
      </w:r>
      <w:r>
        <w:rPr>
          <w:rFonts w:ascii="Trebuchet MS" w:hAnsi="Trebuchet MS"/>
          <w:sz w:val="22"/>
          <w:szCs w:val="22"/>
        </w:rPr>
        <w:t>supplied</w:t>
      </w:r>
      <w:r w:rsidR="002629C9" w:rsidRPr="006A0B28">
        <w:rPr>
          <w:rFonts w:ascii="Trebuchet MS" w:hAnsi="Trebuchet MS"/>
          <w:sz w:val="22"/>
          <w:szCs w:val="22"/>
        </w:rPr>
        <w:t xml:space="preserve"> the following</w:t>
      </w:r>
      <w:r w:rsidR="00FA1CFE" w:rsidRPr="006A0B28">
        <w:rPr>
          <w:rFonts w:ascii="Trebuchet MS" w:hAnsi="Trebuchet MS"/>
          <w:sz w:val="22"/>
          <w:szCs w:val="22"/>
        </w:rPr>
        <w:t>, received on</w:t>
      </w:r>
      <w:r w:rsidR="002629C9" w:rsidRPr="006A0B28">
        <w:rPr>
          <w:rFonts w:ascii="Trebuchet MS" w:hAnsi="Trebuchet MS"/>
          <w:sz w:val="22"/>
          <w:szCs w:val="22"/>
        </w:rPr>
        <w:t xml:space="preserve"> </w:t>
      </w:r>
      <w:r>
        <w:rPr>
          <w:rFonts w:ascii="Trebuchet MS" w:hAnsi="Trebuchet MS"/>
          <w:sz w:val="22"/>
          <w:szCs w:val="22"/>
        </w:rPr>
        <w:t>29/10/18:</w:t>
      </w:r>
    </w:p>
    <w:p w:rsidR="00016D1F" w:rsidRDefault="00016D1F" w:rsidP="006A0B28">
      <w:pPr>
        <w:rPr>
          <w:rFonts w:ascii="Trebuchet MS" w:hAnsi="Trebuchet MS"/>
          <w:sz w:val="22"/>
          <w:szCs w:val="22"/>
        </w:rPr>
      </w:pPr>
      <w:r>
        <w:rPr>
          <w:rFonts w:ascii="Trebuchet MS" w:hAnsi="Trebuchet MS"/>
          <w:sz w:val="22"/>
          <w:szCs w:val="22"/>
        </w:rPr>
        <w:t>Site Location</w:t>
      </w:r>
    </w:p>
    <w:p w:rsidR="00016D1F" w:rsidRDefault="00016D1F" w:rsidP="006A0B28">
      <w:pPr>
        <w:rPr>
          <w:rFonts w:ascii="Trebuchet MS" w:hAnsi="Trebuchet MS"/>
          <w:sz w:val="22"/>
          <w:szCs w:val="22"/>
        </w:rPr>
      </w:pPr>
      <w:r>
        <w:rPr>
          <w:rFonts w:ascii="Trebuchet MS" w:hAnsi="Trebuchet MS"/>
          <w:sz w:val="22"/>
          <w:szCs w:val="22"/>
        </w:rPr>
        <w:t>Block Plan</w:t>
      </w:r>
    </w:p>
    <w:p w:rsidR="00016D1F" w:rsidRDefault="00016D1F" w:rsidP="006A0B28">
      <w:pPr>
        <w:rPr>
          <w:rFonts w:ascii="Trebuchet MS" w:hAnsi="Trebuchet MS"/>
          <w:sz w:val="22"/>
          <w:szCs w:val="22"/>
        </w:rPr>
      </w:pPr>
      <w:r>
        <w:rPr>
          <w:rFonts w:ascii="Trebuchet MS" w:hAnsi="Trebuchet MS"/>
          <w:sz w:val="22"/>
          <w:szCs w:val="22"/>
        </w:rPr>
        <w:t>Land Registry information</w:t>
      </w:r>
    </w:p>
    <w:p w:rsidR="00016D1F" w:rsidRDefault="00016D1F" w:rsidP="006A0B28">
      <w:pPr>
        <w:rPr>
          <w:rFonts w:ascii="Trebuchet MS" w:hAnsi="Trebuchet MS"/>
          <w:sz w:val="22"/>
          <w:szCs w:val="22"/>
        </w:rPr>
      </w:pPr>
    </w:p>
    <w:p w:rsidR="00016D1F" w:rsidRDefault="00016D1F" w:rsidP="006A0B28">
      <w:pPr>
        <w:rPr>
          <w:rFonts w:ascii="Trebuchet MS" w:hAnsi="Trebuchet MS"/>
          <w:sz w:val="22"/>
          <w:szCs w:val="22"/>
        </w:rPr>
      </w:pPr>
      <w:r>
        <w:rPr>
          <w:rFonts w:ascii="Trebuchet MS" w:hAnsi="Trebuchet MS"/>
          <w:sz w:val="22"/>
          <w:szCs w:val="22"/>
        </w:rPr>
        <w:t>Subsequently, the applicant supplied the following, received on 14/11/18:</w:t>
      </w:r>
    </w:p>
    <w:p w:rsidR="00016D1F" w:rsidRPr="006A0B28" w:rsidRDefault="00016D1F" w:rsidP="006A0B28">
      <w:pPr>
        <w:rPr>
          <w:rFonts w:ascii="Trebuchet MS" w:hAnsi="Trebuchet MS"/>
          <w:sz w:val="22"/>
          <w:szCs w:val="22"/>
        </w:rPr>
      </w:pPr>
      <w:r>
        <w:rPr>
          <w:rFonts w:ascii="Trebuchet MS" w:hAnsi="Trebuchet MS"/>
          <w:sz w:val="22"/>
          <w:szCs w:val="22"/>
        </w:rPr>
        <w:t>Proposed Section</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016D1F" w:rsidRDefault="00EC28C1" w:rsidP="006A0B28">
      <w:pPr>
        <w:rPr>
          <w:rFonts w:ascii="Trebuchet MS" w:hAnsi="Trebuchet MS"/>
          <w:sz w:val="22"/>
          <w:szCs w:val="22"/>
        </w:rPr>
      </w:pPr>
      <w:r>
        <w:rPr>
          <w:rFonts w:ascii="Trebuchet MS" w:hAnsi="Trebuchet MS"/>
          <w:sz w:val="22"/>
          <w:szCs w:val="22"/>
        </w:rPr>
        <w:t>E18047 – Unauthorised development – erection of fence – Expedient to pursue 31/07/18</w:t>
      </w:r>
    </w:p>
    <w:p w:rsidR="00EC28C1" w:rsidRPr="00EC28C1" w:rsidRDefault="00EC28C1" w:rsidP="006A0B28">
      <w:pPr>
        <w:rPr>
          <w:rFonts w:ascii="Trebuchet MS" w:hAnsi="Trebuchet MS"/>
          <w:i/>
          <w:sz w:val="22"/>
          <w:szCs w:val="22"/>
        </w:rPr>
      </w:pPr>
      <w:r>
        <w:rPr>
          <w:rFonts w:ascii="Trebuchet MS" w:hAnsi="Trebuchet MS"/>
          <w:i/>
          <w:sz w:val="22"/>
          <w:szCs w:val="22"/>
        </w:rPr>
        <w:t>“The fence, and the enclosure and domestic use of the formerly open landscaped area, presents a visually stark frontage to the street, harmful to the open landscaped character of the area and contrary to Policy CS7 of the Reading Borough LDF Core Strategy 2008 (altered 2015)”</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EC28C1" w:rsidRDefault="00EC28C1" w:rsidP="006A0B28">
      <w:pPr>
        <w:rPr>
          <w:rFonts w:ascii="Trebuchet MS" w:hAnsi="Trebuchet MS"/>
          <w:sz w:val="22"/>
          <w:szCs w:val="22"/>
          <w:u w:val="single"/>
        </w:rPr>
      </w:pPr>
      <w:r>
        <w:rPr>
          <w:rFonts w:ascii="Trebuchet MS" w:hAnsi="Trebuchet MS"/>
          <w:sz w:val="22"/>
          <w:szCs w:val="22"/>
          <w:u w:val="single"/>
        </w:rPr>
        <w:t>Transport Development Control</w:t>
      </w:r>
    </w:p>
    <w:p w:rsidR="00EC28C1" w:rsidRDefault="00EC28C1" w:rsidP="006A0B28">
      <w:pPr>
        <w:rPr>
          <w:rFonts w:ascii="Trebuchet MS" w:hAnsi="Trebuchet MS"/>
          <w:sz w:val="22"/>
          <w:szCs w:val="22"/>
        </w:rPr>
      </w:pPr>
      <w:r>
        <w:rPr>
          <w:rFonts w:ascii="Trebuchet MS" w:hAnsi="Trebuchet MS"/>
          <w:sz w:val="22"/>
          <w:szCs w:val="22"/>
        </w:rPr>
        <w:t xml:space="preserve">The fence is not situated on the public highway and will not significantly hinder visibility from the driveway. In view of this, there are no transport objections to the application. </w:t>
      </w:r>
    </w:p>
    <w:p w:rsidR="00EC28C1" w:rsidRDefault="00EC28C1" w:rsidP="006A0B28">
      <w:pPr>
        <w:rPr>
          <w:rFonts w:ascii="Trebuchet MS" w:hAnsi="Trebuchet MS"/>
          <w:sz w:val="22"/>
          <w:szCs w:val="22"/>
        </w:rPr>
      </w:pPr>
    </w:p>
    <w:p w:rsidR="00EC28C1" w:rsidRPr="00EC28C1" w:rsidRDefault="00EC28C1" w:rsidP="006A0B28">
      <w:pPr>
        <w:rPr>
          <w:rFonts w:ascii="Trebuchet MS" w:hAnsi="Trebuchet MS"/>
          <w:sz w:val="22"/>
          <w:szCs w:val="22"/>
        </w:rPr>
      </w:pPr>
      <w:r>
        <w:rPr>
          <w:rFonts w:ascii="Trebuchet MS" w:hAnsi="Trebuchet MS"/>
          <w:sz w:val="22"/>
          <w:szCs w:val="22"/>
        </w:rPr>
        <w:t xml:space="preserve">Neighbouring owners and occupiers at 14, 18, 21, 23, 25 and 27 Broomfield Road were consulted by letter. </w:t>
      </w:r>
      <w:r w:rsidR="00B06DAD">
        <w:rPr>
          <w:rFonts w:ascii="Trebuchet MS" w:hAnsi="Trebuchet MS"/>
          <w:sz w:val="22"/>
          <w:szCs w:val="22"/>
        </w:rPr>
        <w:t xml:space="preserve">No letters of representation have been received. </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B76642">
        <w:rPr>
          <w:rFonts w:ascii="Trebuchet MS" w:hAnsi="Trebuchet MS"/>
          <w:b/>
          <w:sz w:val="22"/>
          <w:szCs w:val="22"/>
        </w:rPr>
        <w:t>iscussions with applicant</w:t>
      </w:r>
    </w:p>
    <w:p w:rsidR="00B76642" w:rsidRPr="006A0B28" w:rsidRDefault="00B76642" w:rsidP="006A0B28">
      <w:pPr>
        <w:rPr>
          <w:rFonts w:ascii="Trebuchet MS" w:hAnsi="Trebuchet MS"/>
          <w:b/>
          <w:sz w:val="22"/>
          <w:szCs w:val="22"/>
        </w:rPr>
      </w:pPr>
      <w:r>
        <w:rPr>
          <w:rFonts w:ascii="Trebuchet MS" w:hAnsi="Trebuchet MS"/>
          <w:sz w:val="22"/>
          <w:szCs w:val="22"/>
        </w:rPr>
        <w:t xml:space="preserve">The applicant was advised of a number of concerns with the proposal in an email dated 21/12/18. Principal concern was raised with regard to the loss of the grass verge and the height and prominence of the fence. The </w:t>
      </w:r>
      <w:r w:rsidR="0021304F">
        <w:rPr>
          <w:rFonts w:ascii="Trebuchet MS" w:hAnsi="Trebuchet MS"/>
          <w:sz w:val="22"/>
          <w:szCs w:val="22"/>
        </w:rPr>
        <w:t>siting of the fence 1.2m from the edge of the footpath was considered to be an improvement on the existing situation, but it was not considered sufficient to overcome the issues raised</w:t>
      </w:r>
      <w:r w:rsidR="0046782F">
        <w:rPr>
          <w:rFonts w:ascii="Trebuchet MS" w:hAnsi="Trebuchet MS"/>
          <w:sz w:val="22"/>
          <w:szCs w:val="22"/>
        </w:rPr>
        <w:t xml:space="preserve"> previously</w:t>
      </w:r>
      <w:r w:rsidR="0021304F">
        <w:rPr>
          <w:rFonts w:ascii="Trebuchet MS" w:hAnsi="Trebuchet MS"/>
          <w:sz w:val="22"/>
          <w:szCs w:val="22"/>
        </w:rPr>
        <w:t xml:space="preserve">. The applicant was advised </w:t>
      </w:r>
      <w:r w:rsidR="0021304F">
        <w:rPr>
          <w:rFonts w:ascii="Trebuchet MS" w:hAnsi="Trebuchet MS"/>
          <w:sz w:val="22"/>
          <w:szCs w:val="22"/>
        </w:rPr>
        <w:lastRenderedPageBreak/>
        <w:t xml:space="preserve">that the position of the previous hedging would be considered an appropriate location for the fencing. A set back of at least 3m from the edge of the footpath would ensure that the majority of the verge would be retained, preserving the open character of the area. The sloping ground level would also result in a reduction in the relative height of the fencing, </w:t>
      </w:r>
      <w:r w:rsidR="0046782F">
        <w:rPr>
          <w:rFonts w:ascii="Trebuchet MS" w:hAnsi="Trebuchet MS"/>
          <w:sz w:val="22"/>
          <w:szCs w:val="22"/>
        </w:rPr>
        <w:t xml:space="preserve">which would serve to reduce </w:t>
      </w:r>
      <w:r w:rsidR="0021304F">
        <w:rPr>
          <w:rFonts w:ascii="Trebuchet MS" w:hAnsi="Trebuchet MS"/>
          <w:sz w:val="22"/>
          <w:szCs w:val="22"/>
        </w:rPr>
        <w:t xml:space="preserve">its prominence and visual dominance. </w:t>
      </w:r>
      <w:r w:rsidR="0046782F">
        <w:rPr>
          <w:rFonts w:ascii="Trebuchet MS" w:hAnsi="Trebuchet MS"/>
          <w:sz w:val="22"/>
          <w:szCs w:val="22"/>
        </w:rPr>
        <w:t xml:space="preserve">The applicant did not supply amended plans.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CF07FD" w:rsidP="006A0B28">
      <w:pPr>
        <w:rPr>
          <w:rFonts w:ascii="Trebuchet MS" w:hAnsi="Trebuchet MS"/>
          <w:sz w:val="22"/>
          <w:szCs w:val="22"/>
          <w:u w:val="single"/>
        </w:rPr>
      </w:pPr>
      <w:r>
        <w:rPr>
          <w:rFonts w:ascii="Trebuchet MS" w:hAnsi="Trebuchet MS"/>
          <w:sz w:val="22"/>
          <w:szCs w:val="22"/>
          <w:u w:val="single"/>
        </w:rPr>
        <w:t>Design and impact on the character of the area</w:t>
      </w:r>
    </w:p>
    <w:p w:rsidR="0046782F" w:rsidRDefault="0046782F" w:rsidP="006A0B28">
      <w:pPr>
        <w:rPr>
          <w:rFonts w:ascii="Trebuchet MS" w:hAnsi="Trebuchet MS"/>
          <w:sz w:val="22"/>
          <w:szCs w:val="22"/>
        </w:rPr>
      </w:pPr>
      <w:r>
        <w:rPr>
          <w:rFonts w:ascii="Trebuchet MS" w:hAnsi="Trebuchet MS"/>
          <w:sz w:val="22"/>
          <w:szCs w:val="22"/>
        </w:rPr>
        <w:t xml:space="preserve">Broomfield Road is generally characterised by </w:t>
      </w:r>
      <w:r w:rsidR="001D5347">
        <w:rPr>
          <w:rFonts w:ascii="Trebuchet MS" w:hAnsi="Trebuchet MS"/>
          <w:sz w:val="22"/>
          <w:szCs w:val="22"/>
        </w:rPr>
        <w:t>wide, open frontages which are accentuated by the rise and bend in the road. Prior to the erection of the fence, a wide grass verge extended beyond the northern elevation of 16 Broomfield Road. The verge was separated from the domestic rear garden</w:t>
      </w:r>
      <w:r w:rsidR="00523A73">
        <w:rPr>
          <w:rFonts w:ascii="Trebuchet MS" w:hAnsi="Trebuchet MS"/>
          <w:sz w:val="22"/>
          <w:szCs w:val="22"/>
        </w:rPr>
        <w:t xml:space="preserve"> by hedging. The verge</w:t>
      </w:r>
      <w:r w:rsidR="001D5347">
        <w:rPr>
          <w:rFonts w:ascii="Trebuchet MS" w:hAnsi="Trebuchet MS"/>
          <w:sz w:val="22"/>
          <w:szCs w:val="22"/>
        </w:rPr>
        <w:t xml:space="preserve"> formed an important part of the landscaping of the estate (in combination with other grassed areas in the surrounding area) contributing positively to the character and appearance of the street scene. The loss of the grass verge is therefore to the detriment of the character of the area. </w:t>
      </w:r>
    </w:p>
    <w:p w:rsidR="00523A73" w:rsidRDefault="00523A73" w:rsidP="006A0B28">
      <w:pPr>
        <w:rPr>
          <w:rFonts w:ascii="Trebuchet MS" w:hAnsi="Trebuchet MS"/>
          <w:sz w:val="22"/>
          <w:szCs w:val="22"/>
        </w:rPr>
      </w:pPr>
    </w:p>
    <w:p w:rsidR="00523A73" w:rsidRDefault="00523A73" w:rsidP="006A0B28">
      <w:pPr>
        <w:rPr>
          <w:rFonts w:ascii="Trebuchet MS" w:hAnsi="Trebuchet MS"/>
          <w:sz w:val="22"/>
          <w:szCs w:val="22"/>
        </w:rPr>
      </w:pPr>
      <w:r>
        <w:rPr>
          <w:rFonts w:ascii="Trebuchet MS" w:hAnsi="Trebuchet MS"/>
          <w:sz w:val="22"/>
          <w:szCs w:val="22"/>
        </w:rPr>
        <w:t xml:space="preserve">Planning permission is required </w:t>
      </w:r>
      <w:r w:rsidR="0046138C">
        <w:rPr>
          <w:rFonts w:ascii="Trebuchet MS" w:hAnsi="Trebuchet MS"/>
          <w:sz w:val="22"/>
          <w:szCs w:val="22"/>
        </w:rPr>
        <w:t xml:space="preserve">for the erection of the fence as it exceeds the limits of permitted development. The fence is located adjacent to a highway used by vehicles and it exceeds one metre in height above ground level, contrary to Class A, Part 2, </w:t>
      </w:r>
      <w:proofErr w:type="gramStart"/>
      <w:r w:rsidR="0046138C">
        <w:rPr>
          <w:rFonts w:ascii="Trebuchet MS" w:hAnsi="Trebuchet MS"/>
          <w:sz w:val="22"/>
          <w:szCs w:val="22"/>
        </w:rPr>
        <w:t>Schedule</w:t>
      </w:r>
      <w:proofErr w:type="gramEnd"/>
      <w:r w:rsidR="0046138C">
        <w:rPr>
          <w:rFonts w:ascii="Trebuchet MS" w:hAnsi="Trebuchet MS"/>
          <w:sz w:val="22"/>
          <w:szCs w:val="22"/>
        </w:rPr>
        <w:t xml:space="preserve"> 2 of the GPDO. </w:t>
      </w:r>
    </w:p>
    <w:p w:rsidR="001D5347" w:rsidRDefault="001D5347" w:rsidP="006A0B28">
      <w:pPr>
        <w:rPr>
          <w:rFonts w:ascii="Trebuchet MS" w:hAnsi="Trebuchet MS"/>
          <w:sz w:val="22"/>
          <w:szCs w:val="22"/>
        </w:rPr>
      </w:pPr>
    </w:p>
    <w:p w:rsidR="001D5347" w:rsidRPr="0046782F" w:rsidRDefault="001D5347" w:rsidP="006A0B28">
      <w:pPr>
        <w:rPr>
          <w:rFonts w:ascii="Trebuchet MS" w:hAnsi="Trebuchet MS"/>
          <w:sz w:val="22"/>
          <w:szCs w:val="22"/>
        </w:rPr>
      </w:pPr>
      <w:r>
        <w:rPr>
          <w:rFonts w:ascii="Trebuchet MS" w:hAnsi="Trebuchet MS"/>
          <w:sz w:val="22"/>
          <w:szCs w:val="22"/>
        </w:rPr>
        <w:t xml:space="preserve">Policy CS7 of the Core Strategy requires that all development must </w:t>
      </w:r>
      <w:r w:rsidR="00523A73">
        <w:rPr>
          <w:rFonts w:ascii="Trebuchet MS" w:hAnsi="Trebuchet MS"/>
          <w:sz w:val="22"/>
          <w:szCs w:val="22"/>
        </w:rPr>
        <w:t xml:space="preserve">be </w:t>
      </w:r>
      <w:r>
        <w:rPr>
          <w:rFonts w:ascii="Trebuchet MS" w:hAnsi="Trebuchet MS"/>
          <w:sz w:val="22"/>
          <w:szCs w:val="22"/>
        </w:rPr>
        <w:t xml:space="preserve">of high design quality that maintains and enhances the character and appearance of the area of Reading in which it is located. Development must respond positively to the local context, reinforcing local character and distinctiveness and providing value to the public realm. </w:t>
      </w:r>
      <w:r w:rsidR="00FB0872">
        <w:rPr>
          <w:rFonts w:ascii="Trebuchet MS" w:hAnsi="Trebuchet MS"/>
          <w:sz w:val="22"/>
          <w:szCs w:val="22"/>
        </w:rPr>
        <w:t xml:space="preserve">Policy DM9 of the Sites and Detailed Policies Document requires that development respects the character and pattern of the neighbouring properties and the street as a whole in terms of scale, location, materials and design, and any important existing </w:t>
      </w:r>
      <w:r w:rsidR="00FB0872">
        <w:rPr>
          <w:rFonts w:ascii="Trebuchet MS" w:hAnsi="Trebuchet MS"/>
          <w:sz w:val="22"/>
          <w:szCs w:val="22"/>
        </w:rPr>
        <w:lastRenderedPageBreak/>
        <w:t xml:space="preserve">building line, and that the development does not present a large blank façade to public areas.  </w:t>
      </w:r>
      <w:r>
        <w:rPr>
          <w:rFonts w:ascii="Trebuchet MS" w:hAnsi="Trebuchet MS"/>
          <w:sz w:val="22"/>
          <w:szCs w:val="22"/>
        </w:rPr>
        <w:t xml:space="preserve">  </w:t>
      </w:r>
    </w:p>
    <w:p w:rsidR="0046782F" w:rsidRDefault="0046782F" w:rsidP="006A0B28">
      <w:pPr>
        <w:rPr>
          <w:rFonts w:ascii="Trebuchet MS" w:hAnsi="Trebuchet MS"/>
          <w:sz w:val="22"/>
          <w:szCs w:val="22"/>
          <w:u w:val="single"/>
        </w:rPr>
      </w:pPr>
    </w:p>
    <w:p w:rsidR="00523A73" w:rsidRDefault="00523A73" w:rsidP="006A0B28">
      <w:pPr>
        <w:rPr>
          <w:rFonts w:ascii="Trebuchet MS" w:hAnsi="Trebuchet MS"/>
          <w:sz w:val="22"/>
          <w:szCs w:val="22"/>
        </w:rPr>
      </w:pPr>
      <w:bookmarkStart w:id="0" w:name="_GoBack"/>
      <w:r>
        <w:rPr>
          <w:rFonts w:ascii="Trebuchet MS" w:hAnsi="Trebuchet MS"/>
          <w:sz w:val="22"/>
          <w:szCs w:val="22"/>
        </w:rPr>
        <w:t>The site occupies a prominent position on a bend in the road, on the brow of a hill. The height of the fence in combination with its proximity to the road results in a visually dominant form of development. This is considered harmful to the character of Broomfield Road, increasing the amount of enclosure, at conflict with the open-plan character of the estate.</w:t>
      </w:r>
      <w:bookmarkEnd w:id="0"/>
      <w:r>
        <w:rPr>
          <w:rFonts w:ascii="Trebuchet MS" w:hAnsi="Trebuchet MS"/>
          <w:sz w:val="22"/>
          <w:szCs w:val="22"/>
        </w:rPr>
        <w:t xml:space="preserve"> </w:t>
      </w:r>
      <w:r w:rsidR="0046138C">
        <w:rPr>
          <w:rFonts w:ascii="Trebuchet MS" w:hAnsi="Trebuchet MS"/>
          <w:sz w:val="22"/>
          <w:szCs w:val="22"/>
        </w:rPr>
        <w:t xml:space="preserve">In addition to the harm caused to the character of the area identified above, it is considered that timber fencing generally provides a poor quality means of enclosure fronting public areas as it weathers poorly and is prone to damage over time. This would be particularly noticeable in the case of the current fence due to its particular prominence. </w:t>
      </w:r>
    </w:p>
    <w:p w:rsidR="0046138C" w:rsidRDefault="0046138C" w:rsidP="006A0B28">
      <w:pPr>
        <w:rPr>
          <w:rFonts w:ascii="Trebuchet MS" w:hAnsi="Trebuchet MS"/>
          <w:sz w:val="22"/>
          <w:szCs w:val="22"/>
        </w:rPr>
      </w:pPr>
    </w:p>
    <w:p w:rsidR="0046138C" w:rsidRPr="00523A73" w:rsidRDefault="0046138C" w:rsidP="006A0B28">
      <w:pPr>
        <w:rPr>
          <w:rFonts w:ascii="Trebuchet MS" w:hAnsi="Trebuchet MS"/>
          <w:sz w:val="22"/>
          <w:szCs w:val="22"/>
        </w:rPr>
      </w:pPr>
      <w:r>
        <w:rPr>
          <w:rFonts w:ascii="Trebuchet MS" w:hAnsi="Trebuchet MS"/>
          <w:sz w:val="22"/>
          <w:szCs w:val="22"/>
        </w:rPr>
        <w:t xml:space="preserve">Planning permission is also required for the change of use of the land to form part of the domestic garden of 16 Broomfield Road. Although within the same ownership as the remainder of the property, it is considered that the land falls outside of the domestic curtilage and instead forms part of the landscaping of the estate. It is considered that the land, in its former grassed unenclosed state, formed an important part of the landscaping of the estate, (in combination with other grassed areas in the surrounding area) and contributed positively to the character of the area and the appearance of the street scene. The unlawful change of use is therefore contrary to Policy CS7 of the Core Strategy.   </w:t>
      </w:r>
    </w:p>
    <w:p w:rsidR="00523A73" w:rsidRDefault="00523A73" w:rsidP="006A0B28">
      <w:pPr>
        <w:rPr>
          <w:rFonts w:ascii="Trebuchet MS" w:hAnsi="Trebuchet MS"/>
          <w:sz w:val="22"/>
          <w:szCs w:val="22"/>
          <w:u w:val="single"/>
        </w:rPr>
      </w:pPr>
    </w:p>
    <w:p w:rsidR="0046782F" w:rsidRDefault="0046782F" w:rsidP="006A0B28">
      <w:pPr>
        <w:rPr>
          <w:rFonts w:ascii="Trebuchet MS" w:hAnsi="Trebuchet MS"/>
          <w:sz w:val="22"/>
          <w:szCs w:val="22"/>
          <w:u w:val="single"/>
        </w:rPr>
      </w:pPr>
      <w:r>
        <w:rPr>
          <w:rFonts w:ascii="Trebuchet MS" w:hAnsi="Trebuchet MS"/>
          <w:sz w:val="22"/>
          <w:szCs w:val="22"/>
          <w:u w:val="single"/>
        </w:rPr>
        <w:t>Impact on residential amenity</w:t>
      </w:r>
    </w:p>
    <w:p w:rsidR="00CF07FD" w:rsidRDefault="0046138C" w:rsidP="006A0B28">
      <w:pPr>
        <w:rPr>
          <w:rFonts w:ascii="Trebuchet MS" w:hAnsi="Trebuchet MS"/>
          <w:sz w:val="22"/>
          <w:szCs w:val="22"/>
        </w:rPr>
      </w:pPr>
      <w:r>
        <w:rPr>
          <w:rFonts w:ascii="Trebuchet MS" w:hAnsi="Trebuchet MS"/>
          <w:sz w:val="22"/>
          <w:szCs w:val="22"/>
        </w:rPr>
        <w:t xml:space="preserve">Policy DM4 of the Sites and Detailed Policies Document requires that development does not cause a significant detrimental impact to the living environment of </w:t>
      </w:r>
      <w:r w:rsidR="00174D7D">
        <w:rPr>
          <w:rFonts w:ascii="Trebuchet MS" w:hAnsi="Trebuchet MS"/>
          <w:sz w:val="22"/>
          <w:szCs w:val="22"/>
        </w:rPr>
        <w:t xml:space="preserve">existing or new residential properties. Though the fence is considered to draw the eye with a visual dominance, it is located a sufficient distance from neighbouring dwellings and is not considered to have an overbearing effect. The proposal is therefore in accordance with Policy DM4 of the Sites and Detailed Policies Document. </w:t>
      </w:r>
    </w:p>
    <w:p w:rsidR="00174D7D" w:rsidRDefault="00174D7D" w:rsidP="006A0B28">
      <w:pPr>
        <w:rPr>
          <w:rFonts w:ascii="Trebuchet MS" w:hAnsi="Trebuchet MS"/>
          <w:sz w:val="22"/>
          <w:szCs w:val="22"/>
        </w:rPr>
      </w:pPr>
    </w:p>
    <w:p w:rsidR="00174D7D" w:rsidRDefault="00174D7D" w:rsidP="006A0B28">
      <w:pPr>
        <w:rPr>
          <w:rFonts w:ascii="Trebuchet MS" w:hAnsi="Trebuchet MS"/>
          <w:sz w:val="22"/>
          <w:szCs w:val="22"/>
          <w:u w:val="single"/>
        </w:rPr>
      </w:pPr>
      <w:r>
        <w:rPr>
          <w:rFonts w:ascii="Trebuchet MS" w:hAnsi="Trebuchet MS"/>
          <w:sz w:val="22"/>
          <w:szCs w:val="22"/>
          <w:u w:val="single"/>
        </w:rPr>
        <w:t>Conclusion</w:t>
      </w:r>
    </w:p>
    <w:p w:rsidR="00174D7D" w:rsidRPr="00174D7D" w:rsidRDefault="00174D7D" w:rsidP="006A0B28">
      <w:pPr>
        <w:rPr>
          <w:rFonts w:ascii="Trebuchet MS" w:hAnsi="Trebuchet MS"/>
          <w:sz w:val="22"/>
          <w:szCs w:val="22"/>
        </w:rPr>
      </w:pPr>
      <w:r>
        <w:rPr>
          <w:rFonts w:ascii="Trebuchet MS" w:hAnsi="Trebuchet MS"/>
          <w:sz w:val="22"/>
          <w:szCs w:val="22"/>
        </w:rPr>
        <w:t xml:space="preserve">The proposed fence would be harmful to the character and appearance of the site, its surroundings and the public realm. The proposal is therefore contrary to Policy CS7 of the Core Strategy and permission should therefore be refused.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r w:rsidR="007D03B5">
        <w:rPr>
          <w:rFonts w:ascii="Trebuchet MS" w:hAnsi="Trebuchet MS" w:cs="Trebuchet MS"/>
          <w:b/>
          <w:sz w:val="22"/>
          <w:szCs w:val="22"/>
        </w:rPr>
        <w:t>:</w:t>
      </w:r>
    </w:p>
    <w:p w:rsidR="007D03B5" w:rsidRDefault="007D03B5" w:rsidP="006A0B28">
      <w:pPr>
        <w:rPr>
          <w:rFonts w:ascii="Trebuchet MS" w:hAnsi="Trebuchet MS" w:cs="Trebuchet MS"/>
          <w:b/>
          <w:sz w:val="22"/>
          <w:szCs w:val="22"/>
        </w:rPr>
      </w:pPr>
    </w:p>
    <w:p w:rsidR="007D03B5" w:rsidRDefault="007D03B5" w:rsidP="006A0B28">
      <w:pPr>
        <w:rPr>
          <w:rFonts w:ascii="Trebuchet MS" w:hAnsi="Trebuchet MS" w:cs="Trebuchet MS"/>
          <w:b/>
          <w:sz w:val="22"/>
          <w:szCs w:val="22"/>
        </w:rPr>
      </w:pPr>
      <w:r>
        <w:rPr>
          <w:rFonts w:ascii="Trebuchet MS" w:hAnsi="Trebuchet MS" w:cs="Trebuchet MS"/>
          <w:b/>
          <w:sz w:val="22"/>
          <w:szCs w:val="22"/>
        </w:rPr>
        <w:t>Harm to visual character and appearance of area caused by fence</w:t>
      </w:r>
    </w:p>
    <w:p w:rsidR="007D03B5" w:rsidRPr="006A0B28" w:rsidRDefault="007D03B5" w:rsidP="006A0B28">
      <w:pPr>
        <w:rPr>
          <w:rFonts w:ascii="Trebuchet MS" w:hAnsi="Trebuchet MS" w:cs="Trebuchet MS"/>
          <w:b/>
          <w:sz w:val="22"/>
          <w:szCs w:val="22"/>
        </w:rPr>
      </w:pPr>
      <w:r>
        <w:rPr>
          <w:rFonts w:ascii="Trebuchet MS" w:hAnsi="Trebuchet MS" w:cs="Trebuchet MS"/>
          <w:b/>
          <w:sz w:val="22"/>
          <w:szCs w:val="22"/>
        </w:rPr>
        <w:t>Loss of open character / amenity through unauthorised change of use</w:t>
      </w:r>
    </w:p>
    <w:p w:rsidR="00FA1CFE" w:rsidRPr="006A0B28" w:rsidRDefault="00FA1CFE" w:rsidP="006A0B28">
      <w:pPr>
        <w:rPr>
          <w:rFonts w:ascii="Trebuchet MS" w:hAnsi="Trebuchet MS"/>
          <w:sz w:val="22"/>
          <w:szCs w:val="22"/>
        </w:rPr>
      </w:pPr>
    </w:p>
    <w:sectPr w:rsidR="00FA1CFE"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16D1F"/>
    <w:rsid w:val="00174D7D"/>
    <w:rsid w:val="001D5347"/>
    <w:rsid w:val="0021304F"/>
    <w:rsid w:val="002629C9"/>
    <w:rsid w:val="002D0918"/>
    <w:rsid w:val="00322F1E"/>
    <w:rsid w:val="003D2AC0"/>
    <w:rsid w:val="00412C5D"/>
    <w:rsid w:val="0046138C"/>
    <w:rsid w:val="0046782F"/>
    <w:rsid w:val="00523A73"/>
    <w:rsid w:val="00525C5C"/>
    <w:rsid w:val="00543DE2"/>
    <w:rsid w:val="005640FC"/>
    <w:rsid w:val="005F59B6"/>
    <w:rsid w:val="00633773"/>
    <w:rsid w:val="006A0B28"/>
    <w:rsid w:val="007D03B5"/>
    <w:rsid w:val="00884F67"/>
    <w:rsid w:val="008D1EB2"/>
    <w:rsid w:val="00935217"/>
    <w:rsid w:val="00947128"/>
    <w:rsid w:val="00992F21"/>
    <w:rsid w:val="00B06DAD"/>
    <w:rsid w:val="00B7625A"/>
    <w:rsid w:val="00B76642"/>
    <w:rsid w:val="00BF0E6D"/>
    <w:rsid w:val="00CF07FD"/>
    <w:rsid w:val="00CF603E"/>
    <w:rsid w:val="00D17229"/>
    <w:rsid w:val="00D235B9"/>
    <w:rsid w:val="00D34EB8"/>
    <w:rsid w:val="00E90482"/>
    <w:rsid w:val="00EC28C1"/>
    <w:rsid w:val="00F1288E"/>
    <w:rsid w:val="00FA1CFE"/>
    <w:rsid w:val="00FB0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114C9808</Template>
  <TotalTime>288</TotalTime>
  <Pages>3</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2019-02-25T12:41:00Z</dcterms:created>
  <dcterms:modified xsi:type="dcterms:W3CDTF">2019-02-28T15:22:00Z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