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4EB" w:rsidRPr="004C421F" w:rsidRDefault="003104EB" w:rsidP="003104EB">
      <w:pPr>
        <w:rPr>
          <w:rFonts w:cs="Courier New"/>
          <w:b/>
          <w:color w:val="000000"/>
          <w:sz w:val="22"/>
          <w:szCs w:val="24"/>
          <w:lang w:eastAsia="en-GB"/>
        </w:rPr>
      </w:pPr>
      <w:r w:rsidRPr="004C421F">
        <w:rPr>
          <w:rFonts w:cs="Courier New"/>
          <w:b/>
          <w:color w:val="000000"/>
          <w:sz w:val="22"/>
          <w:szCs w:val="24"/>
          <w:lang w:eastAsia="en-GB"/>
        </w:rPr>
        <w:t xml:space="preserve">DELEGATED APPLICATION REPORT </w:t>
      </w:r>
      <w:r w:rsidRPr="004C421F">
        <w:rPr>
          <w:rFonts w:cs="Courier New"/>
          <w:b/>
          <w:color w:val="000000"/>
          <w:sz w:val="22"/>
          <w:szCs w:val="24"/>
          <w:lang w:eastAsia="en-GB"/>
        </w:rPr>
        <w:tab/>
      </w:r>
      <w:r w:rsidRPr="004C421F">
        <w:rPr>
          <w:rFonts w:cs="Courier New"/>
          <w:b/>
          <w:color w:val="000000"/>
          <w:sz w:val="22"/>
          <w:szCs w:val="24"/>
          <w:lang w:eastAsia="en-GB"/>
        </w:rPr>
        <w:tab/>
      </w:r>
      <w:r w:rsidRPr="004C421F">
        <w:rPr>
          <w:rFonts w:cs="Courier New"/>
          <w:b/>
          <w:color w:val="000000"/>
          <w:sz w:val="22"/>
          <w:szCs w:val="24"/>
          <w:lang w:eastAsia="en-GB"/>
        </w:rPr>
        <w:tab/>
      </w:r>
      <w:r w:rsidR="00490997" w:rsidRPr="004C421F">
        <w:rPr>
          <w:rFonts w:cs="Courier New"/>
          <w:b/>
          <w:color w:val="000000"/>
          <w:sz w:val="22"/>
          <w:szCs w:val="24"/>
          <w:lang w:eastAsia="en-GB"/>
        </w:rPr>
        <w:t xml:space="preserve">            </w:t>
      </w:r>
      <w:r w:rsidR="004C421F">
        <w:rPr>
          <w:rFonts w:cs="Courier New"/>
          <w:b/>
          <w:color w:val="000000"/>
          <w:sz w:val="22"/>
          <w:szCs w:val="24"/>
          <w:lang w:eastAsia="en-GB"/>
        </w:rPr>
        <w:tab/>
      </w:r>
      <w:r w:rsidR="00A37BA8">
        <w:rPr>
          <w:rFonts w:cs="Courier New"/>
          <w:b/>
          <w:color w:val="000000"/>
          <w:sz w:val="22"/>
          <w:szCs w:val="24"/>
          <w:lang w:eastAsia="en-GB"/>
        </w:rPr>
        <w:t xml:space="preserve">  </w:t>
      </w:r>
      <w:r w:rsidR="00920384">
        <w:rPr>
          <w:rFonts w:cs="Courier New"/>
          <w:b/>
          <w:color w:val="000000"/>
          <w:sz w:val="22"/>
          <w:szCs w:val="24"/>
          <w:lang w:eastAsia="en-GB"/>
        </w:rPr>
        <w:t xml:space="preserve">    </w:t>
      </w:r>
      <w:r w:rsidRPr="004C421F">
        <w:rPr>
          <w:rFonts w:cs="Courier New"/>
          <w:b/>
          <w:color w:val="000000"/>
          <w:sz w:val="22"/>
          <w:szCs w:val="24"/>
          <w:lang w:eastAsia="en-GB"/>
        </w:rPr>
        <w:t>Target Date:</w:t>
      </w:r>
      <w:r w:rsidR="00A37BA8">
        <w:rPr>
          <w:rFonts w:cs="Courier New"/>
          <w:b/>
          <w:color w:val="000000"/>
          <w:sz w:val="22"/>
          <w:szCs w:val="24"/>
          <w:lang w:eastAsia="en-GB"/>
        </w:rPr>
        <w:t xml:space="preserve"> </w:t>
      </w:r>
      <w:r w:rsidR="00A37BA8" w:rsidRPr="00A37BA8">
        <w:rPr>
          <w:rFonts w:cs="Courier New"/>
          <w:color w:val="000000"/>
          <w:sz w:val="22"/>
          <w:szCs w:val="24"/>
          <w:lang w:eastAsia="en-GB"/>
        </w:rPr>
        <w:t>14/08/19</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Application No:</w:t>
      </w:r>
      <w:r w:rsidR="00A37BA8">
        <w:rPr>
          <w:rFonts w:cs="Courier New"/>
          <w:b/>
          <w:color w:val="000000"/>
          <w:sz w:val="22"/>
          <w:szCs w:val="24"/>
          <w:lang w:eastAsia="en-GB"/>
        </w:rPr>
        <w:t xml:space="preserve"> </w:t>
      </w:r>
      <w:r w:rsidR="00A37BA8">
        <w:rPr>
          <w:rFonts w:cs="Courier New"/>
          <w:color w:val="000000"/>
          <w:sz w:val="22"/>
          <w:szCs w:val="24"/>
          <w:lang w:eastAsia="en-GB"/>
        </w:rPr>
        <w:t>190965/OPA</w:t>
      </w:r>
      <w:r w:rsidRPr="004C421F">
        <w:rPr>
          <w:rFonts w:cs="Courier New"/>
          <w:color w:val="000000"/>
          <w:sz w:val="22"/>
          <w:szCs w:val="24"/>
          <w:lang w:eastAsia="en-GB"/>
        </w:rPr>
        <w:tab/>
      </w:r>
      <w:r w:rsidRPr="004C421F">
        <w:rPr>
          <w:rFonts w:cs="Courier New"/>
          <w:color w:val="000000"/>
          <w:sz w:val="22"/>
          <w:szCs w:val="24"/>
          <w:lang w:eastAsia="en-GB"/>
        </w:rPr>
        <w:tab/>
      </w:r>
      <w:r w:rsidRPr="004C421F">
        <w:rPr>
          <w:rFonts w:cs="Courier New"/>
          <w:color w:val="000000"/>
          <w:sz w:val="22"/>
          <w:szCs w:val="24"/>
          <w:lang w:eastAsia="en-GB"/>
        </w:rPr>
        <w:tab/>
      </w:r>
    </w:p>
    <w:p w:rsidR="003104EB" w:rsidRPr="00A37BA8"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Address: </w:t>
      </w:r>
      <w:r w:rsidR="00A37BA8">
        <w:rPr>
          <w:rFonts w:cs="Courier New"/>
          <w:color w:val="000000"/>
          <w:sz w:val="22"/>
          <w:szCs w:val="24"/>
          <w:lang w:eastAsia="en-GB"/>
        </w:rPr>
        <w:t>10 Southern Court, South Street</w:t>
      </w:r>
    </w:p>
    <w:p w:rsidR="003104EB" w:rsidRPr="00920384"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Proposal: </w:t>
      </w:r>
      <w:r w:rsidR="006B1519">
        <w:rPr>
          <w:rFonts w:cs="Courier New"/>
          <w:color w:val="000000"/>
          <w:sz w:val="22"/>
          <w:szCs w:val="24"/>
          <w:lang w:eastAsia="en-GB"/>
        </w:rPr>
        <w:t xml:space="preserve">Change of use of existing building from Class </w:t>
      </w:r>
      <w:proofErr w:type="gramStart"/>
      <w:r w:rsidR="006B1519">
        <w:rPr>
          <w:rFonts w:cs="Courier New"/>
          <w:color w:val="000000"/>
          <w:sz w:val="22"/>
          <w:szCs w:val="24"/>
          <w:lang w:eastAsia="en-GB"/>
        </w:rPr>
        <w:t>B1(</w:t>
      </w:r>
      <w:proofErr w:type="gramEnd"/>
      <w:r w:rsidR="006B1519">
        <w:rPr>
          <w:rFonts w:cs="Courier New"/>
          <w:color w:val="000000"/>
          <w:sz w:val="22"/>
          <w:szCs w:val="24"/>
          <w:lang w:eastAsia="en-GB"/>
        </w:rPr>
        <w:t>a) (offices) to Class C3</w:t>
      </w:r>
      <w:r w:rsidR="00A37BA8">
        <w:rPr>
          <w:rFonts w:cs="Courier New"/>
          <w:color w:val="000000"/>
          <w:sz w:val="22"/>
          <w:szCs w:val="24"/>
          <w:lang w:eastAsia="en-GB"/>
        </w:rPr>
        <w:t xml:space="preserve"> (dwellinghouses) to comprise 16</w:t>
      </w:r>
      <w:r w:rsidR="006B1519">
        <w:rPr>
          <w:rFonts w:cs="Courier New"/>
          <w:color w:val="000000"/>
          <w:sz w:val="22"/>
          <w:szCs w:val="24"/>
          <w:lang w:eastAsia="en-GB"/>
        </w:rPr>
        <w:t xml:space="preserve"> residential units. Prior Notification under Class O, Part 3 of Schedule 2 of </w:t>
      </w:r>
      <w:proofErr w:type="gramStart"/>
      <w:r w:rsidR="006B1519">
        <w:rPr>
          <w:rFonts w:cs="Courier New"/>
          <w:color w:val="000000"/>
          <w:sz w:val="22"/>
          <w:szCs w:val="24"/>
          <w:lang w:eastAsia="en-GB"/>
        </w:rPr>
        <w:t>The</w:t>
      </w:r>
      <w:proofErr w:type="gramEnd"/>
      <w:r w:rsidR="006B1519">
        <w:rPr>
          <w:rFonts w:cs="Courier New"/>
          <w:color w:val="000000"/>
          <w:sz w:val="22"/>
          <w:szCs w:val="24"/>
          <w:lang w:eastAsia="en-GB"/>
        </w:rPr>
        <w:t xml:space="preserve"> Town and Country Planning (General Permitted Development) Order 2015 </w:t>
      </w:r>
    </w:p>
    <w:p w:rsidR="003104EB" w:rsidRPr="004C421F" w:rsidRDefault="003104EB" w:rsidP="003104EB">
      <w:pPr>
        <w:rPr>
          <w:rFonts w:cs="Courier New"/>
          <w:color w:val="000000"/>
          <w:sz w:val="22"/>
          <w:szCs w:val="24"/>
          <w:lang w:eastAsia="en-GB"/>
        </w:rPr>
      </w:pPr>
      <w:r w:rsidRPr="004C421F">
        <w:rPr>
          <w:rFonts w:cs="Courier New"/>
          <w:b/>
          <w:color w:val="000000"/>
          <w:sz w:val="22"/>
          <w:szCs w:val="24"/>
          <w:lang w:eastAsia="en-GB"/>
        </w:rPr>
        <w:t xml:space="preserve">Case officer: </w:t>
      </w:r>
      <w:r w:rsidRPr="004C421F">
        <w:rPr>
          <w:rFonts w:cs="Courier New"/>
          <w:color w:val="000000"/>
          <w:sz w:val="22"/>
          <w:szCs w:val="24"/>
          <w:lang w:eastAsia="en-GB"/>
        </w:rPr>
        <w:t>Tom Hughes</w:t>
      </w:r>
    </w:p>
    <w:p w:rsidR="003104EB" w:rsidRPr="004C421F" w:rsidRDefault="003104EB" w:rsidP="003104EB">
      <w:pPr>
        <w:rPr>
          <w:color w:val="000000"/>
          <w:sz w:val="22"/>
          <w:szCs w:val="24"/>
        </w:rPr>
      </w:pPr>
    </w:p>
    <w:p w:rsidR="003104EB" w:rsidRDefault="0094414F" w:rsidP="003104EB">
      <w:pPr>
        <w:pStyle w:val="Heading3"/>
        <w:rPr>
          <w:color w:val="000000"/>
          <w:szCs w:val="24"/>
        </w:rPr>
      </w:pPr>
      <w:r w:rsidRPr="004C421F">
        <w:rPr>
          <w:color w:val="000000"/>
          <w:szCs w:val="24"/>
        </w:rPr>
        <w:t>Introduction</w:t>
      </w:r>
    </w:p>
    <w:p w:rsidR="003104EB" w:rsidRPr="00A37BA8" w:rsidRDefault="00A37BA8" w:rsidP="003104EB">
      <w:pPr>
        <w:jc w:val="both"/>
        <w:rPr>
          <w:color w:val="000000"/>
          <w:sz w:val="22"/>
          <w:szCs w:val="24"/>
        </w:rPr>
      </w:pPr>
      <w:r>
        <w:rPr>
          <w:color w:val="000000"/>
          <w:sz w:val="22"/>
          <w:szCs w:val="24"/>
        </w:rPr>
        <w:t xml:space="preserve">The application site comprises a three storey office building, close to the junction with East Street. </w:t>
      </w:r>
      <w:r w:rsidR="00712F0A">
        <w:rPr>
          <w:color w:val="000000"/>
          <w:sz w:val="22"/>
          <w:szCs w:val="24"/>
        </w:rPr>
        <w:t xml:space="preserve">The building is not listed, nor is it located within a conservation area. </w:t>
      </w:r>
    </w:p>
    <w:p w:rsidR="00A37BA8" w:rsidRPr="006B1519" w:rsidRDefault="00A37BA8" w:rsidP="003104EB">
      <w:pPr>
        <w:jc w:val="both"/>
        <w:rPr>
          <w:color w:val="000000"/>
          <w:sz w:val="20"/>
          <w:szCs w:val="24"/>
        </w:rPr>
      </w:pPr>
    </w:p>
    <w:p w:rsidR="003104EB" w:rsidRPr="004C421F" w:rsidRDefault="0094414F" w:rsidP="003104EB">
      <w:pPr>
        <w:pStyle w:val="Heading3"/>
        <w:rPr>
          <w:color w:val="000000"/>
          <w:szCs w:val="24"/>
        </w:rPr>
      </w:pPr>
      <w:r w:rsidRPr="004C421F">
        <w:rPr>
          <w:color w:val="000000"/>
          <w:szCs w:val="24"/>
        </w:rPr>
        <w:t>Proposal</w:t>
      </w:r>
    </w:p>
    <w:p w:rsidR="00CB13E6" w:rsidRDefault="006B1519" w:rsidP="0094414F">
      <w:pPr>
        <w:rPr>
          <w:color w:val="000000"/>
          <w:sz w:val="22"/>
        </w:rPr>
      </w:pPr>
      <w:r>
        <w:rPr>
          <w:color w:val="000000"/>
          <w:sz w:val="22"/>
        </w:rPr>
        <w:t>Prior Approval, under Class O,</w:t>
      </w:r>
      <w:r w:rsidR="004C421F">
        <w:rPr>
          <w:color w:val="000000"/>
          <w:sz w:val="22"/>
        </w:rPr>
        <w:t xml:space="preserve"> Part 3 of Schedule 2 to The Town and Country Planning (General Permitted Development) (England) Order 2015 (as amended), is sought for the change of use and conversion of the building from offices to </w:t>
      </w:r>
      <w:r w:rsidR="00712F0A">
        <w:rPr>
          <w:color w:val="000000"/>
          <w:sz w:val="22"/>
        </w:rPr>
        <w:t>16</w:t>
      </w:r>
      <w:r>
        <w:rPr>
          <w:color w:val="000000"/>
          <w:sz w:val="22"/>
        </w:rPr>
        <w:t xml:space="preserve"> residential units.</w:t>
      </w:r>
    </w:p>
    <w:p w:rsidR="004C421F" w:rsidRPr="004C421F" w:rsidRDefault="004C421F" w:rsidP="0094414F">
      <w:pPr>
        <w:rPr>
          <w:sz w:val="22"/>
        </w:rPr>
      </w:pPr>
    </w:p>
    <w:p w:rsidR="003104EB" w:rsidRPr="004C421F" w:rsidRDefault="0094414F" w:rsidP="00FA3D5D">
      <w:pPr>
        <w:rPr>
          <w:sz w:val="22"/>
        </w:rPr>
      </w:pPr>
      <w:r w:rsidRPr="004C421F">
        <w:rPr>
          <w:b/>
          <w:color w:val="000000"/>
          <w:sz w:val="22"/>
          <w:szCs w:val="24"/>
        </w:rPr>
        <w:t>Plans Submitted</w:t>
      </w:r>
    </w:p>
    <w:p w:rsidR="006B1519" w:rsidRDefault="004C421F" w:rsidP="00774824">
      <w:pPr>
        <w:jc w:val="both"/>
        <w:rPr>
          <w:color w:val="000000"/>
          <w:sz w:val="22"/>
          <w:szCs w:val="24"/>
        </w:rPr>
      </w:pPr>
      <w:r>
        <w:rPr>
          <w:color w:val="000000"/>
          <w:sz w:val="22"/>
          <w:szCs w:val="24"/>
        </w:rPr>
        <w:t>The agent supplied</w:t>
      </w:r>
      <w:r w:rsidR="003104EB" w:rsidRPr="004C421F">
        <w:rPr>
          <w:color w:val="000000"/>
          <w:sz w:val="22"/>
          <w:szCs w:val="24"/>
        </w:rPr>
        <w:t xml:space="preserve"> the f</w:t>
      </w:r>
      <w:r w:rsidR="00196750" w:rsidRPr="004C421F">
        <w:rPr>
          <w:color w:val="000000"/>
          <w:sz w:val="22"/>
          <w:szCs w:val="24"/>
        </w:rPr>
        <w:t>ollowing</w:t>
      </w:r>
      <w:r w:rsidR="003D26F8" w:rsidRPr="004C421F">
        <w:rPr>
          <w:color w:val="000000"/>
          <w:sz w:val="22"/>
          <w:szCs w:val="24"/>
        </w:rPr>
        <w:t>, received on</w:t>
      </w:r>
      <w:r w:rsidR="005B6966" w:rsidRPr="004C421F">
        <w:rPr>
          <w:color w:val="000000"/>
          <w:sz w:val="22"/>
          <w:szCs w:val="24"/>
        </w:rPr>
        <w:t xml:space="preserve"> </w:t>
      </w:r>
      <w:r w:rsidR="00712F0A">
        <w:rPr>
          <w:color w:val="000000"/>
          <w:sz w:val="22"/>
          <w:szCs w:val="24"/>
        </w:rPr>
        <w:t>17/06/19:</w:t>
      </w:r>
    </w:p>
    <w:p w:rsidR="00712F0A" w:rsidRDefault="00712F0A" w:rsidP="00774824">
      <w:pPr>
        <w:jc w:val="both"/>
        <w:rPr>
          <w:color w:val="000000"/>
          <w:sz w:val="22"/>
          <w:szCs w:val="24"/>
        </w:rPr>
      </w:pPr>
      <w:r>
        <w:rPr>
          <w:color w:val="000000"/>
          <w:sz w:val="22"/>
          <w:szCs w:val="24"/>
        </w:rPr>
        <w:t>Planning Statement</w:t>
      </w:r>
    </w:p>
    <w:p w:rsidR="00712F0A" w:rsidRDefault="00712F0A" w:rsidP="00774824">
      <w:pPr>
        <w:jc w:val="both"/>
        <w:rPr>
          <w:color w:val="000000"/>
          <w:sz w:val="22"/>
          <w:szCs w:val="24"/>
        </w:rPr>
      </w:pPr>
      <w:r>
        <w:rPr>
          <w:color w:val="000000"/>
          <w:sz w:val="22"/>
          <w:szCs w:val="24"/>
        </w:rPr>
        <w:t>Drawing No: 003 Rev. P3 – Site Location and Block Plan</w:t>
      </w:r>
    </w:p>
    <w:p w:rsidR="00712F0A" w:rsidRDefault="00712F0A" w:rsidP="00774824">
      <w:pPr>
        <w:jc w:val="both"/>
        <w:rPr>
          <w:color w:val="000000"/>
          <w:sz w:val="22"/>
          <w:szCs w:val="24"/>
        </w:rPr>
      </w:pPr>
      <w:r>
        <w:rPr>
          <w:color w:val="000000"/>
          <w:sz w:val="22"/>
          <w:szCs w:val="24"/>
        </w:rPr>
        <w:t>Drawing No: 002 Rev. P1 – Existing Floor Plans</w:t>
      </w:r>
    </w:p>
    <w:p w:rsidR="00712F0A" w:rsidRDefault="00712F0A" w:rsidP="00774824">
      <w:pPr>
        <w:jc w:val="both"/>
        <w:rPr>
          <w:color w:val="000000"/>
          <w:sz w:val="22"/>
          <w:szCs w:val="24"/>
        </w:rPr>
      </w:pPr>
      <w:r>
        <w:rPr>
          <w:color w:val="000000"/>
          <w:sz w:val="22"/>
          <w:szCs w:val="24"/>
        </w:rPr>
        <w:t>Drawing No: 100 Rev. P10 – Proposed Ground Floor Plans</w:t>
      </w:r>
    </w:p>
    <w:p w:rsidR="00712F0A" w:rsidRDefault="00712F0A" w:rsidP="00774824">
      <w:pPr>
        <w:jc w:val="both"/>
        <w:rPr>
          <w:color w:val="000000"/>
          <w:sz w:val="22"/>
          <w:szCs w:val="24"/>
        </w:rPr>
      </w:pPr>
      <w:r>
        <w:rPr>
          <w:color w:val="000000"/>
          <w:sz w:val="22"/>
          <w:szCs w:val="24"/>
        </w:rPr>
        <w:t>Drawing No: 110 Rev. P10 – Proposed First Floor Plan</w:t>
      </w:r>
    </w:p>
    <w:p w:rsidR="00712F0A" w:rsidRDefault="00712F0A" w:rsidP="00774824">
      <w:pPr>
        <w:jc w:val="both"/>
        <w:rPr>
          <w:color w:val="000000"/>
          <w:sz w:val="22"/>
          <w:szCs w:val="24"/>
        </w:rPr>
      </w:pPr>
      <w:r>
        <w:rPr>
          <w:color w:val="000000"/>
          <w:sz w:val="22"/>
          <w:szCs w:val="24"/>
        </w:rPr>
        <w:t>Drawing No: 120 Rev. P10 – Proposed Second Floor Plans</w:t>
      </w:r>
    </w:p>
    <w:p w:rsidR="00712F0A" w:rsidRDefault="00712F0A" w:rsidP="00774824">
      <w:pPr>
        <w:jc w:val="both"/>
        <w:rPr>
          <w:color w:val="000000"/>
          <w:sz w:val="22"/>
          <w:szCs w:val="24"/>
        </w:rPr>
      </w:pPr>
      <w:r>
        <w:rPr>
          <w:color w:val="000000"/>
          <w:sz w:val="22"/>
          <w:szCs w:val="24"/>
        </w:rPr>
        <w:t>Drawing No: 005 Rev. P5 – Existing and Proposed Elevations</w:t>
      </w:r>
    </w:p>
    <w:p w:rsidR="00712F0A" w:rsidRDefault="00712F0A" w:rsidP="00774824">
      <w:pPr>
        <w:jc w:val="both"/>
        <w:rPr>
          <w:color w:val="000000"/>
          <w:sz w:val="22"/>
          <w:szCs w:val="24"/>
        </w:rPr>
      </w:pPr>
      <w:r>
        <w:rPr>
          <w:color w:val="000000"/>
          <w:sz w:val="22"/>
          <w:szCs w:val="24"/>
        </w:rPr>
        <w:t>Drawing No: 130 Rev. P1 – Proposed Sections</w:t>
      </w:r>
    </w:p>
    <w:p w:rsidR="009E3717" w:rsidRDefault="009E3717" w:rsidP="00774824">
      <w:pPr>
        <w:jc w:val="both"/>
        <w:rPr>
          <w:color w:val="000000"/>
          <w:sz w:val="22"/>
          <w:szCs w:val="24"/>
        </w:rPr>
      </w:pPr>
      <w:r>
        <w:rPr>
          <w:color w:val="000000"/>
          <w:sz w:val="22"/>
          <w:szCs w:val="24"/>
        </w:rPr>
        <w:t>Acoustic Assessment by Spectrum Consulting ref: NDT5626/18378/0, dated 17/10/18</w:t>
      </w:r>
    </w:p>
    <w:p w:rsidR="009E3717" w:rsidRPr="004C421F" w:rsidRDefault="009E3717" w:rsidP="00774824">
      <w:pPr>
        <w:jc w:val="both"/>
        <w:rPr>
          <w:color w:val="000000"/>
          <w:sz w:val="22"/>
          <w:szCs w:val="24"/>
        </w:rPr>
      </w:pPr>
      <w:r>
        <w:rPr>
          <w:color w:val="000000"/>
          <w:sz w:val="22"/>
          <w:szCs w:val="24"/>
        </w:rPr>
        <w:t xml:space="preserve">Phase One Environmental Assessment by SLR Consulting ref: </w:t>
      </w:r>
      <w:proofErr w:type="gramStart"/>
      <w:r>
        <w:rPr>
          <w:color w:val="000000"/>
          <w:sz w:val="22"/>
          <w:szCs w:val="24"/>
        </w:rPr>
        <w:t>427.05052.00003,</w:t>
      </w:r>
      <w:proofErr w:type="gramEnd"/>
      <w:r>
        <w:rPr>
          <w:color w:val="000000"/>
          <w:sz w:val="22"/>
          <w:szCs w:val="24"/>
        </w:rPr>
        <w:t xml:space="preserve"> dated 10/18, and appendices 1-5 </w:t>
      </w:r>
    </w:p>
    <w:p w:rsidR="004C421F" w:rsidRPr="004C421F" w:rsidRDefault="004C421F" w:rsidP="003104EB">
      <w:pPr>
        <w:rPr>
          <w:rFonts w:cs="Courier New"/>
          <w:color w:val="000000"/>
          <w:sz w:val="22"/>
          <w:szCs w:val="24"/>
          <w:lang w:eastAsia="en-GB"/>
        </w:rPr>
      </w:pPr>
    </w:p>
    <w:p w:rsidR="00CB13E6" w:rsidRDefault="00D772CB" w:rsidP="00CB13E6">
      <w:pPr>
        <w:jc w:val="both"/>
        <w:rPr>
          <w:b/>
          <w:color w:val="000000"/>
          <w:sz w:val="22"/>
          <w:szCs w:val="24"/>
        </w:rPr>
      </w:pPr>
      <w:r>
        <w:rPr>
          <w:b/>
          <w:color w:val="000000"/>
          <w:sz w:val="22"/>
          <w:szCs w:val="24"/>
        </w:rPr>
        <w:t>Relevant Policies and Supplementary Planning Guidance</w:t>
      </w:r>
    </w:p>
    <w:p w:rsidR="00D772CB" w:rsidRPr="00D772CB" w:rsidRDefault="00D772CB" w:rsidP="00CB13E6">
      <w:pPr>
        <w:jc w:val="both"/>
        <w:rPr>
          <w:color w:val="000000"/>
          <w:sz w:val="22"/>
          <w:szCs w:val="24"/>
          <w:u w:val="single"/>
        </w:rPr>
      </w:pPr>
      <w:r w:rsidRPr="00D772CB">
        <w:rPr>
          <w:color w:val="000000"/>
          <w:sz w:val="22"/>
          <w:szCs w:val="24"/>
          <w:u w:val="single"/>
        </w:rPr>
        <w:t>Legal Context</w:t>
      </w:r>
    </w:p>
    <w:p w:rsidR="00D772CB" w:rsidRDefault="00D772CB" w:rsidP="00CB13E6">
      <w:pPr>
        <w:jc w:val="both"/>
        <w:rPr>
          <w:color w:val="000000"/>
          <w:sz w:val="22"/>
          <w:szCs w:val="24"/>
        </w:rPr>
      </w:pPr>
      <w:r>
        <w:rPr>
          <w:color w:val="000000"/>
          <w:sz w:val="22"/>
          <w:szCs w:val="24"/>
        </w:rPr>
        <w:t xml:space="preserve">Class O allows development consisting of a change of use of a building and any land within its curtilage to Class C3 dwellinghouses (houses or flats) from a Class </w:t>
      </w:r>
      <w:proofErr w:type="gramStart"/>
      <w:r>
        <w:rPr>
          <w:color w:val="000000"/>
          <w:sz w:val="22"/>
          <w:szCs w:val="24"/>
        </w:rPr>
        <w:t>B1(</w:t>
      </w:r>
      <w:proofErr w:type="gramEnd"/>
      <w:r>
        <w:rPr>
          <w:color w:val="000000"/>
          <w:sz w:val="22"/>
          <w:szCs w:val="24"/>
        </w:rPr>
        <w:t xml:space="preserve">a) office use. </w:t>
      </w:r>
    </w:p>
    <w:p w:rsidR="00D772CB" w:rsidRDefault="00D772CB" w:rsidP="00CB13E6">
      <w:pPr>
        <w:jc w:val="both"/>
        <w:rPr>
          <w:color w:val="000000"/>
          <w:sz w:val="22"/>
          <w:szCs w:val="24"/>
        </w:rPr>
      </w:pPr>
    </w:p>
    <w:p w:rsidR="00D772CB" w:rsidRDefault="00D772CB" w:rsidP="00CB13E6">
      <w:pPr>
        <w:jc w:val="both"/>
        <w:rPr>
          <w:color w:val="000000"/>
          <w:sz w:val="22"/>
          <w:szCs w:val="24"/>
        </w:rPr>
      </w:pPr>
      <w:r>
        <w:rPr>
          <w:color w:val="000000"/>
          <w:sz w:val="22"/>
          <w:szCs w:val="24"/>
        </w:rPr>
        <w:t>As set out in para 0.2 of Class O (as amended), development is permitted subject to the condition that before beginning the development, the development shall apply to the Local Planning Authority for a determination as to whether the prior approval of the Local Planning Authority will be required as to:</w:t>
      </w:r>
    </w:p>
    <w:p w:rsidR="00D772CB" w:rsidRDefault="00D772CB" w:rsidP="00D772CB">
      <w:pPr>
        <w:pStyle w:val="ListParagraph"/>
        <w:numPr>
          <w:ilvl w:val="0"/>
          <w:numId w:val="10"/>
        </w:numPr>
        <w:jc w:val="both"/>
        <w:rPr>
          <w:color w:val="000000"/>
          <w:sz w:val="22"/>
          <w:szCs w:val="24"/>
        </w:rPr>
      </w:pPr>
      <w:r>
        <w:rPr>
          <w:color w:val="000000"/>
          <w:sz w:val="22"/>
          <w:szCs w:val="24"/>
        </w:rPr>
        <w:t>Transport and highways impacts of the development</w:t>
      </w:r>
    </w:p>
    <w:p w:rsidR="00D772CB" w:rsidRDefault="00D772CB" w:rsidP="00D772CB">
      <w:pPr>
        <w:pStyle w:val="ListParagraph"/>
        <w:numPr>
          <w:ilvl w:val="0"/>
          <w:numId w:val="10"/>
        </w:numPr>
        <w:jc w:val="both"/>
        <w:rPr>
          <w:color w:val="000000"/>
          <w:sz w:val="22"/>
          <w:szCs w:val="24"/>
        </w:rPr>
      </w:pPr>
      <w:r>
        <w:rPr>
          <w:color w:val="000000"/>
          <w:sz w:val="22"/>
          <w:szCs w:val="24"/>
        </w:rPr>
        <w:t>Contamination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Flooding risks on the site</w:t>
      </w:r>
    </w:p>
    <w:p w:rsidR="00D772CB" w:rsidRDefault="00D772CB" w:rsidP="00D772CB">
      <w:pPr>
        <w:pStyle w:val="ListParagraph"/>
        <w:numPr>
          <w:ilvl w:val="0"/>
          <w:numId w:val="10"/>
        </w:numPr>
        <w:jc w:val="both"/>
        <w:rPr>
          <w:color w:val="000000"/>
          <w:sz w:val="22"/>
          <w:szCs w:val="24"/>
        </w:rPr>
      </w:pPr>
      <w:r>
        <w:rPr>
          <w:color w:val="000000"/>
          <w:sz w:val="22"/>
          <w:szCs w:val="24"/>
        </w:rPr>
        <w:t>Impacts of noise from commercial premises on the intended occupiers of the development</w:t>
      </w:r>
    </w:p>
    <w:p w:rsidR="00D772CB" w:rsidRDefault="00D772CB" w:rsidP="00D772CB">
      <w:pPr>
        <w:jc w:val="both"/>
        <w:rPr>
          <w:color w:val="000000"/>
          <w:sz w:val="22"/>
          <w:szCs w:val="24"/>
        </w:rPr>
      </w:pPr>
    </w:p>
    <w:p w:rsidR="000D3630" w:rsidRDefault="000D3630" w:rsidP="00D772CB">
      <w:pPr>
        <w:jc w:val="both"/>
        <w:rPr>
          <w:color w:val="000000"/>
          <w:sz w:val="22"/>
          <w:szCs w:val="24"/>
        </w:rPr>
      </w:pPr>
      <w:r>
        <w:rPr>
          <w:color w:val="000000"/>
          <w:sz w:val="22"/>
          <w:szCs w:val="24"/>
        </w:rPr>
        <w:t xml:space="preserve">In assessing these issues, officers must have regard to the National Planning Policy Framework (NPPF) as if the application were a planning application, and also must have regard to the Local Development Framework (the NPPF states that due weight should be given to the adopted policies of the Local Development Framework according to their degree of consistency with the NPPF; the closer the policies in the plan to the policies in the NPPF, the greater weight that may be given). </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t>Reading Borough Local Development Framework Core Strategy (2008)</w:t>
      </w:r>
    </w:p>
    <w:p w:rsidR="000D3630" w:rsidRDefault="000D3630" w:rsidP="00D772CB">
      <w:pPr>
        <w:jc w:val="both"/>
        <w:rPr>
          <w:color w:val="000000"/>
          <w:sz w:val="22"/>
          <w:szCs w:val="24"/>
        </w:rPr>
      </w:pPr>
      <w:r>
        <w:rPr>
          <w:color w:val="000000"/>
          <w:sz w:val="22"/>
          <w:szCs w:val="24"/>
        </w:rPr>
        <w:t>Policy CS34 – Pollution and Water Resources</w:t>
      </w:r>
    </w:p>
    <w:p w:rsidR="000D3630" w:rsidRDefault="000D3630" w:rsidP="00D772CB">
      <w:pPr>
        <w:jc w:val="both"/>
        <w:rPr>
          <w:color w:val="000000"/>
          <w:sz w:val="22"/>
          <w:szCs w:val="24"/>
        </w:rPr>
      </w:pPr>
      <w:r>
        <w:rPr>
          <w:color w:val="000000"/>
          <w:sz w:val="22"/>
          <w:szCs w:val="24"/>
        </w:rPr>
        <w:t>Policy CS35 – Flooding</w:t>
      </w:r>
    </w:p>
    <w:p w:rsidR="000D3630" w:rsidRDefault="000D3630" w:rsidP="00D772CB">
      <w:pPr>
        <w:jc w:val="both"/>
        <w:rPr>
          <w:color w:val="000000"/>
          <w:sz w:val="22"/>
          <w:szCs w:val="24"/>
        </w:rPr>
      </w:pPr>
    </w:p>
    <w:p w:rsidR="000D3630" w:rsidRDefault="000D3630" w:rsidP="00D772CB">
      <w:pPr>
        <w:jc w:val="both"/>
        <w:rPr>
          <w:color w:val="000000"/>
          <w:sz w:val="22"/>
          <w:szCs w:val="24"/>
          <w:u w:val="single"/>
        </w:rPr>
      </w:pPr>
      <w:r>
        <w:rPr>
          <w:color w:val="000000"/>
          <w:sz w:val="22"/>
          <w:szCs w:val="24"/>
          <w:u w:val="single"/>
        </w:rPr>
        <w:t>Reading Borough Local Development Framework Sites and Detailed Policies Document (2012)</w:t>
      </w:r>
    </w:p>
    <w:p w:rsidR="000D3630" w:rsidRDefault="000D3630" w:rsidP="00D772CB">
      <w:pPr>
        <w:jc w:val="both"/>
        <w:rPr>
          <w:color w:val="000000"/>
          <w:sz w:val="22"/>
          <w:szCs w:val="24"/>
        </w:rPr>
      </w:pPr>
      <w:r>
        <w:rPr>
          <w:color w:val="000000"/>
          <w:sz w:val="22"/>
          <w:szCs w:val="24"/>
        </w:rPr>
        <w:lastRenderedPageBreak/>
        <w:t>Policy DM12 – Access, Traffic and Highway Related Matters</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Planning History</w:t>
      </w:r>
    </w:p>
    <w:p w:rsidR="000C0AF0" w:rsidRDefault="000C0AF0" w:rsidP="00D772CB">
      <w:pPr>
        <w:jc w:val="both"/>
        <w:rPr>
          <w:color w:val="000000"/>
          <w:sz w:val="22"/>
          <w:szCs w:val="24"/>
        </w:rPr>
      </w:pPr>
      <w:r w:rsidRPr="000C0AF0">
        <w:rPr>
          <w:color w:val="000000"/>
          <w:sz w:val="22"/>
          <w:szCs w:val="24"/>
        </w:rPr>
        <w:t>182027</w:t>
      </w:r>
      <w:r>
        <w:rPr>
          <w:color w:val="000000"/>
          <w:sz w:val="22"/>
          <w:szCs w:val="24"/>
        </w:rPr>
        <w:t xml:space="preserve">/OPA - </w:t>
      </w:r>
      <w:r>
        <w:rPr>
          <w:rFonts w:cs="Courier New"/>
          <w:color w:val="000000"/>
          <w:sz w:val="22"/>
          <w:szCs w:val="24"/>
          <w:lang w:eastAsia="en-GB"/>
        </w:rPr>
        <w:t xml:space="preserve">Change of use of existing building from Class </w:t>
      </w:r>
      <w:proofErr w:type="gramStart"/>
      <w:r>
        <w:rPr>
          <w:rFonts w:cs="Courier New"/>
          <w:color w:val="000000"/>
          <w:sz w:val="22"/>
          <w:szCs w:val="24"/>
          <w:lang w:eastAsia="en-GB"/>
        </w:rPr>
        <w:t>B1(</w:t>
      </w:r>
      <w:proofErr w:type="gramEnd"/>
      <w:r>
        <w:rPr>
          <w:rFonts w:cs="Courier New"/>
          <w:color w:val="000000"/>
          <w:sz w:val="22"/>
          <w:szCs w:val="24"/>
          <w:lang w:eastAsia="en-GB"/>
        </w:rPr>
        <w:t>a) (offices) to Class C3 (dwellinghouses) to comprise 16 residential units. Prior Notification under Class O, Part 3 of Schedule 2 of The Town and Country Planning (General P</w:t>
      </w:r>
      <w:r>
        <w:rPr>
          <w:rFonts w:cs="Courier New"/>
          <w:color w:val="000000"/>
          <w:sz w:val="22"/>
          <w:szCs w:val="24"/>
          <w:lang w:eastAsia="en-GB"/>
        </w:rPr>
        <w:t>ermitted Development) Order 2015</w:t>
      </w:r>
      <w:r>
        <w:rPr>
          <w:color w:val="000000"/>
          <w:sz w:val="22"/>
          <w:szCs w:val="24"/>
        </w:rPr>
        <w:t xml:space="preserve"> – Prior Approval Notification – Approval 10/01/19</w:t>
      </w:r>
    </w:p>
    <w:p w:rsidR="000C0AF0" w:rsidRPr="000C0AF0" w:rsidRDefault="000C0AF0" w:rsidP="00D772CB">
      <w:pPr>
        <w:jc w:val="both"/>
        <w:rPr>
          <w:color w:val="000000"/>
          <w:sz w:val="22"/>
          <w:szCs w:val="24"/>
        </w:rPr>
      </w:pPr>
      <w:r>
        <w:rPr>
          <w:color w:val="000000"/>
          <w:sz w:val="22"/>
          <w:szCs w:val="24"/>
        </w:rPr>
        <w:t>190269/FUL – Creation of new ground floor door openings to flats, plus minor alterations to fenestration in eastern elevation – Permitted 11/04/19</w:t>
      </w:r>
    </w:p>
    <w:p w:rsidR="000D3630" w:rsidRDefault="000D3630" w:rsidP="00D772CB">
      <w:pPr>
        <w:jc w:val="both"/>
        <w:rPr>
          <w:b/>
          <w:color w:val="000000"/>
          <w:sz w:val="22"/>
          <w:szCs w:val="24"/>
        </w:rPr>
      </w:pPr>
    </w:p>
    <w:p w:rsidR="000D3630" w:rsidRDefault="000D3630" w:rsidP="00D772CB">
      <w:pPr>
        <w:jc w:val="both"/>
        <w:rPr>
          <w:b/>
          <w:color w:val="000000"/>
          <w:sz w:val="22"/>
          <w:szCs w:val="24"/>
        </w:rPr>
      </w:pPr>
      <w:r>
        <w:rPr>
          <w:b/>
          <w:color w:val="000000"/>
          <w:sz w:val="22"/>
          <w:szCs w:val="24"/>
        </w:rPr>
        <w:t>Response to Publicity</w:t>
      </w:r>
    </w:p>
    <w:p w:rsidR="000D3630" w:rsidRPr="00AB27DA" w:rsidRDefault="000D3630" w:rsidP="00AB27DA">
      <w:pPr>
        <w:jc w:val="both"/>
        <w:rPr>
          <w:color w:val="000000"/>
          <w:sz w:val="22"/>
          <w:szCs w:val="24"/>
        </w:rPr>
      </w:pPr>
      <w:r>
        <w:rPr>
          <w:color w:val="000000"/>
          <w:sz w:val="22"/>
          <w:szCs w:val="24"/>
        </w:rPr>
        <w:t xml:space="preserve">A site notice </w:t>
      </w:r>
      <w:r w:rsidR="00AB27DA">
        <w:rPr>
          <w:color w:val="000000"/>
          <w:sz w:val="22"/>
          <w:szCs w:val="24"/>
        </w:rPr>
        <w:t xml:space="preserve">was displayed. No letters of representation have been received. </w:t>
      </w:r>
    </w:p>
    <w:p w:rsidR="000D3630" w:rsidRDefault="000D3630" w:rsidP="00D772CB">
      <w:pPr>
        <w:jc w:val="both"/>
        <w:rPr>
          <w:color w:val="000000"/>
          <w:sz w:val="22"/>
          <w:szCs w:val="24"/>
        </w:rPr>
      </w:pPr>
    </w:p>
    <w:p w:rsidR="000D3630" w:rsidRDefault="000D3630" w:rsidP="00D772CB">
      <w:pPr>
        <w:jc w:val="both"/>
        <w:rPr>
          <w:b/>
          <w:color w:val="000000"/>
          <w:sz w:val="22"/>
          <w:szCs w:val="24"/>
        </w:rPr>
      </w:pPr>
      <w:r>
        <w:rPr>
          <w:b/>
          <w:color w:val="000000"/>
          <w:sz w:val="22"/>
          <w:szCs w:val="24"/>
        </w:rPr>
        <w:t>Consultation Responses</w:t>
      </w:r>
    </w:p>
    <w:p w:rsidR="00AB27DA" w:rsidRDefault="00AB27DA" w:rsidP="00D772CB">
      <w:pPr>
        <w:jc w:val="both"/>
        <w:rPr>
          <w:color w:val="000000"/>
          <w:sz w:val="22"/>
          <w:szCs w:val="24"/>
          <w:u w:val="single"/>
        </w:rPr>
      </w:pPr>
      <w:r w:rsidRPr="00AB27DA">
        <w:rPr>
          <w:color w:val="000000"/>
          <w:sz w:val="22"/>
          <w:szCs w:val="24"/>
          <w:u w:val="single"/>
        </w:rPr>
        <w:t xml:space="preserve">Transport Development Control </w:t>
      </w:r>
    </w:p>
    <w:p w:rsidR="00AB27DA" w:rsidRDefault="00AB27DA" w:rsidP="00D772CB">
      <w:pPr>
        <w:jc w:val="both"/>
        <w:rPr>
          <w:color w:val="000000"/>
          <w:sz w:val="22"/>
          <w:szCs w:val="24"/>
        </w:rPr>
      </w:pPr>
      <w:r>
        <w:rPr>
          <w:color w:val="000000"/>
          <w:sz w:val="22"/>
          <w:szCs w:val="24"/>
        </w:rPr>
        <w:t>The site is located within Zone 2, Primary Core Area, but on the periphery of the Central Core which consists primarily of retail and commercial office developments, with limited residential. The area is well served by rail and bus links and contains the largest proportion of public car parking spaces.</w:t>
      </w:r>
    </w:p>
    <w:p w:rsidR="00AB27DA" w:rsidRDefault="00AB27DA" w:rsidP="00D772CB">
      <w:pPr>
        <w:jc w:val="both"/>
        <w:rPr>
          <w:color w:val="000000"/>
          <w:sz w:val="22"/>
          <w:szCs w:val="24"/>
        </w:rPr>
      </w:pPr>
    </w:p>
    <w:p w:rsidR="00AB27DA" w:rsidRDefault="00AB27DA" w:rsidP="00D772CB">
      <w:pPr>
        <w:jc w:val="both"/>
        <w:rPr>
          <w:color w:val="000000"/>
          <w:sz w:val="22"/>
          <w:szCs w:val="24"/>
        </w:rPr>
      </w:pPr>
      <w:r>
        <w:rPr>
          <w:color w:val="000000"/>
          <w:sz w:val="22"/>
          <w:szCs w:val="24"/>
        </w:rPr>
        <w:t xml:space="preserve">The proposed development consists of the change of use from Class B1a (offices) to Class C3 (dwellinghouses) to comprise of 16 flats. It is indicated that the proposal will provide a total of 7 car parking spaces at the rear of the site in an existing car park. </w:t>
      </w:r>
    </w:p>
    <w:p w:rsidR="00AB27DA" w:rsidRDefault="00AB27DA" w:rsidP="00D772CB">
      <w:pPr>
        <w:jc w:val="both"/>
        <w:rPr>
          <w:color w:val="000000"/>
          <w:sz w:val="22"/>
          <w:szCs w:val="24"/>
        </w:rPr>
      </w:pPr>
    </w:p>
    <w:p w:rsidR="00AB27DA" w:rsidRDefault="00AB27DA" w:rsidP="00D772CB">
      <w:pPr>
        <w:jc w:val="both"/>
        <w:rPr>
          <w:color w:val="000000"/>
          <w:sz w:val="22"/>
          <w:szCs w:val="24"/>
        </w:rPr>
      </w:pPr>
      <w:r>
        <w:rPr>
          <w:color w:val="000000"/>
          <w:sz w:val="22"/>
          <w:szCs w:val="24"/>
        </w:rPr>
        <w:t xml:space="preserve">In accordance with the adopted Parking Standards and Design SPD, the proposal would generate the requirement for 16 spaces. Whilst the development does not provide this level of parking, South Street and the surrounding road network all have extensive parking restrictions preventing on-street parking. Therefore, any overflow in parking would not affect the flow of traffic on the classified road network. However, it is </w:t>
      </w:r>
      <w:r w:rsidR="002818B8">
        <w:rPr>
          <w:color w:val="000000"/>
          <w:sz w:val="22"/>
          <w:szCs w:val="24"/>
        </w:rPr>
        <w:t>recommended that an informative is included within any permission to ensure that the development does not result in an increase in residents on street parking within the vicinity of the site. This would ensure that the development does not harm the existing amenities of the occupiers of neighbouring residential properties by adding to the already high level of on street car parking in the area.</w:t>
      </w:r>
    </w:p>
    <w:p w:rsidR="002818B8" w:rsidRDefault="002818B8" w:rsidP="00D772CB">
      <w:pPr>
        <w:jc w:val="both"/>
        <w:rPr>
          <w:color w:val="000000"/>
          <w:sz w:val="22"/>
          <w:szCs w:val="24"/>
        </w:rPr>
      </w:pPr>
    </w:p>
    <w:p w:rsidR="002818B8" w:rsidRDefault="002818B8" w:rsidP="00D772CB">
      <w:pPr>
        <w:jc w:val="both"/>
        <w:rPr>
          <w:color w:val="000000"/>
          <w:sz w:val="22"/>
          <w:szCs w:val="24"/>
          <w:u w:val="single"/>
        </w:rPr>
      </w:pPr>
      <w:r>
        <w:rPr>
          <w:color w:val="000000"/>
          <w:sz w:val="22"/>
          <w:szCs w:val="24"/>
          <w:u w:val="single"/>
        </w:rPr>
        <w:t>Environmental Protection</w:t>
      </w:r>
    </w:p>
    <w:p w:rsidR="002818B8" w:rsidRPr="002818B8" w:rsidRDefault="002818B8" w:rsidP="00D772CB">
      <w:pPr>
        <w:jc w:val="both"/>
        <w:rPr>
          <w:color w:val="000000"/>
          <w:sz w:val="22"/>
          <w:szCs w:val="24"/>
        </w:rPr>
      </w:pPr>
      <w:r>
        <w:rPr>
          <w:color w:val="000000"/>
          <w:sz w:val="22"/>
          <w:szCs w:val="24"/>
        </w:rPr>
        <w:t xml:space="preserve">The Council’s Environmental Protection Officer has assessed the submitted noise assessment and Phase One Environmental Assessment. Both documents concluded that no mitigation was required regarding noise and the site is not considered to be at significant risk of contaminated land. Based on this, there are no objections to the proposal. </w:t>
      </w:r>
    </w:p>
    <w:p w:rsidR="00B163FC" w:rsidRDefault="00B163FC" w:rsidP="00CB13E6">
      <w:pPr>
        <w:jc w:val="both"/>
        <w:rPr>
          <w:color w:val="000000"/>
          <w:sz w:val="22"/>
          <w:szCs w:val="24"/>
        </w:rPr>
      </w:pPr>
    </w:p>
    <w:p w:rsidR="00D16515" w:rsidRDefault="00D16515" w:rsidP="00CB13E6">
      <w:pPr>
        <w:jc w:val="both"/>
        <w:rPr>
          <w:b/>
          <w:color w:val="000000"/>
          <w:sz w:val="22"/>
          <w:szCs w:val="24"/>
        </w:rPr>
      </w:pPr>
      <w:r>
        <w:rPr>
          <w:b/>
          <w:color w:val="000000"/>
          <w:sz w:val="22"/>
          <w:szCs w:val="24"/>
        </w:rPr>
        <w:t>Appraisal</w:t>
      </w:r>
    </w:p>
    <w:p w:rsidR="00D16515" w:rsidRDefault="00D16515" w:rsidP="00CB13E6">
      <w:pPr>
        <w:jc w:val="both"/>
        <w:rPr>
          <w:color w:val="000000"/>
          <w:sz w:val="22"/>
          <w:szCs w:val="24"/>
        </w:rPr>
      </w:pPr>
      <w:r>
        <w:rPr>
          <w:color w:val="000000"/>
          <w:sz w:val="22"/>
          <w:szCs w:val="24"/>
        </w:rPr>
        <w:t>Development is not permitted by Class O in the following instances:</w:t>
      </w:r>
    </w:p>
    <w:p w:rsidR="00D16515" w:rsidRDefault="00D16515" w:rsidP="00D16515">
      <w:pPr>
        <w:pStyle w:val="ListParagraph"/>
        <w:numPr>
          <w:ilvl w:val="0"/>
          <w:numId w:val="11"/>
        </w:numPr>
        <w:jc w:val="both"/>
        <w:rPr>
          <w:color w:val="000000"/>
          <w:sz w:val="22"/>
          <w:szCs w:val="24"/>
        </w:rPr>
      </w:pPr>
      <w:r>
        <w:rPr>
          <w:color w:val="000000"/>
          <w:sz w:val="22"/>
          <w:szCs w:val="24"/>
        </w:rPr>
        <w:t>The building is on article 2(5) land and an application under paragraph 0.2(1) in respect of the development is received by the Local Planning Authority on or before 30</w:t>
      </w:r>
      <w:r w:rsidRPr="00D16515">
        <w:rPr>
          <w:color w:val="000000"/>
          <w:sz w:val="22"/>
          <w:szCs w:val="24"/>
          <w:vertAlign w:val="superscript"/>
        </w:rPr>
        <w:t>th</w:t>
      </w:r>
      <w:r>
        <w:rPr>
          <w:color w:val="000000"/>
          <w:sz w:val="22"/>
          <w:szCs w:val="24"/>
        </w:rPr>
        <w:t xml:space="preserve"> May 2019</w:t>
      </w:r>
      <w:r w:rsidR="002818B8">
        <w:rPr>
          <w:color w:val="000000"/>
          <w:sz w:val="22"/>
          <w:szCs w:val="24"/>
        </w:rPr>
        <w:t xml:space="preserve"> </w:t>
      </w:r>
      <w:r w:rsidR="002818B8">
        <w:rPr>
          <w:b/>
          <w:color w:val="000000"/>
          <w:sz w:val="22"/>
          <w:szCs w:val="24"/>
        </w:rPr>
        <w:t>Complies</w:t>
      </w:r>
    </w:p>
    <w:p w:rsidR="00D16515" w:rsidRDefault="00D16515" w:rsidP="00D16515">
      <w:pPr>
        <w:pStyle w:val="ListParagraph"/>
        <w:numPr>
          <w:ilvl w:val="0"/>
          <w:numId w:val="11"/>
        </w:numPr>
        <w:jc w:val="both"/>
        <w:rPr>
          <w:color w:val="000000"/>
          <w:sz w:val="22"/>
          <w:szCs w:val="24"/>
        </w:rPr>
      </w:pPr>
      <w:r>
        <w:rPr>
          <w:color w:val="000000"/>
          <w:sz w:val="22"/>
          <w:szCs w:val="24"/>
        </w:rPr>
        <w:t>The building was not used for a use falling within Class B1(a) of the Schedule to the Use Classes Order immediately before 30</w:t>
      </w:r>
      <w:r w:rsidRPr="00D16515">
        <w:rPr>
          <w:color w:val="000000"/>
          <w:sz w:val="22"/>
          <w:szCs w:val="24"/>
          <w:vertAlign w:val="superscript"/>
        </w:rPr>
        <w:t>th</w:t>
      </w:r>
      <w:r>
        <w:rPr>
          <w:color w:val="000000"/>
          <w:sz w:val="22"/>
          <w:szCs w:val="24"/>
        </w:rPr>
        <w:t xml:space="preserve"> May 2013 </w:t>
      </w:r>
      <w:r w:rsidR="00F44920">
        <w:rPr>
          <w:b/>
          <w:color w:val="000000"/>
          <w:sz w:val="22"/>
          <w:szCs w:val="24"/>
        </w:rPr>
        <w:t xml:space="preserve">Complies, Business Rates show the building under a single assessment, with a description as offices and premises, rated since 31/08/02. Based on the evidence supplied and the lack of evidence to the contrary, it is considered that on the balance of probability that the ground, first and second floors of the building subject of the application have been in office use for a continuous period of over 10 years and therefore the lawful planning use of the upper floors of the building can be established as Class B1(a) </w:t>
      </w:r>
      <w:r w:rsidR="00F44920">
        <w:rPr>
          <w:b/>
          <w:color w:val="000000"/>
          <w:sz w:val="22"/>
          <w:szCs w:val="24"/>
        </w:rPr>
        <w:t xml:space="preserve"> </w:t>
      </w:r>
      <w:r>
        <w:rPr>
          <w:color w:val="000000"/>
          <w:sz w:val="22"/>
          <w:szCs w:val="24"/>
        </w:rPr>
        <w:t>or, if the building was not in use immediately before that date, when it was last in use</w:t>
      </w:r>
      <w:r w:rsidR="002818B8">
        <w:rPr>
          <w:color w:val="000000"/>
          <w:sz w:val="22"/>
          <w:szCs w:val="24"/>
        </w:rPr>
        <w:t xml:space="preserve"> </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safety hazard area</w:t>
      </w:r>
      <w:r w:rsidR="00F44920">
        <w:rPr>
          <w:color w:val="000000"/>
          <w:sz w:val="22"/>
          <w:szCs w:val="24"/>
        </w:rPr>
        <w:t xml:space="preserve"> </w:t>
      </w:r>
      <w:r w:rsidR="00F44920">
        <w:rPr>
          <w:b/>
          <w:color w:val="000000"/>
          <w:sz w:val="22"/>
          <w:szCs w:val="24"/>
        </w:rPr>
        <w:t>Complies</w:t>
      </w:r>
    </w:p>
    <w:p w:rsidR="00D16515" w:rsidRDefault="00D16515" w:rsidP="00D16515">
      <w:pPr>
        <w:pStyle w:val="ListParagraph"/>
        <w:numPr>
          <w:ilvl w:val="0"/>
          <w:numId w:val="11"/>
        </w:numPr>
        <w:jc w:val="both"/>
        <w:rPr>
          <w:color w:val="000000"/>
          <w:sz w:val="22"/>
          <w:szCs w:val="24"/>
        </w:rPr>
      </w:pPr>
      <w:r>
        <w:rPr>
          <w:color w:val="000000"/>
          <w:sz w:val="22"/>
          <w:szCs w:val="24"/>
        </w:rPr>
        <w:t>The site is or forms part of a military explosives storage area</w:t>
      </w:r>
      <w:r w:rsidR="00F44920">
        <w:rPr>
          <w:color w:val="000000"/>
          <w:sz w:val="22"/>
          <w:szCs w:val="24"/>
        </w:rPr>
        <w:t xml:space="preserve"> </w:t>
      </w:r>
      <w:r w:rsidR="00F44920">
        <w:rPr>
          <w:b/>
          <w:color w:val="000000"/>
          <w:sz w:val="22"/>
          <w:szCs w:val="24"/>
        </w:rPr>
        <w:t>Complies</w:t>
      </w:r>
    </w:p>
    <w:p w:rsidR="00D16515" w:rsidRDefault="00D16515" w:rsidP="00D16515">
      <w:pPr>
        <w:pStyle w:val="ListParagraph"/>
        <w:numPr>
          <w:ilvl w:val="0"/>
          <w:numId w:val="11"/>
        </w:numPr>
        <w:jc w:val="both"/>
        <w:rPr>
          <w:color w:val="000000"/>
          <w:sz w:val="22"/>
          <w:szCs w:val="24"/>
        </w:rPr>
      </w:pPr>
      <w:r>
        <w:rPr>
          <w:color w:val="000000"/>
          <w:sz w:val="22"/>
          <w:szCs w:val="24"/>
        </w:rPr>
        <w:t xml:space="preserve">The building is a listed building or a scheduled monument </w:t>
      </w:r>
      <w:r w:rsidR="00F44920">
        <w:rPr>
          <w:color w:val="000000"/>
          <w:sz w:val="22"/>
          <w:szCs w:val="24"/>
        </w:rPr>
        <w:t>Complies</w:t>
      </w:r>
    </w:p>
    <w:p w:rsidR="00D16515" w:rsidRDefault="00D16515" w:rsidP="00D16515">
      <w:pPr>
        <w:jc w:val="both"/>
        <w:rPr>
          <w:color w:val="000000"/>
          <w:sz w:val="22"/>
          <w:szCs w:val="24"/>
        </w:rPr>
      </w:pPr>
    </w:p>
    <w:p w:rsidR="00D16515" w:rsidRDefault="00D16515" w:rsidP="00D16515">
      <w:pPr>
        <w:jc w:val="both"/>
        <w:rPr>
          <w:color w:val="000000"/>
          <w:sz w:val="22"/>
          <w:szCs w:val="24"/>
        </w:rPr>
      </w:pPr>
      <w:r>
        <w:rPr>
          <w:color w:val="000000"/>
          <w:sz w:val="22"/>
          <w:szCs w:val="24"/>
        </w:rPr>
        <w:t>Development under Class O is permitted subject to condition. This assessment can only consider the transport and highways impacts of the development, contamination risks on the site</w:t>
      </w:r>
      <w:r w:rsidR="00F41BEF">
        <w:rPr>
          <w:color w:val="000000"/>
          <w:sz w:val="22"/>
          <w:szCs w:val="24"/>
        </w:rPr>
        <w:t>, flooding risks on the site and noise from commercial premises.</w:t>
      </w:r>
    </w:p>
    <w:p w:rsidR="00F41BEF" w:rsidRDefault="00F41BEF" w:rsidP="00D16515">
      <w:pPr>
        <w:jc w:val="both"/>
        <w:rPr>
          <w:color w:val="000000"/>
          <w:sz w:val="22"/>
          <w:szCs w:val="24"/>
        </w:rPr>
      </w:pPr>
    </w:p>
    <w:p w:rsidR="00F41BEF" w:rsidRDefault="00F41BEF" w:rsidP="00D16515">
      <w:pPr>
        <w:jc w:val="both"/>
        <w:rPr>
          <w:color w:val="000000"/>
          <w:sz w:val="22"/>
          <w:szCs w:val="24"/>
          <w:u w:val="single"/>
        </w:rPr>
      </w:pPr>
      <w:r>
        <w:rPr>
          <w:color w:val="000000"/>
          <w:sz w:val="22"/>
          <w:szCs w:val="24"/>
          <w:u w:val="single"/>
        </w:rPr>
        <w:t>Transport and highways impacts</w:t>
      </w:r>
    </w:p>
    <w:p w:rsidR="00F44920" w:rsidRPr="00F44920" w:rsidRDefault="00F44920" w:rsidP="00D16515">
      <w:pPr>
        <w:jc w:val="both"/>
        <w:rPr>
          <w:color w:val="000000"/>
          <w:sz w:val="22"/>
          <w:szCs w:val="24"/>
        </w:rPr>
      </w:pPr>
      <w:r>
        <w:rPr>
          <w:color w:val="000000"/>
          <w:sz w:val="22"/>
          <w:szCs w:val="24"/>
        </w:rPr>
        <w:t xml:space="preserve">While it is acknowledged that the proposal would not provide a level of parking required for a proposal of this size, the surrounding road network has extensive restrictions in place preventing on-street parking. As such, there would be no material impact on the character of traffic in the vicinity of the site.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Contamination risks</w:t>
      </w:r>
    </w:p>
    <w:p w:rsidR="00F44920" w:rsidRPr="00F44920" w:rsidRDefault="00F44920" w:rsidP="00D16515">
      <w:pPr>
        <w:jc w:val="both"/>
        <w:rPr>
          <w:color w:val="000000"/>
          <w:sz w:val="22"/>
          <w:szCs w:val="24"/>
        </w:rPr>
      </w:pPr>
      <w:r>
        <w:rPr>
          <w:color w:val="000000"/>
          <w:sz w:val="22"/>
          <w:szCs w:val="24"/>
        </w:rPr>
        <w:t>The phase one contaminated land assessment concludes that there are no contaminated land concerns in this location.</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Flooding risks</w:t>
      </w:r>
    </w:p>
    <w:p w:rsidR="00F44920" w:rsidRPr="00F44920" w:rsidRDefault="00F44920" w:rsidP="00D16515">
      <w:pPr>
        <w:jc w:val="both"/>
        <w:rPr>
          <w:color w:val="000000"/>
          <w:sz w:val="22"/>
          <w:szCs w:val="24"/>
        </w:rPr>
      </w:pPr>
      <w:r>
        <w:rPr>
          <w:color w:val="000000"/>
          <w:sz w:val="22"/>
          <w:szCs w:val="24"/>
        </w:rPr>
        <w:t xml:space="preserve">The site is located in Flood Zone 1. The site therefore has a low probability of flooding. </w:t>
      </w:r>
    </w:p>
    <w:p w:rsidR="00F41BEF" w:rsidRDefault="00F41BEF" w:rsidP="00D16515">
      <w:pPr>
        <w:jc w:val="both"/>
        <w:rPr>
          <w:color w:val="000000"/>
          <w:sz w:val="22"/>
          <w:szCs w:val="24"/>
          <w:u w:val="single"/>
        </w:rPr>
      </w:pPr>
    </w:p>
    <w:p w:rsidR="00F41BEF" w:rsidRDefault="00F41BEF" w:rsidP="00D16515">
      <w:pPr>
        <w:jc w:val="both"/>
        <w:rPr>
          <w:color w:val="000000"/>
          <w:sz w:val="22"/>
          <w:szCs w:val="24"/>
          <w:u w:val="single"/>
        </w:rPr>
      </w:pPr>
      <w:r>
        <w:rPr>
          <w:color w:val="000000"/>
          <w:sz w:val="22"/>
          <w:szCs w:val="24"/>
          <w:u w:val="single"/>
        </w:rPr>
        <w:t>Noise from commercial premises</w:t>
      </w:r>
    </w:p>
    <w:p w:rsidR="00F41BEF" w:rsidRPr="00F44920" w:rsidRDefault="00F44920" w:rsidP="00D16515">
      <w:pPr>
        <w:jc w:val="both"/>
        <w:rPr>
          <w:color w:val="000000"/>
          <w:sz w:val="22"/>
          <w:szCs w:val="24"/>
        </w:rPr>
      </w:pPr>
      <w:r>
        <w:rPr>
          <w:color w:val="000000"/>
          <w:sz w:val="22"/>
          <w:szCs w:val="24"/>
        </w:rPr>
        <w:t>As an application for prior approval, only commercial noise can be considered. The site is located adjacent to residential development</w:t>
      </w:r>
      <w:r w:rsidR="005C7BA4">
        <w:rPr>
          <w:color w:val="000000"/>
          <w:sz w:val="22"/>
          <w:szCs w:val="24"/>
        </w:rPr>
        <w:t xml:space="preserve">. Introducing further residential uses in this location is not considered to generate significantly more noise than the existing use. </w:t>
      </w:r>
      <w:bookmarkStart w:id="0" w:name="_GoBack"/>
      <w:bookmarkEnd w:id="0"/>
    </w:p>
    <w:p w:rsidR="00F44920" w:rsidRDefault="00F44920" w:rsidP="00D16515">
      <w:pPr>
        <w:jc w:val="both"/>
        <w:rPr>
          <w:color w:val="000000"/>
          <w:sz w:val="22"/>
          <w:szCs w:val="24"/>
          <w:u w:val="single"/>
        </w:rPr>
      </w:pPr>
    </w:p>
    <w:p w:rsidR="00F41BEF" w:rsidRDefault="00F41BEF" w:rsidP="00D16515">
      <w:pPr>
        <w:jc w:val="both"/>
        <w:rPr>
          <w:b/>
          <w:color w:val="000000"/>
          <w:sz w:val="22"/>
          <w:szCs w:val="24"/>
        </w:rPr>
      </w:pPr>
      <w:r>
        <w:rPr>
          <w:b/>
          <w:color w:val="000000"/>
          <w:sz w:val="22"/>
          <w:szCs w:val="24"/>
        </w:rPr>
        <w:t>Recommendation</w:t>
      </w:r>
    </w:p>
    <w:p w:rsidR="00F41BEF" w:rsidRPr="00F41BEF" w:rsidRDefault="00F41BEF" w:rsidP="00D16515">
      <w:pPr>
        <w:jc w:val="both"/>
        <w:rPr>
          <w:b/>
          <w:color w:val="000000"/>
          <w:sz w:val="22"/>
          <w:szCs w:val="24"/>
        </w:rPr>
      </w:pPr>
      <w:r>
        <w:rPr>
          <w:b/>
          <w:color w:val="000000"/>
          <w:sz w:val="22"/>
          <w:szCs w:val="24"/>
        </w:rPr>
        <w:t>GRANT Prior Approval</w:t>
      </w:r>
    </w:p>
    <w:sectPr w:rsidR="00F41BEF" w:rsidRPr="00F41BEF" w:rsidSect="00FA60CA">
      <w:headerReference w:type="even" r:id="rId9"/>
      <w:headerReference w:type="default" r:id="rId10"/>
      <w:footerReference w:type="even" r:id="rId11"/>
      <w:footerReference w:type="default" r:id="rId12"/>
      <w:headerReference w:type="first" r:id="rId13"/>
      <w:footerReference w:type="first" r:id="rId14"/>
      <w:pgSz w:w="11906" w:h="16838" w:code="9"/>
      <w:pgMar w:top="1440" w:right="1310" w:bottom="1276" w:left="1366" w:header="720" w:footer="720" w:gutter="0"/>
      <w:paperSrc w:first="15" w:other="15"/>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0429" w:rsidRDefault="00E05D92">
      <w:r>
        <w:separator/>
      </w:r>
    </w:p>
  </w:endnote>
  <w:endnote w:type="continuationSeparator" w:id="0">
    <w:p w:rsidR="00FA0429" w:rsidRDefault="00E05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7CEB" w:rsidRDefault="003104EB">
    <w:pPr>
      <w:pStyle w:val="Footer"/>
    </w:pPr>
    <w:r>
      <w:tab/>
    </w: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0429" w:rsidRDefault="00E05D92">
      <w:r>
        <w:separator/>
      </w:r>
    </w:p>
  </w:footnote>
  <w:footnote w:type="continuationSeparator" w:id="0">
    <w:p w:rsidR="00FA0429" w:rsidRDefault="00E05D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7BA" w:rsidRDefault="004347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81DAF"/>
    <w:multiLevelType w:val="hybridMultilevel"/>
    <w:tmpl w:val="F4DEB28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E8F3ED6"/>
    <w:multiLevelType w:val="hybridMultilevel"/>
    <w:tmpl w:val="97CA995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5C97E09"/>
    <w:multiLevelType w:val="hybridMultilevel"/>
    <w:tmpl w:val="C14643FA"/>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B7C6FF5"/>
    <w:multiLevelType w:val="hybridMultilevel"/>
    <w:tmpl w:val="14229D9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DD741F1"/>
    <w:multiLevelType w:val="hybridMultilevel"/>
    <w:tmpl w:val="7E169E42"/>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1C2CCB"/>
    <w:multiLevelType w:val="hybridMultilevel"/>
    <w:tmpl w:val="2CE0D9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44B21FC5"/>
    <w:multiLevelType w:val="hybridMultilevel"/>
    <w:tmpl w:val="64AA58BE"/>
    <w:lvl w:ilvl="0" w:tplc="6C16E7E2">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8925839"/>
    <w:multiLevelType w:val="hybridMultilevel"/>
    <w:tmpl w:val="C896D88E"/>
    <w:lvl w:ilvl="0" w:tplc="7A2A0D7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54D40330"/>
    <w:multiLevelType w:val="hybridMultilevel"/>
    <w:tmpl w:val="38AC6E62"/>
    <w:lvl w:ilvl="0" w:tplc="9900FE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69495981"/>
    <w:multiLevelType w:val="hybridMultilevel"/>
    <w:tmpl w:val="F4364BEC"/>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9A24AC3"/>
    <w:multiLevelType w:val="hybridMultilevel"/>
    <w:tmpl w:val="D2021584"/>
    <w:lvl w:ilvl="0" w:tplc="08090001">
      <w:start w:val="1"/>
      <w:numFmt w:val="bullet"/>
      <w:lvlText w:val=""/>
      <w:lvlJc w:val="left"/>
      <w:pPr>
        <w:ind w:left="784" w:hanging="360"/>
      </w:pPr>
      <w:rPr>
        <w:rFonts w:ascii="Symbol" w:hAnsi="Symbol" w:hint="default"/>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11">
    <w:nsid w:val="6E267057"/>
    <w:multiLevelType w:val="hybridMultilevel"/>
    <w:tmpl w:val="ADD67E9E"/>
    <w:lvl w:ilvl="0" w:tplc="13B097AA">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4"/>
  </w:num>
  <w:num w:numId="5">
    <w:abstractNumId w:val="1"/>
  </w:num>
  <w:num w:numId="6">
    <w:abstractNumId w:val="11"/>
  </w:num>
  <w:num w:numId="7">
    <w:abstractNumId w:val="2"/>
  </w:num>
  <w:num w:numId="8">
    <w:abstractNumId w:val="7"/>
  </w:num>
  <w:num w:numId="9">
    <w:abstractNumId w:val="5"/>
  </w:num>
  <w:num w:numId="10">
    <w:abstractNumId w:val="3"/>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04EB"/>
    <w:rsid w:val="00024A9F"/>
    <w:rsid w:val="000757A6"/>
    <w:rsid w:val="000C0AF0"/>
    <w:rsid w:val="000D3630"/>
    <w:rsid w:val="001559B1"/>
    <w:rsid w:val="00196750"/>
    <w:rsid w:val="00233D61"/>
    <w:rsid w:val="002818B8"/>
    <w:rsid w:val="002F17D2"/>
    <w:rsid w:val="003104EB"/>
    <w:rsid w:val="003336D9"/>
    <w:rsid w:val="003B4EF5"/>
    <w:rsid w:val="003D26F8"/>
    <w:rsid w:val="003F3B32"/>
    <w:rsid w:val="004347BA"/>
    <w:rsid w:val="0046375F"/>
    <w:rsid w:val="00490997"/>
    <w:rsid w:val="004931E8"/>
    <w:rsid w:val="004C421F"/>
    <w:rsid w:val="005B6966"/>
    <w:rsid w:val="005C7BA4"/>
    <w:rsid w:val="00672BF7"/>
    <w:rsid w:val="006B1519"/>
    <w:rsid w:val="00712F0A"/>
    <w:rsid w:val="00726019"/>
    <w:rsid w:val="00774824"/>
    <w:rsid w:val="00911CD0"/>
    <w:rsid w:val="00920384"/>
    <w:rsid w:val="00936B11"/>
    <w:rsid w:val="0094414F"/>
    <w:rsid w:val="009A124D"/>
    <w:rsid w:val="009A357F"/>
    <w:rsid w:val="009E3717"/>
    <w:rsid w:val="009E54E1"/>
    <w:rsid w:val="00A37BA8"/>
    <w:rsid w:val="00AB27DA"/>
    <w:rsid w:val="00B163FC"/>
    <w:rsid w:val="00B7333C"/>
    <w:rsid w:val="00CB13E6"/>
    <w:rsid w:val="00CF4564"/>
    <w:rsid w:val="00D16515"/>
    <w:rsid w:val="00D30B38"/>
    <w:rsid w:val="00D333C8"/>
    <w:rsid w:val="00D772CB"/>
    <w:rsid w:val="00D90AF0"/>
    <w:rsid w:val="00E05D92"/>
    <w:rsid w:val="00F41BEF"/>
    <w:rsid w:val="00F44920"/>
    <w:rsid w:val="00F45B70"/>
    <w:rsid w:val="00FA0429"/>
    <w:rsid w:val="00FA3D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04EB"/>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3104EB"/>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104EB"/>
    <w:rPr>
      <w:rFonts w:ascii="Trebuchet MS" w:eastAsia="Times New Roman" w:hAnsi="Trebuchet MS" w:cs="Times New Roman"/>
      <w:b/>
      <w:bCs/>
      <w:szCs w:val="20"/>
    </w:rPr>
  </w:style>
  <w:style w:type="paragraph" w:styleId="Footer">
    <w:name w:val="footer"/>
    <w:basedOn w:val="Normal"/>
    <w:link w:val="FooterChar"/>
    <w:rsid w:val="003104EB"/>
    <w:pPr>
      <w:tabs>
        <w:tab w:val="center" w:pos="4153"/>
        <w:tab w:val="right" w:pos="8306"/>
      </w:tabs>
    </w:pPr>
  </w:style>
  <w:style w:type="character" w:customStyle="1" w:styleId="FooterChar">
    <w:name w:val="Footer Char"/>
    <w:basedOn w:val="DefaultParagraphFont"/>
    <w:link w:val="Footer"/>
    <w:rsid w:val="003104EB"/>
    <w:rPr>
      <w:rFonts w:ascii="Trebuchet MS" w:eastAsia="Times New Roman" w:hAnsi="Trebuchet MS" w:cs="Times New Roman"/>
      <w:sz w:val="24"/>
      <w:szCs w:val="20"/>
    </w:rPr>
  </w:style>
  <w:style w:type="paragraph" w:styleId="ListParagraph">
    <w:name w:val="List Paragraph"/>
    <w:basedOn w:val="Normal"/>
    <w:uiPriority w:val="34"/>
    <w:qFormat/>
    <w:rsid w:val="001559B1"/>
    <w:pPr>
      <w:ind w:left="720"/>
      <w:contextualSpacing/>
    </w:pPr>
  </w:style>
  <w:style w:type="paragraph" w:styleId="Header">
    <w:name w:val="header"/>
    <w:basedOn w:val="Normal"/>
    <w:link w:val="HeaderChar"/>
    <w:uiPriority w:val="99"/>
    <w:unhideWhenUsed/>
    <w:rsid w:val="004347BA"/>
    <w:pPr>
      <w:tabs>
        <w:tab w:val="center" w:pos="4513"/>
        <w:tab w:val="right" w:pos="9026"/>
      </w:tabs>
    </w:pPr>
  </w:style>
  <w:style w:type="character" w:customStyle="1" w:styleId="HeaderChar">
    <w:name w:val="Header Char"/>
    <w:basedOn w:val="DefaultParagraphFont"/>
    <w:link w:val="Header"/>
    <w:uiPriority w:val="99"/>
    <w:rsid w:val="004347BA"/>
    <w:rPr>
      <w:rFonts w:ascii="Trebuchet MS" w:eastAsia="Times New Roman" w:hAnsi="Trebuchet M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2940C-E93E-4163-845C-174DC0451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TotalTime>
  <Pages>3</Pages>
  <Words>1171</Words>
  <Characters>6675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Hughes, Tom</cp:lastModifiedBy>
  <cp:revision>3</cp:revision>
  <dcterms:created xsi:type="dcterms:W3CDTF">2019-08-08T16:40:00Z</dcterms:created>
  <dcterms:modified xsi:type="dcterms:W3CDTF">2019-08-08T17:39:00Z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2017-03-29T10:28:43Z</vt:filetime>
  </property>
</Properties>
</file>