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C421F" w:rsidRDefault="003104EB" w:rsidP="003104EB">
      <w:pPr>
        <w:rPr>
          <w:rFonts w:cs="Courier New"/>
          <w:b/>
          <w:color w:val="000000"/>
          <w:sz w:val="22"/>
          <w:szCs w:val="24"/>
          <w:lang w:eastAsia="en-GB"/>
        </w:rPr>
      </w:pPr>
      <w:r w:rsidRPr="004C421F">
        <w:rPr>
          <w:rFonts w:cs="Courier New"/>
          <w:b/>
          <w:color w:val="000000"/>
          <w:sz w:val="22"/>
          <w:szCs w:val="24"/>
          <w:lang w:eastAsia="en-GB"/>
        </w:rPr>
        <w:t xml:space="preserve">DELEGATED APPLICATION REPORT </w:t>
      </w:r>
      <w:r w:rsidRPr="004C421F">
        <w:rPr>
          <w:rFonts w:cs="Courier New"/>
          <w:b/>
          <w:color w:val="000000"/>
          <w:sz w:val="22"/>
          <w:szCs w:val="24"/>
          <w:lang w:eastAsia="en-GB"/>
        </w:rPr>
        <w:tab/>
      </w:r>
      <w:r w:rsidRPr="004C421F">
        <w:rPr>
          <w:rFonts w:cs="Courier New"/>
          <w:b/>
          <w:color w:val="000000"/>
          <w:sz w:val="22"/>
          <w:szCs w:val="24"/>
          <w:lang w:eastAsia="en-GB"/>
        </w:rPr>
        <w:tab/>
      </w:r>
      <w:r w:rsidRPr="004C421F">
        <w:rPr>
          <w:rFonts w:cs="Courier New"/>
          <w:b/>
          <w:color w:val="000000"/>
          <w:sz w:val="22"/>
          <w:szCs w:val="24"/>
          <w:lang w:eastAsia="en-GB"/>
        </w:rPr>
        <w:tab/>
      </w:r>
      <w:r w:rsidR="00490997" w:rsidRPr="004C421F">
        <w:rPr>
          <w:rFonts w:cs="Courier New"/>
          <w:b/>
          <w:color w:val="000000"/>
          <w:sz w:val="22"/>
          <w:szCs w:val="24"/>
          <w:lang w:eastAsia="en-GB"/>
        </w:rPr>
        <w:t xml:space="preserve">            </w:t>
      </w:r>
      <w:r w:rsidR="004C421F">
        <w:rPr>
          <w:rFonts w:cs="Courier New"/>
          <w:b/>
          <w:color w:val="000000"/>
          <w:sz w:val="22"/>
          <w:szCs w:val="24"/>
          <w:lang w:eastAsia="en-GB"/>
        </w:rPr>
        <w:tab/>
      </w:r>
      <w:r w:rsidR="005860F7">
        <w:rPr>
          <w:rFonts w:cs="Courier New"/>
          <w:b/>
          <w:color w:val="000000"/>
          <w:sz w:val="22"/>
          <w:szCs w:val="24"/>
          <w:lang w:eastAsia="en-GB"/>
        </w:rPr>
        <w:t xml:space="preserve">      </w:t>
      </w:r>
      <w:r w:rsidRPr="004C421F">
        <w:rPr>
          <w:rFonts w:cs="Courier New"/>
          <w:b/>
          <w:color w:val="000000"/>
          <w:sz w:val="22"/>
          <w:szCs w:val="24"/>
          <w:lang w:eastAsia="en-GB"/>
        </w:rPr>
        <w:t>Target Date:</w:t>
      </w:r>
      <w:r w:rsidR="005860F7">
        <w:rPr>
          <w:rFonts w:cs="Courier New"/>
          <w:b/>
          <w:color w:val="000000"/>
          <w:sz w:val="22"/>
          <w:szCs w:val="24"/>
          <w:lang w:eastAsia="en-GB"/>
        </w:rPr>
        <w:t xml:space="preserve"> </w:t>
      </w:r>
      <w:r w:rsidR="005860F7" w:rsidRPr="005860F7">
        <w:rPr>
          <w:rFonts w:cs="Courier New"/>
          <w:color w:val="000000"/>
          <w:sz w:val="22"/>
          <w:szCs w:val="24"/>
          <w:lang w:eastAsia="en-GB"/>
        </w:rPr>
        <w:t>13/11/18</w:t>
      </w:r>
      <w:r w:rsidRPr="004C421F">
        <w:rPr>
          <w:rFonts w:cs="Courier New"/>
          <w:color w:val="000000"/>
          <w:sz w:val="22"/>
          <w:szCs w:val="24"/>
          <w:lang w:eastAsia="en-GB"/>
        </w:rPr>
        <w:tab/>
      </w:r>
      <w:r w:rsidRPr="004C421F">
        <w:rPr>
          <w:rFonts w:cs="Courier New"/>
          <w:color w:val="000000"/>
          <w:sz w:val="22"/>
          <w:szCs w:val="24"/>
          <w:lang w:eastAsia="en-GB"/>
        </w:rPr>
        <w:tab/>
      </w:r>
      <w:r w:rsidRPr="004C421F">
        <w:rPr>
          <w:rFonts w:cs="Courier New"/>
          <w:color w:val="000000"/>
          <w:sz w:val="22"/>
          <w:szCs w:val="24"/>
          <w:lang w:eastAsia="en-GB"/>
        </w:rPr>
        <w:tab/>
      </w:r>
    </w:p>
    <w:p w:rsidR="003104EB" w:rsidRPr="004C421F" w:rsidRDefault="003104EB" w:rsidP="003104EB">
      <w:pPr>
        <w:rPr>
          <w:rFonts w:cs="Courier New"/>
          <w:color w:val="000000"/>
          <w:sz w:val="22"/>
          <w:szCs w:val="24"/>
          <w:lang w:eastAsia="en-GB"/>
        </w:rPr>
      </w:pPr>
      <w:r w:rsidRPr="004C421F">
        <w:rPr>
          <w:rFonts w:cs="Courier New"/>
          <w:b/>
          <w:color w:val="000000"/>
          <w:sz w:val="22"/>
          <w:szCs w:val="24"/>
          <w:lang w:eastAsia="en-GB"/>
        </w:rPr>
        <w:t>Application No:</w:t>
      </w:r>
      <w:r w:rsidR="005860F7">
        <w:rPr>
          <w:rFonts w:cs="Courier New"/>
          <w:b/>
          <w:color w:val="000000"/>
          <w:sz w:val="22"/>
          <w:szCs w:val="24"/>
          <w:lang w:eastAsia="en-GB"/>
        </w:rPr>
        <w:t xml:space="preserve"> </w:t>
      </w:r>
      <w:r w:rsidR="005860F7">
        <w:rPr>
          <w:rFonts w:cs="Courier New"/>
          <w:color w:val="000000"/>
          <w:sz w:val="22"/>
          <w:szCs w:val="24"/>
          <w:lang w:eastAsia="en-GB"/>
        </w:rPr>
        <w:t>181643/OPA</w:t>
      </w:r>
      <w:r w:rsidRPr="004C421F">
        <w:rPr>
          <w:rFonts w:cs="Courier New"/>
          <w:color w:val="000000"/>
          <w:sz w:val="22"/>
          <w:szCs w:val="24"/>
          <w:lang w:eastAsia="en-GB"/>
        </w:rPr>
        <w:tab/>
      </w:r>
      <w:r w:rsidRPr="004C421F">
        <w:rPr>
          <w:rFonts w:cs="Courier New"/>
          <w:color w:val="000000"/>
          <w:sz w:val="22"/>
          <w:szCs w:val="24"/>
          <w:lang w:eastAsia="en-GB"/>
        </w:rPr>
        <w:tab/>
      </w:r>
      <w:r w:rsidRPr="004C421F">
        <w:rPr>
          <w:rFonts w:cs="Courier New"/>
          <w:color w:val="000000"/>
          <w:sz w:val="22"/>
          <w:szCs w:val="24"/>
          <w:lang w:eastAsia="en-GB"/>
        </w:rPr>
        <w:tab/>
      </w:r>
    </w:p>
    <w:p w:rsidR="003104EB" w:rsidRPr="005860F7"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Address: </w:t>
      </w:r>
      <w:proofErr w:type="spellStart"/>
      <w:r w:rsidR="005860F7">
        <w:rPr>
          <w:rFonts w:cs="Courier New"/>
          <w:color w:val="000000"/>
          <w:sz w:val="22"/>
          <w:szCs w:val="24"/>
          <w:lang w:eastAsia="en-GB"/>
        </w:rPr>
        <w:t>Cadogan</w:t>
      </w:r>
      <w:proofErr w:type="spellEnd"/>
      <w:r w:rsidR="005860F7">
        <w:rPr>
          <w:rFonts w:cs="Courier New"/>
          <w:color w:val="000000"/>
          <w:sz w:val="22"/>
          <w:szCs w:val="24"/>
          <w:lang w:eastAsia="en-GB"/>
        </w:rPr>
        <w:t xml:space="preserve"> House, Rose Kiln Lane</w:t>
      </w:r>
    </w:p>
    <w:p w:rsidR="003104EB" w:rsidRPr="005860F7"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Proposal: </w:t>
      </w:r>
      <w:r w:rsidR="005860F7">
        <w:rPr>
          <w:rFonts w:cs="Courier New"/>
          <w:color w:val="000000"/>
          <w:sz w:val="22"/>
          <w:szCs w:val="24"/>
          <w:lang w:eastAsia="en-GB"/>
        </w:rPr>
        <w:t xml:space="preserve">Change of use of existing building from Class </w:t>
      </w:r>
      <w:proofErr w:type="gramStart"/>
      <w:r w:rsidR="005860F7">
        <w:rPr>
          <w:rFonts w:cs="Courier New"/>
          <w:color w:val="000000"/>
          <w:sz w:val="22"/>
          <w:szCs w:val="24"/>
          <w:lang w:eastAsia="en-GB"/>
        </w:rPr>
        <w:t>B1(</w:t>
      </w:r>
      <w:proofErr w:type="gramEnd"/>
      <w:r w:rsidR="005860F7">
        <w:rPr>
          <w:rFonts w:cs="Courier New"/>
          <w:color w:val="000000"/>
          <w:sz w:val="22"/>
          <w:szCs w:val="24"/>
          <w:lang w:eastAsia="en-GB"/>
        </w:rPr>
        <w:t xml:space="preserve">a) (offices) to Class C3 (dwellinghouses) to comprise 39 residential units. </w:t>
      </w:r>
      <w:r w:rsidR="005860F7" w:rsidRPr="005860F7">
        <w:rPr>
          <w:rFonts w:cs="Courier New"/>
          <w:color w:val="000000"/>
          <w:sz w:val="22"/>
          <w:szCs w:val="24"/>
          <w:lang w:eastAsia="en-GB"/>
        </w:rPr>
        <w:t>Prior Notification under Cl</w:t>
      </w:r>
      <w:r w:rsidR="005860F7">
        <w:rPr>
          <w:rFonts w:cs="Courier New"/>
          <w:color w:val="000000"/>
          <w:sz w:val="22"/>
          <w:szCs w:val="24"/>
          <w:lang w:eastAsia="en-GB"/>
        </w:rPr>
        <w:t>ass O, Part 3 of Schedule 2 of T</w:t>
      </w:r>
      <w:r w:rsidR="005860F7" w:rsidRPr="005860F7">
        <w:rPr>
          <w:rFonts w:cs="Courier New"/>
          <w:color w:val="000000"/>
          <w:sz w:val="22"/>
          <w:szCs w:val="24"/>
          <w:lang w:eastAsia="en-GB"/>
        </w:rPr>
        <w:t>he Town and Country Planning (General Permitted Development) Order 2015.</w:t>
      </w:r>
    </w:p>
    <w:p w:rsidR="003104EB" w:rsidRPr="004C421F"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Case officer: </w:t>
      </w:r>
      <w:r w:rsidRPr="004C421F">
        <w:rPr>
          <w:rFonts w:cs="Courier New"/>
          <w:color w:val="000000"/>
          <w:sz w:val="22"/>
          <w:szCs w:val="24"/>
          <w:lang w:eastAsia="en-GB"/>
        </w:rPr>
        <w:t>Tom Hughes</w:t>
      </w:r>
    </w:p>
    <w:p w:rsidR="003104EB" w:rsidRPr="004C421F" w:rsidRDefault="003104EB" w:rsidP="003104EB">
      <w:pPr>
        <w:rPr>
          <w:color w:val="000000"/>
          <w:sz w:val="22"/>
          <w:szCs w:val="24"/>
        </w:rPr>
      </w:pPr>
    </w:p>
    <w:p w:rsidR="003104EB" w:rsidRDefault="0094414F" w:rsidP="003104EB">
      <w:pPr>
        <w:pStyle w:val="Heading3"/>
        <w:rPr>
          <w:color w:val="000000"/>
          <w:szCs w:val="24"/>
        </w:rPr>
      </w:pPr>
      <w:r w:rsidRPr="004C421F">
        <w:rPr>
          <w:color w:val="000000"/>
          <w:szCs w:val="24"/>
        </w:rPr>
        <w:t>Introduction</w:t>
      </w:r>
    </w:p>
    <w:p w:rsidR="005860F7" w:rsidRPr="005860F7" w:rsidRDefault="005860F7" w:rsidP="005860F7">
      <w:pPr>
        <w:rPr>
          <w:sz w:val="22"/>
        </w:rPr>
      </w:pPr>
      <w:r w:rsidRPr="005860F7">
        <w:rPr>
          <w:sz w:val="22"/>
        </w:rPr>
        <w:t xml:space="preserve">The application </w:t>
      </w:r>
      <w:r>
        <w:rPr>
          <w:sz w:val="22"/>
        </w:rPr>
        <w:t xml:space="preserve">site comprises a two storey office building between Rose Kiln Lane and the A33. The surrounding area comprises a mix of commercial, office and residential uses. </w:t>
      </w:r>
    </w:p>
    <w:p w:rsidR="003104EB" w:rsidRPr="004C421F" w:rsidRDefault="003104EB" w:rsidP="003104EB">
      <w:pPr>
        <w:jc w:val="both"/>
        <w:rPr>
          <w:color w:val="000000"/>
          <w:sz w:val="22"/>
          <w:szCs w:val="24"/>
        </w:rPr>
      </w:pPr>
    </w:p>
    <w:p w:rsidR="003104EB" w:rsidRPr="004C421F" w:rsidRDefault="0094414F" w:rsidP="003104EB">
      <w:pPr>
        <w:pStyle w:val="Heading3"/>
        <w:rPr>
          <w:color w:val="000000"/>
          <w:szCs w:val="24"/>
        </w:rPr>
      </w:pPr>
      <w:r w:rsidRPr="004C421F">
        <w:rPr>
          <w:color w:val="000000"/>
          <w:szCs w:val="24"/>
        </w:rPr>
        <w:t>Proposal</w:t>
      </w:r>
    </w:p>
    <w:p w:rsidR="00CB13E6" w:rsidRDefault="004C421F" w:rsidP="0094414F">
      <w:pPr>
        <w:rPr>
          <w:color w:val="000000"/>
          <w:sz w:val="22"/>
        </w:rPr>
      </w:pPr>
      <w:r>
        <w:rPr>
          <w:color w:val="000000"/>
          <w:sz w:val="22"/>
        </w:rPr>
        <w:t>Prior Approval, under Cl</w:t>
      </w:r>
      <w:r w:rsidR="009D6E6A">
        <w:rPr>
          <w:color w:val="000000"/>
          <w:sz w:val="22"/>
        </w:rPr>
        <w:t>ass O,</w:t>
      </w:r>
      <w:r>
        <w:rPr>
          <w:color w:val="000000"/>
          <w:sz w:val="22"/>
        </w:rPr>
        <w:t xml:space="preserve"> Part 3 of Schedule 2 to The Town and Country Planning (General Permitted Development) (England) Order 2015 (as amended), is sought for the change of use and conversion of the building from offices to</w:t>
      </w:r>
      <w:r w:rsidR="009D6E6A">
        <w:rPr>
          <w:color w:val="000000"/>
          <w:sz w:val="22"/>
        </w:rPr>
        <w:t xml:space="preserve"> 39 residential units. </w:t>
      </w:r>
      <w:r>
        <w:rPr>
          <w:color w:val="000000"/>
          <w:sz w:val="22"/>
        </w:rPr>
        <w:t xml:space="preserve"> </w:t>
      </w:r>
    </w:p>
    <w:p w:rsidR="004C421F" w:rsidRPr="004C421F" w:rsidRDefault="004C421F" w:rsidP="0094414F">
      <w:pPr>
        <w:rPr>
          <w:sz w:val="22"/>
        </w:rPr>
      </w:pPr>
    </w:p>
    <w:p w:rsidR="003104EB" w:rsidRPr="004C421F" w:rsidRDefault="0094414F" w:rsidP="00FA3D5D">
      <w:pPr>
        <w:rPr>
          <w:sz w:val="22"/>
        </w:rPr>
      </w:pPr>
      <w:r w:rsidRPr="004C421F">
        <w:rPr>
          <w:b/>
          <w:color w:val="000000"/>
          <w:sz w:val="22"/>
          <w:szCs w:val="24"/>
        </w:rPr>
        <w:t>Plans Submitted</w:t>
      </w:r>
    </w:p>
    <w:p w:rsidR="004931E8" w:rsidRDefault="004C421F" w:rsidP="004C421F">
      <w:pPr>
        <w:jc w:val="both"/>
        <w:rPr>
          <w:color w:val="000000"/>
          <w:sz w:val="22"/>
          <w:szCs w:val="24"/>
        </w:rPr>
      </w:pPr>
      <w:r>
        <w:rPr>
          <w:color w:val="000000"/>
          <w:sz w:val="22"/>
          <w:szCs w:val="24"/>
        </w:rPr>
        <w:t>The agent supplied</w:t>
      </w:r>
      <w:r w:rsidR="003104EB" w:rsidRPr="004C421F">
        <w:rPr>
          <w:color w:val="000000"/>
          <w:sz w:val="22"/>
          <w:szCs w:val="24"/>
        </w:rPr>
        <w:t xml:space="preserve"> the f</w:t>
      </w:r>
      <w:r w:rsidR="00196750" w:rsidRPr="004C421F">
        <w:rPr>
          <w:color w:val="000000"/>
          <w:sz w:val="22"/>
          <w:szCs w:val="24"/>
        </w:rPr>
        <w:t>ollowing</w:t>
      </w:r>
      <w:r w:rsidR="003D26F8" w:rsidRPr="004C421F">
        <w:rPr>
          <w:color w:val="000000"/>
          <w:sz w:val="22"/>
          <w:szCs w:val="24"/>
        </w:rPr>
        <w:t>, received on</w:t>
      </w:r>
      <w:r w:rsidR="005B6966" w:rsidRPr="004C421F">
        <w:rPr>
          <w:color w:val="000000"/>
          <w:sz w:val="22"/>
          <w:szCs w:val="24"/>
        </w:rPr>
        <w:t xml:space="preserve"> </w:t>
      </w:r>
      <w:r w:rsidR="00F90FF5">
        <w:rPr>
          <w:color w:val="000000"/>
          <w:sz w:val="22"/>
          <w:szCs w:val="24"/>
        </w:rPr>
        <w:t>19/09/18:</w:t>
      </w:r>
    </w:p>
    <w:p w:rsidR="00F90FF5" w:rsidRDefault="00F90FF5" w:rsidP="004C421F">
      <w:pPr>
        <w:jc w:val="both"/>
        <w:rPr>
          <w:color w:val="000000"/>
          <w:sz w:val="22"/>
          <w:szCs w:val="24"/>
        </w:rPr>
      </w:pPr>
      <w:r>
        <w:rPr>
          <w:color w:val="000000"/>
          <w:sz w:val="22"/>
          <w:szCs w:val="24"/>
        </w:rPr>
        <w:t>Drawing No: 589.LN.000 Rev. A – Site Location</w:t>
      </w:r>
    </w:p>
    <w:p w:rsidR="00F90FF5" w:rsidRDefault="00F90FF5" w:rsidP="004C421F">
      <w:pPr>
        <w:jc w:val="both"/>
        <w:rPr>
          <w:color w:val="000000"/>
          <w:sz w:val="22"/>
          <w:szCs w:val="24"/>
        </w:rPr>
      </w:pPr>
      <w:r>
        <w:rPr>
          <w:color w:val="000000"/>
          <w:sz w:val="22"/>
          <w:szCs w:val="24"/>
        </w:rPr>
        <w:t>Drawing No: 589.SK.010 Rev. A – Block Plan</w:t>
      </w:r>
    </w:p>
    <w:p w:rsidR="00F90FF5" w:rsidRDefault="00F90FF5" w:rsidP="004C421F">
      <w:pPr>
        <w:jc w:val="both"/>
        <w:rPr>
          <w:color w:val="000000"/>
          <w:sz w:val="22"/>
          <w:szCs w:val="24"/>
        </w:rPr>
      </w:pPr>
      <w:r>
        <w:rPr>
          <w:color w:val="000000"/>
          <w:sz w:val="22"/>
          <w:szCs w:val="24"/>
        </w:rPr>
        <w:t>Drawing No: 589.SK.001 Rev. C – Proposed Ground Floor Plan</w:t>
      </w:r>
    </w:p>
    <w:p w:rsidR="00F90FF5" w:rsidRDefault="00F90FF5" w:rsidP="004C421F">
      <w:pPr>
        <w:jc w:val="both"/>
        <w:rPr>
          <w:color w:val="000000"/>
          <w:sz w:val="22"/>
          <w:szCs w:val="24"/>
        </w:rPr>
      </w:pPr>
      <w:r>
        <w:rPr>
          <w:color w:val="000000"/>
          <w:sz w:val="22"/>
          <w:szCs w:val="24"/>
        </w:rPr>
        <w:t>Drawing No: 589.SK.002 Rev. C – Proposed First Floor Plan</w:t>
      </w:r>
    </w:p>
    <w:p w:rsidR="00F90FF5" w:rsidRDefault="00F90FF5" w:rsidP="004C421F">
      <w:pPr>
        <w:jc w:val="both"/>
        <w:rPr>
          <w:color w:val="000000"/>
          <w:sz w:val="22"/>
          <w:szCs w:val="24"/>
        </w:rPr>
      </w:pPr>
      <w:r>
        <w:rPr>
          <w:color w:val="000000"/>
          <w:sz w:val="22"/>
          <w:szCs w:val="24"/>
        </w:rPr>
        <w:t>Transport Statement, by Motion</w:t>
      </w:r>
    </w:p>
    <w:p w:rsidR="00F90FF5" w:rsidRDefault="00F90FF5" w:rsidP="004C421F">
      <w:pPr>
        <w:jc w:val="both"/>
        <w:rPr>
          <w:color w:val="000000"/>
          <w:sz w:val="22"/>
          <w:szCs w:val="24"/>
        </w:rPr>
      </w:pPr>
      <w:r>
        <w:rPr>
          <w:color w:val="000000"/>
          <w:sz w:val="22"/>
          <w:szCs w:val="24"/>
        </w:rPr>
        <w:t>Preliminary Geo-Environmental Risk Assessment, by Delta-Simons</w:t>
      </w:r>
    </w:p>
    <w:p w:rsidR="00F90FF5" w:rsidRDefault="00F90FF5" w:rsidP="004C421F">
      <w:pPr>
        <w:jc w:val="both"/>
        <w:rPr>
          <w:color w:val="000000"/>
          <w:sz w:val="22"/>
          <w:szCs w:val="24"/>
        </w:rPr>
      </w:pPr>
      <w:r>
        <w:rPr>
          <w:color w:val="000000"/>
          <w:sz w:val="22"/>
          <w:szCs w:val="24"/>
        </w:rPr>
        <w:t>Noise Assessment, by Anderson Acoustics</w:t>
      </w:r>
    </w:p>
    <w:p w:rsidR="00F90FF5" w:rsidRPr="004C421F" w:rsidRDefault="00F90FF5" w:rsidP="004C421F">
      <w:pPr>
        <w:jc w:val="both"/>
        <w:rPr>
          <w:color w:val="000000"/>
          <w:sz w:val="22"/>
          <w:szCs w:val="24"/>
        </w:rPr>
      </w:pPr>
      <w:r>
        <w:rPr>
          <w:color w:val="000000"/>
          <w:sz w:val="22"/>
          <w:szCs w:val="24"/>
        </w:rPr>
        <w:t>Flood Risk Assessment, by Delta-Simons</w:t>
      </w:r>
    </w:p>
    <w:p w:rsidR="004C421F" w:rsidRPr="004C421F" w:rsidRDefault="004C421F" w:rsidP="003104EB">
      <w:pPr>
        <w:rPr>
          <w:rFonts w:cs="Courier New"/>
          <w:color w:val="000000"/>
          <w:sz w:val="22"/>
          <w:szCs w:val="24"/>
          <w:lang w:eastAsia="en-GB"/>
        </w:rPr>
      </w:pPr>
    </w:p>
    <w:p w:rsidR="00CB13E6" w:rsidRDefault="00D772CB" w:rsidP="00CB13E6">
      <w:pPr>
        <w:jc w:val="both"/>
        <w:rPr>
          <w:b/>
          <w:color w:val="000000"/>
          <w:sz w:val="22"/>
          <w:szCs w:val="24"/>
        </w:rPr>
      </w:pPr>
      <w:r>
        <w:rPr>
          <w:b/>
          <w:color w:val="000000"/>
          <w:sz w:val="22"/>
          <w:szCs w:val="24"/>
        </w:rPr>
        <w:t>Relevant Policies and Supplementary Planning Guidance</w:t>
      </w:r>
    </w:p>
    <w:p w:rsidR="00D772CB" w:rsidRPr="00D772CB" w:rsidRDefault="00D772CB" w:rsidP="00CB13E6">
      <w:pPr>
        <w:jc w:val="both"/>
        <w:rPr>
          <w:color w:val="000000"/>
          <w:sz w:val="22"/>
          <w:szCs w:val="24"/>
          <w:u w:val="single"/>
        </w:rPr>
      </w:pPr>
      <w:r w:rsidRPr="00D772CB">
        <w:rPr>
          <w:color w:val="000000"/>
          <w:sz w:val="22"/>
          <w:szCs w:val="24"/>
          <w:u w:val="single"/>
        </w:rPr>
        <w:t>Legal Context</w:t>
      </w:r>
    </w:p>
    <w:p w:rsidR="00D772CB" w:rsidRDefault="00D772CB" w:rsidP="00CB13E6">
      <w:pPr>
        <w:jc w:val="both"/>
        <w:rPr>
          <w:color w:val="000000"/>
          <w:sz w:val="22"/>
          <w:szCs w:val="24"/>
        </w:rPr>
      </w:pPr>
      <w:r>
        <w:rPr>
          <w:color w:val="000000"/>
          <w:sz w:val="22"/>
          <w:szCs w:val="24"/>
        </w:rPr>
        <w:t xml:space="preserve">Class O allows development consisting of a change of use of a building and any land within its curtilage to Class C3 dwellinghouses (houses or flats) from a Class </w:t>
      </w:r>
      <w:proofErr w:type="gramStart"/>
      <w:r>
        <w:rPr>
          <w:color w:val="000000"/>
          <w:sz w:val="22"/>
          <w:szCs w:val="24"/>
        </w:rPr>
        <w:t>B1(</w:t>
      </w:r>
      <w:proofErr w:type="gramEnd"/>
      <w:r>
        <w:rPr>
          <w:color w:val="000000"/>
          <w:sz w:val="22"/>
          <w:szCs w:val="24"/>
        </w:rPr>
        <w:t xml:space="preserve">a) office use. </w:t>
      </w:r>
    </w:p>
    <w:p w:rsidR="00D772CB" w:rsidRDefault="00D772CB" w:rsidP="00CB13E6">
      <w:pPr>
        <w:jc w:val="both"/>
        <w:rPr>
          <w:color w:val="000000"/>
          <w:sz w:val="22"/>
          <w:szCs w:val="24"/>
        </w:rPr>
      </w:pPr>
    </w:p>
    <w:p w:rsidR="00D772CB" w:rsidRDefault="00D772CB" w:rsidP="00CB13E6">
      <w:pPr>
        <w:jc w:val="both"/>
        <w:rPr>
          <w:color w:val="000000"/>
          <w:sz w:val="22"/>
          <w:szCs w:val="24"/>
        </w:rPr>
      </w:pPr>
      <w:r>
        <w:rPr>
          <w:color w:val="000000"/>
          <w:sz w:val="22"/>
          <w:szCs w:val="24"/>
        </w:rPr>
        <w:t>As set out in para 0.2 of Class O (as amended), development is permitted subject to the condition that before beginning the development, the development shall apply to the Local Planning Authority for a determination as to whether the prior approval of the Local Planning Authority will be required as to:</w:t>
      </w:r>
    </w:p>
    <w:p w:rsidR="00D772CB" w:rsidRDefault="00D772CB" w:rsidP="00D772CB">
      <w:pPr>
        <w:pStyle w:val="ListParagraph"/>
        <w:numPr>
          <w:ilvl w:val="0"/>
          <w:numId w:val="10"/>
        </w:numPr>
        <w:jc w:val="both"/>
        <w:rPr>
          <w:color w:val="000000"/>
          <w:sz w:val="22"/>
          <w:szCs w:val="24"/>
        </w:rPr>
      </w:pPr>
      <w:r>
        <w:rPr>
          <w:color w:val="000000"/>
          <w:sz w:val="22"/>
          <w:szCs w:val="24"/>
        </w:rPr>
        <w:t>Transport and highways impacts of the development</w:t>
      </w:r>
    </w:p>
    <w:p w:rsidR="00D772CB" w:rsidRDefault="00D772CB" w:rsidP="00D772CB">
      <w:pPr>
        <w:pStyle w:val="ListParagraph"/>
        <w:numPr>
          <w:ilvl w:val="0"/>
          <w:numId w:val="10"/>
        </w:numPr>
        <w:jc w:val="both"/>
        <w:rPr>
          <w:color w:val="000000"/>
          <w:sz w:val="22"/>
          <w:szCs w:val="24"/>
        </w:rPr>
      </w:pPr>
      <w:r>
        <w:rPr>
          <w:color w:val="000000"/>
          <w:sz w:val="22"/>
          <w:szCs w:val="24"/>
        </w:rPr>
        <w:t>Contamination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Flooding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Impacts of noise from commercial premises on the intended occupiers of the development</w:t>
      </w:r>
    </w:p>
    <w:p w:rsidR="00D772CB" w:rsidRDefault="00D772CB" w:rsidP="00D772CB">
      <w:pPr>
        <w:jc w:val="both"/>
        <w:rPr>
          <w:color w:val="000000"/>
          <w:sz w:val="22"/>
          <w:szCs w:val="24"/>
        </w:rPr>
      </w:pPr>
    </w:p>
    <w:p w:rsidR="000D3630" w:rsidRDefault="000D3630" w:rsidP="00D772CB">
      <w:pPr>
        <w:jc w:val="both"/>
        <w:rPr>
          <w:color w:val="000000"/>
          <w:sz w:val="22"/>
          <w:szCs w:val="24"/>
        </w:rPr>
      </w:pPr>
      <w:r>
        <w:rPr>
          <w:color w:val="000000"/>
          <w:sz w:val="22"/>
          <w:szCs w:val="24"/>
        </w:rPr>
        <w:t xml:space="preserve">In assessing these issues, officers must have regard to the National Planning Policy Framework (NPPF) as if the application were a planning application, and also must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weight that may be given). </w:t>
      </w:r>
    </w:p>
    <w:p w:rsidR="000D3630" w:rsidRDefault="000D3630" w:rsidP="00D772CB">
      <w:pPr>
        <w:jc w:val="both"/>
        <w:rPr>
          <w:color w:val="000000"/>
          <w:sz w:val="22"/>
          <w:szCs w:val="24"/>
        </w:rPr>
      </w:pPr>
    </w:p>
    <w:p w:rsidR="000D3630" w:rsidRDefault="000D3630" w:rsidP="00D772CB">
      <w:pPr>
        <w:jc w:val="both"/>
        <w:rPr>
          <w:color w:val="000000"/>
          <w:sz w:val="22"/>
          <w:szCs w:val="24"/>
          <w:u w:val="single"/>
        </w:rPr>
      </w:pPr>
      <w:r>
        <w:rPr>
          <w:color w:val="000000"/>
          <w:sz w:val="22"/>
          <w:szCs w:val="24"/>
          <w:u w:val="single"/>
        </w:rPr>
        <w:t>Reading Borough Local Development Framework Core Strategy (2008)</w:t>
      </w:r>
    </w:p>
    <w:p w:rsidR="000D3630" w:rsidRDefault="000D3630" w:rsidP="00D772CB">
      <w:pPr>
        <w:jc w:val="both"/>
        <w:rPr>
          <w:color w:val="000000"/>
          <w:sz w:val="22"/>
          <w:szCs w:val="24"/>
        </w:rPr>
      </w:pPr>
      <w:r>
        <w:rPr>
          <w:color w:val="000000"/>
          <w:sz w:val="22"/>
          <w:szCs w:val="24"/>
        </w:rPr>
        <w:t>Policy CS34 – Pollution and Water Resources</w:t>
      </w:r>
    </w:p>
    <w:p w:rsidR="000D3630" w:rsidRDefault="000D3630" w:rsidP="00D772CB">
      <w:pPr>
        <w:jc w:val="both"/>
        <w:rPr>
          <w:color w:val="000000"/>
          <w:sz w:val="22"/>
          <w:szCs w:val="24"/>
        </w:rPr>
      </w:pPr>
      <w:r>
        <w:rPr>
          <w:color w:val="000000"/>
          <w:sz w:val="22"/>
          <w:szCs w:val="24"/>
        </w:rPr>
        <w:t>Policy CS35 – Flooding</w:t>
      </w:r>
    </w:p>
    <w:p w:rsidR="000D3630" w:rsidRDefault="000D3630" w:rsidP="00D772CB">
      <w:pPr>
        <w:jc w:val="both"/>
        <w:rPr>
          <w:color w:val="000000"/>
          <w:sz w:val="22"/>
          <w:szCs w:val="24"/>
        </w:rPr>
      </w:pPr>
    </w:p>
    <w:p w:rsidR="000D3630" w:rsidRDefault="000D3630" w:rsidP="00D772CB">
      <w:pPr>
        <w:jc w:val="both"/>
        <w:rPr>
          <w:color w:val="000000"/>
          <w:sz w:val="22"/>
          <w:szCs w:val="24"/>
          <w:u w:val="single"/>
        </w:rPr>
      </w:pPr>
      <w:r>
        <w:rPr>
          <w:color w:val="000000"/>
          <w:sz w:val="22"/>
          <w:szCs w:val="24"/>
          <w:u w:val="single"/>
        </w:rPr>
        <w:lastRenderedPageBreak/>
        <w:t>Reading Borough Local Development Framework Sites and Detailed Policies Document (2012)</w:t>
      </w:r>
    </w:p>
    <w:p w:rsidR="000D3630" w:rsidRDefault="000D3630" w:rsidP="00D772CB">
      <w:pPr>
        <w:jc w:val="both"/>
        <w:rPr>
          <w:color w:val="000000"/>
          <w:sz w:val="22"/>
          <w:szCs w:val="24"/>
        </w:rPr>
      </w:pPr>
      <w:r>
        <w:rPr>
          <w:color w:val="000000"/>
          <w:sz w:val="22"/>
          <w:szCs w:val="24"/>
        </w:rPr>
        <w:t>Policy DM12 – Access, Traffic and Highway Related Matters</w:t>
      </w:r>
    </w:p>
    <w:p w:rsidR="000D3630" w:rsidRDefault="000D3630" w:rsidP="00D772CB">
      <w:pPr>
        <w:jc w:val="both"/>
        <w:rPr>
          <w:color w:val="000000"/>
          <w:sz w:val="22"/>
          <w:szCs w:val="24"/>
        </w:rPr>
      </w:pPr>
    </w:p>
    <w:p w:rsidR="000D3630" w:rsidRDefault="000D3630" w:rsidP="00D772CB">
      <w:pPr>
        <w:jc w:val="both"/>
        <w:rPr>
          <w:b/>
          <w:color w:val="000000"/>
          <w:sz w:val="22"/>
          <w:szCs w:val="24"/>
        </w:rPr>
      </w:pPr>
      <w:r>
        <w:rPr>
          <w:b/>
          <w:color w:val="000000"/>
          <w:sz w:val="22"/>
          <w:szCs w:val="24"/>
        </w:rPr>
        <w:t>Planning History</w:t>
      </w:r>
    </w:p>
    <w:p w:rsidR="00146A89" w:rsidRDefault="00146A89" w:rsidP="00D772CB">
      <w:pPr>
        <w:jc w:val="both"/>
        <w:rPr>
          <w:color w:val="000000"/>
          <w:sz w:val="22"/>
          <w:szCs w:val="24"/>
        </w:rPr>
      </w:pPr>
      <w:r>
        <w:rPr>
          <w:color w:val="000000"/>
          <w:sz w:val="22"/>
          <w:szCs w:val="24"/>
        </w:rPr>
        <w:t>950357/REM – Two storey office building with car parking and landscaping – Permitted 30/06/95</w:t>
      </w:r>
    </w:p>
    <w:p w:rsidR="00146A89" w:rsidRDefault="00146A89" w:rsidP="00D772CB">
      <w:pPr>
        <w:jc w:val="both"/>
        <w:rPr>
          <w:color w:val="000000"/>
          <w:sz w:val="22"/>
          <w:szCs w:val="24"/>
        </w:rPr>
      </w:pPr>
      <w:r>
        <w:rPr>
          <w:color w:val="000000"/>
          <w:sz w:val="22"/>
          <w:szCs w:val="24"/>
        </w:rPr>
        <w:t>161650/OPA – Change of use from office to residential, comprising 19 apartments – Prior Approval Notification Refusal 20/10/16</w:t>
      </w:r>
    </w:p>
    <w:p w:rsidR="00146A89" w:rsidRDefault="00146A89" w:rsidP="00D772CB">
      <w:pPr>
        <w:jc w:val="both"/>
        <w:rPr>
          <w:color w:val="000000"/>
          <w:sz w:val="22"/>
          <w:szCs w:val="24"/>
        </w:rPr>
      </w:pPr>
      <w:r>
        <w:rPr>
          <w:color w:val="000000"/>
          <w:sz w:val="22"/>
          <w:szCs w:val="24"/>
        </w:rPr>
        <w:t>170290/OPA – Change of use from office to residential, comprising 19 apartments – Withdrawn 31/03/17</w:t>
      </w:r>
    </w:p>
    <w:p w:rsidR="00146A89" w:rsidRPr="00146A89" w:rsidRDefault="00146A89" w:rsidP="00D772CB">
      <w:pPr>
        <w:jc w:val="both"/>
        <w:rPr>
          <w:color w:val="000000"/>
          <w:sz w:val="22"/>
          <w:szCs w:val="24"/>
        </w:rPr>
      </w:pPr>
      <w:r>
        <w:rPr>
          <w:color w:val="000000"/>
          <w:sz w:val="22"/>
          <w:szCs w:val="24"/>
        </w:rPr>
        <w:t>172277/OPA – Change of use from office to residential, comprising 19 apartments – Prior Approval Notification Approval 08/03/18</w:t>
      </w:r>
    </w:p>
    <w:p w:rsidR="000D3630" w:rsidRDefault="000D3630" w:rsidP="00D772CB">
      <w:pPr>
        <w:jc w:val="both"/>
        <w:rPr>
          <w:b/>
          <w:color w:val="000000"/>
          <w:sz w:val="22"/>
          <w:szCs w:val="24"/>
        </w:rPr>
      </w:pPr>
    </w:p>
    <w:p w:rsidR="000D3630" w:rsidRDefault="000D3630" w:rsidP="00D772CB">
      <w:pPr>
        <w:jc w:val="both"/>
        <w:rPr>
          <w:b/>
          <w:color w:val="000000"/>
          <w:sz w:val="22"/>
          <w:szCs w:val="24"/>
        </w:rPr>
      </w:pPr>
      <w:r>
        <w:rPr>
          <w:b/>
          <w:color w:val="000000"/>
          <w:sz w:val="22"/>
          <w:szCs w:val="24"/>
        </w:rPr>
        <w:t>Response to Publicity</w:t>
      </w:r>
    </w:p>
    <w:p w:rsidR="000D3630" w:rsidRDefault="000D3630" w:rsidP="00D772CB">
      <w:pPr>
        <w:jc w:val="both"/>
        <w:rPr>
          <w:color w:val="000000"/>
          <w:sz w:val="22"/>
          <w:szCs w:val="24"/>
        </w:rPr>
      </w:pPr>
      <w:r>
        <w:rPr>
          <w:color w:val="000000"/>
          <w:sz w:val="22"/>
          <w:szCs w:val="24"/>
        </w:rPr>
        <w:t>A site notice was erected on</w:t>
      </w:r>
      <w:r w:rsidR="00146A89">
        <w:rPr>
          <w:color w:val="000000"/>
          <w:sz w:val="22"/>
          <w:szCs w:val="24"/>
        </w:rPr>
        <w:t xml:space="preserve"> 26/09/18</w:t>
      </w:r>
      <w:r>
        <w:rPr>
          <w:color w:val="000000"/>
          <w:sz w:val="22"/>
          <w:szCs w:val="24"/>
        </w:rPr>
        <w:t xml:space="preserve">, expiring on </w:t>
      </w:r>
      <w:r w:rsidR="00146A89">
        <w:rPr>
          <w:color w:val="000000"/>
          <w:sz w:val="22"/>
          <w:szCs w:val="24"/>
        </w:rPr>
        <w:t>17/10/18</w:t>
      </w:r>
      <w:r>
        <w:rPr>
          <w:color w:val="000000"/>
          <w:sz w:val="22"/>
          <w:szCs w:val="24"/>
        </w:rPr>
        <w:t xml:space="preserve">. No letters of representation were received. </w:t>
      </w:r>
    </w:p>
    <w:p w:rsidR="000D3630" w:rsidRDefault="000D3630" w:rsidP="00D772CB">
      <w:pPr>
        <w:jc w:val="both"/>
        <w:rPr>
          <w:color w:val="000000"/>
          <w:sz w:val="22"/>
          <w:szCs w:val="24"/>
        </w:rPr>
      </w:pPr>
    </w:p>
    <w:p w:rsidR="000D3630" w:rsidRDefault="000D3630" w:rsidP="00D772CB">
      <w:pPr>
        <w:jc w:val="both"/>
        <w:rPr>
          <w:b/>
          <w:color w:val="000000"/>
          <w:sz w:val="22"/>
          <w:szCs w:val="24"/>
        </w:rPr>
      </w:pPr>
      <w:r>
        <w:rPr>
          <w:b/>
          <w:color w:val="000000"/>
          <w:sz w:val="22"/>
          <w:szCs w:val="24"/>
        </w:rPr>
        <w:t>Consultation Responses</w:t>
      </w:r>
    </w:p>
    <w:p w:rsidR="00AD2741" w:rsidRDefault="00AD2741" w:rsidP="00D772CB">
      <w:pPr>
        <w:jc w:val="both"/>
        <w:rPr>
          <w:color w:val="000000"/>
          <w:sz w:val="22"/>
          <w:szCs w:val="24"/>
          <w:u w:val="single"/>
        </w:rPr>
      </w:pPr>
      <w:r>
        <w:rPr>
          <w:color w:val="000000"/>
          <w:sz w:val="22"/>
          <w:szCs w:val="24"/>
          <w:u w:val="single"/>
        </w:rPr>
        <w:t>Transport Development Control</w:t>
      </w:r>
    </w:p>
    <w:p w:rsidR="00AD2741" w:rsidRPr="00AD2741" w:rsidRDefault="00AD2741" w:rsidP="00AD2741">
      <w:pPr>
        <w:pStyle w:val="Default"/>
        <w:rPr>
          <w:rFonts w:ascii="Trebuchet MS" w:hAnsi="Trebuchet MS"/>
          <w:sz w:val="22"/>
        </w:rPr>
      </w:pPr>
      <w:r w:rsidRPr="00AD2741">
        <w:rPr>
          <w:rFonts w:ascii="Trebuchet MS" w:hAnsi="Trebuchet MS"/>
          <w:sz w:val="22"/>
        </w:rPr>
        <w:t>The proposal consists of the change of use of</w:t>
      </w:r>
      <w:r>
        <w:rPr>
          <w:rFonts w:ascii="Trebuchet MS" w:hAnsi="Trebuchet MS"/>
          <w:sz w:val="22"/>
        </w:rPr>
        <w:t xml:space="preserve"> a</w:t>
      </w:r>
      <w:r w:rsidRPr="00AD2741">
        <w:rPr>
          <w:rFonts w:ascii="Trebuchet MS" w:hAnsi="Trebuchet MS"/>
          <w:sz w:val="22"/>
        </w:rPr>
        <w:t xml:space="preserve"> building from Class </w:t>
      </w:r>
      <w:proofErr w:type="gramStart"/>
      <w:r w:rsidRPr="00AD2741">
        <w:rPr>
          <w:rFonts w:ascii="Trebuchet MS" w:hAnsi="Trebuchet MS"/>
          <w:sz w:val="22"/>
        </w:rPr>
        <w:t>B1(</w:t>
      </w:r>
      <w:proofErr w:type="gramEnd"/>
      <w:r w:rsidRPr="00AD2741">
        <w:rPr>
          <w:rFonts w:ascii="Trebuchet MS" w:hAnsi="Trebuchet MS"/>
          <w:sz w:val="22"/>
        </w:rPr>
        <w:t>a) (offices) to C3 (dwelling houses) to comprise 39 residential units. A similar proposal was assessed under application number 172277</w:t>
      </w:r>
      <w:r>
        <w:rPr>
          <w:rFonts w:ascii="Trebuchet MS" w:hAnsi="Trebuchet MS"/>
          <w:sz w:val="22"/>
        </w:rPr>
        <w:t>/OPA</w:t>
      </w:r>
      <w:r w:rsidRPr="00AD2741">
        <w:rPr>
          <w:rFonts w:ascii="Trebuchet MS" w:hAnsi="Trebuchet MS"/>
          <w:sz w:val="22"/>
        </w:rPr>
        <w:t xml:space="preserve"> (approved) consisting of a total of 19 units and there were no objection on highways and transportation grounds. </w:t>
      </w:r>
    </w:p>
    <w:p w:rsidR="00AD2741" w:rsidRPr="00AD2741" w:rsidRDefault="00AD2741" w:rsidP="00AD2741">
      <w:pPr>
        <w:pStyle w:val="Default"/>
        <w:rPr>
          <w:rFonts w:ascii="Trebuchet MS" w:hAnsi="Trebuchet MS"/>
          <w:sz w:val="22"/>
        </w:rPr>
      </w:pPr>
    </w:p>
    <w:p w:rsidR="00AD2741" w:rsidRPr="00AD2741" w:rsidRDefault="00AD2741" w:rsidP="00AD2741">
      <w:pPr>
        <w:autoSpaceDE w:val="0"/>
        <w:autoSpaceDN w:val="0"/>
        <w:rPr>
          <w:sz w:val="22"/>
          <w:szCs w:val="24"/>
        </w:rPr>
      </w:pPr>
      <w:r w:rsidRPr="00AD2741">
        <w:rPr>
          <w:sz w:val="22"/>
          <w:szCs w:val="24"/>
        </w:rPr>
        <w:t xml:space="preserve">The site is located in Zone 2, Primary Core Area, of the Revised Parking Standards and Design SPD.  This zone directly surrounds the Central Core Area and extends to walking distances of 2 kilometres from the centre of Reading. Typically this zone is well served by public transport, with buses continuing either into or out of the Central Core Area via this zone.  In accordance with the adopted Parking Standards and Design SPD, the development would be required to provide a parking provision of 1 space per unit.  </w:t>
      </w:r>
    </w:p>
    <w:p w:rsidR="00AD2741" w:rsidRPr="00AD2741" w:rsidRDefault="00AD2741" w:rsidP="00AD2741">
      <w:pPr>
        <w:autoSpaceDE w:val="0"/>
        <w:autoSpaceDN w:val="0"/>
        <w:rPr>
          <w:sz w:val="22"/>
          <w:szCs w:val="24"/>
        </w:rPr>
      </w:pPr>
    </w:p>
    <w:p w:rsidR="00AD2741" w:rsidRPr="00AD2741" w:rsidRDefault="00AD2741" w:rsidP="00AD2741">
      <w:pPr>
        <w:pStyle w:val="Default"/>
        <w:rPr>
          <w:rFonts w:ascii="Trebuchet MS" w:hAnsi="Trebuchet MS"/>
          <w:sz w:val="22"/>
        </w:rPr>
      </w:pPr>
      <w:r w:rsidRPr="00AD2741">
        <w:rPr>
          <w:rFonts w:ascii="Trebuchet MS" w:hAnsi="Trebuchet MS"/>
          <w:sz w:val="22"/>
        </w:rPr>
        <w:t>The applicant has indicated that 35 parking spaces will be retained.  This represents a site wide provision of 0.9 spaces per dwelling which is slightly below the Council’s Parking Standards. However, the applicant has submitted justification for a lower parking provision.</w:t>
      </w:r>
    </w:p>
    <w:p w:rsidR="00AD2741" w:rsidRPr="00AD2741" w:rsidRDefault="00AD2741" w:rsidP="00AD2741">
      <w:pPr>
        <w:autoSpaceDE w:val="0"/>
        <w:autoSpaceDN w:val="0"/>
        <w:rPr>
          <w:sz w:val="22"/>
          <w:szCs w:val="24"/>
        </w:rPr>
      </w:pPr>
    </w:p>
    <w:p w:rsidR="00AD2741" w:rsidRPr="00AD2741" w:rsidRDefault="00AD2741" w:rsidP="00AD2741">
      <w:pPr>
        <w:jc w:val="both"/>
        <w:rPr>
          <w:color w:val="191919"/>
          <w:sz w:val="22"/>
          <w:szCs w:val="24"/>
          <w:lang w:eastAsia="en-GB"/>
        </w:rPr>
      </w:pPr>
      <w:r w:rsidRPr="00AD2741">
        <w:rPr>
          <w:sz w:val="22"/>
          <w:szCs w:val="24"/>
        </w:rPr>
        <w:t>It is accepted that the existing office use will generate more vehicular trips in the peak hours than the proposed residential use. Therefore, the proposed residential development will not increase traffic in the vicinity of the site.</w:t>
      </w:r>
    </w:p>
    <w:p w:rsidR="00AD2741" w:rsidRPr="00AD2741" w:rsidRDefault="00AD2741" w:rsidP="00AD2741">
      <w:pPr>
        <w:autoSpaceDE w:val="0"/>
        <w:autoSpaceDN w:val="0"/>
        <w:rPr>
          <w:sz w:val="22"/>
          <w:szCs w:val="24"/>
        </w:rPr>
      </w:pPr>
    </w:p>
    <w:p w:rsidR="00AD2741" w:rsidRPr="00AD2741" w:rsidRDefault="00AD2741" w:rsidP="00AD2741">
      <w:pPr>
        <w:autoSpaceDE w:val="0"/>
        <w:autoSpaceDN w:val="0"/>
        <w:rPr>
          <w:sz w:val="22"/>
          <w:szCs w:val="24"/>
        </w:rPr>
      </w:pPr>
      <w:r w:rsidRPr="00AD2741">
        <w:rPr>
          <w:sz w:val="22"/>
          <w:szCs w:val="24"/>
        </w:rPr>
        <w:t>In the circumstances it is considered that the proposed change of use would not have a material impact on the character of the traffic in the vicinity of the site. Therefore, there are no Transport objections to prior approval being given for the proposed change of use.</w:t>
      </w:r>
    </w:p>
    <w:p w:rsidR="00AD2741" w:rsidRDefault="00AD2741" w:rsidP="00D772CB">
      <w:pPr>
        <w:jc w:val="both"/>
        <w:rPr>
          <w:color w:val="000000"/>
          <w:sz w:val="22"/>
          <w:szCs w:val="24"/>
          <w:u w:val="single"/>
        </w:rPr>
      </w:pPr>
    </w:p>
    <w:p w:rsidR="00AD2741" w:rsidRDefault="00AD2741" w:rsidP="00D772CB">
      <w:pPr>
        <w:jc w:val="both"/>
        <w:rPr>
          <w:color w:val="000000"/>
          <w:sz w:val="22"/>
          <w:szCs w:val="24"/>
          <w:u w:val="single"/>
        </w:rPr>
      </w:pPr>
      <w:r>
        <w:rPr>
          <w:color w:val="000000"/>
          <w:sz w:val="22"/>
          <w:szCs w:val="24"/>
          <w:u w:val="single"/>
        </w:rPr>
        <w:t>Environmental Protection</w:t>
      </w:r>
    </w:p>
    <w:p w:rsidR="00AD2741" w:rsidRDefault="00AD2741" w:rsidP="00D772CB">
      <w:pPr>
        <w:jc w:val="both"/>
        <w:rPr>
          <w:color w:val="000000"/>
          <w:sz w:val="22"/>
          <w:szCs w:val="24"/>
        </w:rPr>
      </w:pPr>
      <w:r w:rsidRPr="00AD2741">
        <w:rPr>
          <w:color w:val="000000"/>
          <w:sz w:val="22"/>
          <w:szCs w:val="24"/>
        </w:rPr>
        <w:t xml:space="preserve">The </w:t>
      </w:r>
      <w:r>
        <w:rPr>
          <w:color w:val="000000"/>
          <w:sz w:val="22"/>
          <w:szCs w:val="24"/>
        </w:rPr>
        <w:t xml:space="preserve">applicant has carried out a noise assessment which established that traffic noise levels at this location are very high. The report submitted by Anderson </w:t>
      </w:r>
      <w:proofErr w:type="spellStart"/>
      <w:r>
        <w:rPr>
          <w:color w:val="000000"/>
          <w:sz w:val="22"/>
          <w:szCs w:val="24"/>
        </w:rPr>
        <w:t>Accoustics</w:t>
      </w:r>
      <w:proofErr w:type="spellEnd"/>
      <w:r>
        <w:rPr>
          <w:color w:val="000000"/>
          <w:sz w:val="22"/>
          <w:szCs w:val="24"/>
        </w:rPr>
        <w:t>, dated 29</w:t>
      </w:r>
      <w:r w:rsidRPr="00AD2741">
        <w:rPr>
          <w:color w:val="000000"/>
          <w:sz w:val="22"/>
          <w:szCs w:val="24"/>
          <w:vertAlign w:val="superscript"/>
        </w:rPr>
        <w:t>th</w:t>
      </w:r>
      <w:r>
        <w:rPr>
          <w:color w:val="000000"/>
          <w:sz w:val="22"/>
          <w:szCs w:val="24"/>
        </w:rPr>
        <w:t xml:space="preserve"> August 2018, makes recommendations for glazing and ventilation specifications to ensure that the internal noise levels are acceptable. A condition was recommended to ensure that noise mitigation be installed in accordance with the noise assessment. </w:t>
      </w:r>
    </w:p>
    <w:p w:rsidR="00AD2741" w:rsidRDefault="00AD2741" w:rsidP="00D772CB">
      <w:pPr>
        <w:jc w:val="both"/>
        <w:rPr>
          <w:color w:val="000000"/>
          <w:sz w:val="22"/>
          <w:szCs w:val="24"/>
        </w:rPr>
      </w:pPr>
    </w:p>
    <w:p w:rsidR="00AD2741" w:rsidRPr="00AD2741" w:rsidRDefault="00AD2741" w:rsidP="00D772CB">
      <w:pPr>
        <w:jc w:val="both"/>
        <w:rPr>
          <w:color w:val="000000"/>
          <w:sz w:val="22"/>
          <w:szCs w:val="24"/>
        </w:rPr>
      </w:pPr>
      <w:r>
        <w:rPr>
          <w:color w:val="000000"/>
          <w:sz w:val="22"/>
          <w:szCs w:val="24"/>
        </w:rPr>
        <w:t xml:space="preserve">The phase 1 contaminated land assessment concludes that there are no contaminated land concerns in this location. </w:t>
      </w:r>
    </w:p>
    <w:p w:rsidR="00AD2741" w:rsidRDefault="00AD2741" w:rsidP="00D772CB">
      <w:pPr>
        <w:jc w:val="both"/>
        <w:rPr>
          <w:color w:val="000000"/>
          <w:sz w:val="22"/>
          <w:szCs w:val="24"/>
          <w:u w:val="single"/>
        </w:rPr>
      </w:pPr>
    </w:p>
    <w:p w:rsidR="00AD2741" w:rsidRPr="00AD2741" w:rsidRDefault="00AD2741" w:rsidP="00D772CB">
      <w:pPr>
        <w:jc w:val="both"/>
        <w:rPr>
          <w:color w:val="000000"/>
          <w:sz w:val="22"/>
          <w:szCs w:val="24"/>
          <w:u w:val="single"/>
        </w:rPr>
      </w:pPr>
      <w:r>
        <w:rPr>
          <w:color w:val="000000"/>
          <w:sz w:val="22"/>
          <w:szCs w:val="24"/>
          <w:u w:val="single"/>
        </w:rPr>
        <w:t>Natural Environment</w:t>
      </w:r>
    </w:p>
    <w:p w:rsidR="00B163FC" w:rsidRDefault="00AD2741" w:rsidP="00CB13E6">
      <w:pPr>
        <w:jc w:val="both"/>
        <w:rPr>
          <w:color w:val="000000"/>
          <w:sz w:val="22"/>
          <w:szCs w:val="24"/>
        </w:rPr>
      </w:pPr>
      <w:r>
        <w:rPr>
          <w:color w:val="000000"/>
          <w:sz w:val="22"/>
          <w:szCs w:val="24"/>
        </w:rPr>
        <w:t>No concerns in relation to the change of use.</w:t>
      </w:r>
    </w:p>
    <w:p w:rsidR="00D16515" w:rsidRDefault="00D16515" w:rsidP="00CB13E6">
      <w:pPr>
        <w:jc w:val="both"/>
        <w:rPr>
          <w:b/>
          <w:color w:val="000000"/>
          <w:sz w:val="22"/>
          <w:szCs w:val="24"/>
        </w:rPr>
      </w:pPr>
      <w:r>
        <w:rPr>
          <w:b/>
          <w:color w:val="000000"/>
          <w:sz w:val="22"/>
          <w:szCs w:val="24"/>
        </w:rPr>
        <w:lastRenderedPageBreak/>
        <w:t>Appraisal</w:t>
      </w:r>
    </w:p>
    <w:p w:rsidR="00D16515" w:rsidRDefault="00D16515" w:rsidP="00CB13E6">
      <w:pPr>
        <w:jc w:val="both"/>
        <w:rPr>
          <w:color w:val="000000"/>
          <w:sz w:val="22"/>
          <w:szCs w:val="24"/>
        </w:rPr>
      </w:pPr>
      <w:r>
        <w:rPr>
          <w:color w:val="000000"/>
          <w:sz w:val="22"/>
          <w:szCs w:val="24"/>
        </w:rPr>
        <w:t>Development is not permitted by Class O in the following instances:</w:t>
      </w:r>
    </w:p>
    <w:p w:rsidR="00D16515" w:rsidRDefault="00D16515" w:rsidP="00D16515">
      <w:pPr>
        <w:pStyle w:val="ListParagraph"/>
        <w:numPr>
          <w:ilvl w:val="0"/>
          <w:numId w:val="11"/>
        </w:numPr>
        <w:jc w:val="both"/>
        <w:rPr>
          <w:color w:val="000000"/>
          <w:sz w:val="22"/>
          <w:szCs w:val="24"/>
        </w:rPr>
      </w:pPr>
      <w:r>
        <w:rPr>
          <w:color w:val="000000"/>
          <w:sz w:val="22"/>
          <w:szCs w:val="24"/>
        </w:rPr>
        <w:t>The building is on article 2(5) land and an application under paragraph 0.2(1) in respect of the development is received by the Local Planning Authority on or before 30</w:t>
      </w:r>
      <w:r w:rsidRPr="00D16515">
        <w:rPr>
          <w:color w:val="000000"/>
          <w:sz w:val="22"/>
          <w:szCs w:val="24"/>
          <w:vertAlign w:val="superscript"/>
        </w:rPr>
        <w:t>th</w:t>
      </w:r>
      <w:r>
        <w:rPr>
          <w:color w:val="000000"/>
          <w:sz w:val="22"/>
          <w:szCs w:val="24"/>
        </w:rPr>
        <w:t xml:space="preserve"> May 2019</w:t>
      </w:r>
      <w:r w:rsidR="00515EEA">
        <w:rPr>
          <w:color w:val="000000"/>
          <w:sz w:val="22"/>
          <w:szCs w:val="24"/>
        </w:rPr>
        <w:t xml:space="preserve"> </w:t>
      </w:r>
      <w:r w:rsidR="00515EEA">
        <w:rPr>
          <w:b/>
          <w:color w:val="000000"/>
          <w:sz w:val="22"/>
          <w:szCs w:val="24"/>
        </w:rPr>
        <w:t>No</w:t>
      </w:r>
    </w:p>
    <w:p w:rsidR="00D16515" w:rsidRDefault="00D16515" w:rsidP="00D16515">
      <w:pPr>
        <w:pStyle w:val="ListParagraph"/>
        <w:numPr>
          <w:ilvl w:val="0"/>
          <w:numId w:val="11"/>
        </w:numPr>
        <w:jc w:val="both"/>
        <w:rPr>
          <w:color w:val="000000"/>
          <w:sz w:val="22"/>
          <w:szCs w:val="24"/>
        </w:rPr>
      </w:pPr>
      <w:r>
        <w:rPr>
          <w:color w:val="000000"/>
          <w:sz w:val="22"/>
          <w:szCs w:val="24"/>
        </w:rPr>
        <w:t>The building was not used for a use falling within Class B1(a) of the Schedule to the Use Classes Order immediately before 30</w:t>
      </w:r>
      <w:r w:rsidRPr="00D16515">
        <w:rPr>
          <w:color w:val="000000"/>
          <w:sz w:val="22"/>
          <w:szCs w:val="24"/>
          <w:vertAlign w:val="superscript"/>
        </w:rPr>
        <w:t>th</w:t>
      </w:r>
      <w:r>
        <w:rPr>
          <w:color w:val="000000"/>
          <w:sz w:val="22"/>
          <w:szCs w:val="24"/>
        </w:rPr>
        <w:t xml:space="preserve"> May 2013 or, if the building was not in use immediately before that date, when it was last in use</w:t>
      </w:r>
      <w:r w:rsidR="00515EEA">
        <w:rPr>
          <w:color w:val="000000"/>
          <w:sz w:val="22"/>
          <w:szCs w:val="24"/>
        </w:rPr>
        <w:t xml:space="preserve"> </w:t>
      </w:r>
      <w:r w:rsidR="00515EEA">
        <w:rPr>
          <w:b/>
          <w:color w:val="000000"/>
          <w:sz w:val="22"/>
          <w:szCs w:val="24"/>
        </w:rPr>
        <w:t>The building was seen to be in use at the time of the officers site visit for office purposes, and was in use as an office on 29</w:t>
      </w:r>
      <w:r w:rsidR="00515EEA" w:rsidRPr="00515EEA">
        <w:rPr>
          <w:b/>
          <w:color w:val="000000"/>
          <w:sz w:val="22"/>
          <w:szCs w:val="24"/>
          <w:vertAlign w:val="superscript"/>
        </w:rPr>
        <w:t>th</w:t>
      </w:r>
      <w:r w:rsidR="00515EEA">
        <w:rPr>
          <w:b/>
          <w:color w:val="000000"/>
          <w:sz w:val="22"/>
          <w:szCs w:val="24"/>
        </w:rPr>
        <w:t xml:space="preserve"> May 2013</w:t>
      </w:r>
    </w:p>
    <w:p w:rsidR="00D16515" w:rsidRDefault="00D16515" w:rsidP="00D16515">
      <w:pPr>
        <w:pStyle w:val="ListParagraph"/>
        <w:numPr>
          <w:ilvl w:val="0"/>
          <w:numId w:val="11"/>
        </w:numPr>
        <w:jc w:val="both"/>
        <w:rPr>
          <w:color w:val="000000"/>
          <w:sz w:val="22"/>
          <w:szCs w:val="24"/>
        </w:rPr>
      </w:pPr>
      <w:r>
        <w:rPr>
          <w:color w:val="000000"/>
          <w:sz w:val="22"/>
          <w:szCs w:val="24"/>
        </w:rPr>
        <w:t>The site is or forms part of a safety hazard area</w:t>
      </w:r>
      <w:r w:rsidR="00515EEA">
        <w:rPr>
          <w:color w:val="000000"/>
          <w:sz w:val="22"/>
          <w:szCs w:val="24"/>
        </w:rPr>
        <w:t xml:space="preserve"> </w:t>
      </w:r>
      <w:r w:rsidR="00515EEA">
        <w:rPr>
          <w:b/>
          <w:color w:val="000000"/>
          <w:sz w:val="22"/>
          <w:szCs w:val="24"/>
        </w:rPr>
        <w:t>It does not</w:t>
      </w:r>
    </w:p>
    <w:p w:rsidR="00D16515" w:rsidRDefault="00D16515" w:rsidP="00D16515">
      <w:pPr>
        <w:pStyle w:val="ListParagraph"/>
        <w:numPr>
          <w:ilvl w:val="0"/>
          <w:numId w:val="11"/>
        </w:numPr>
        <w:jc w:val="both"/>
        <w:rPr>
          <w:color w:val="000000"/>
          <w:sz w:val="22"/>
          <w:szCs w:val="24"/>
        </w:rPr>
      </w:pPr>
      <w:r>
        <w:rPr>
          <w:color w:val="000000"/>
          <w:sz w:val="22"/>
          <w:szCs w:val="24"/>
        </w:rPr>
        <w:t>The site is or forms part of a military explosives storage area</w:t>
      </w:r>
      <w:r w:rsidR="00515EEA">
        <w:rPr>
          <w:color w:val="000000"/>
          <w:sz w:val="22"/>
          <w:szCs w:val="24"/>
        </w:rPr>
        <w:t xml:space="preserve"> </w:t>
      </w:r>
      <w:r w:rsidR="00515EEA">
        <w:rPr>
          <w:b/>
          <w:color w:val="000000"/>
          <w:sz w:val="22"/>
          <w:szCs w:val="24"/>
        </w:rPr>
        <w:t>It does not</w:t>
      </w:r>
    </w:p>
    <w:p w:rsidR="00D16515" w:rsidRDefault="00D16515" w:rsidP="00D16515">
      <w:pPr>
        <w:pStyle w:val="ListParagraph"/>
        <w:numPr>
          <w:ilvl w:val="0"/>
          <w:numId w:val="11"/>
        </w:numPr>
        <w:jc w:val="both"/>
        <w:rPr>
          <w:color w:val="000000"/>
          <w:sz w:val="22"/>
          <w:szCs w:val="24"/>
        </w:rPr>
      </w:pPr>
      <w:r>
        <w:rPr>
          <w:color w:val="000000"/>
          <w:sz w:val="22"/>
          <w:szCs w:val="24"/>
        </w:rPr>
        <w:t xml:space="preserve">The building is a listed building or a scheduled monument </w:t>
      </w:r>
      <w:r w:rsidR="00515EEA">
        <w:rPr>
          <w:b/>
          <w:color w:val="000000"/>
          <w:sz w:val="22"/>
          <w:szCs w:val="24"/>
        </w:rPr>
        <w:t>It is not</w:t>
      </w:r>
    </w:p>
    <w:p w:rsidR="00D16515" w:rsidRDefault="00D16515" w:rsidP="00D16515">
      <w:pPr>
        <w:jc w:val="both"/>
        <w:rPr>
          <w:color w:val="000000"/>
          <w:sz w:val="22"/>
          <w:szCs w:val="24"/>
        </w:rPr>
      </w:pPr>
    </w:p>
    <w:p w:rsidR="00D16515" w:rsidRDefault="00D16515" w:rsidP="00D16515">
      <w:pPr>
        <w:jc w:val="both"/>
        <w:rPr>
          <w:color w:val="000000"/>
          <w:sz w:val="22"/>
          <w:szCs w:val="24"/>
        </w:rPr>
      </w:pPr>
      <w:r>
        <w:rPr>
          <w:color w:val="000000"/>
          <w:sz w:val="22"/>
          <w:szCs w:val="24"/>
        </w:rPr>
        <w:t>Development under Class O is permitted subject to condition. This assessment can only consider the transport and highways impacts of the development, contamination risks on the site</w:t>
      </w:r>
      <w:r w:rsidR="00F41BEF">
        <w:rPr>
          <w:color w:val="000000"/>
          <w:sz w:val="22"/>
          <w:szCs w:val="24"/>
        </w:rPr>
        <w:t>, flooding risks on the site and noise from commercial premises.</w:t>
      </w:r>
    </w:p>
    <w:p w:rsidR="00F41BEF" w:rsidRDefault="00F41BEF" w:rsidP="00D16515">
      <w:pPr>
        <w:jc w:val="both"/>
        <w:rPr>
          <w:color w:val="000000"/>
          <w:sz w:val="22"/>
          <w:szCs w:val="24"/>
        </w:rPr>
      </w:pPr>
    </w:p>
    <w:p w:rsidR="00F41BEF" w:rsidRDefault="00F41BEF" w:rsidP="00D16515">
      <w:pPr>
        <w:jc w:val="both"/>
        <w:rPr>
          <w:color w:val="000000"/>
          <w:sz w:val="22"/>
          <w:szCs w:val="24"/>
          <w:u w:val="single"/>
        </w:rPr>
      </w:pPr>
      <w:r>
        <w:rPr>
          <w:color w:val="000000"/>
          <w:sz w:val="22"/>
          <w:szCs w:val="24"/>
          <w:u w:val="single"/>
        </w:rPr>
        <w:t>Transport and highways impacts</w:t>
      </w:r>
    </w:p>
    <w:p w:rsidR="00515EEA" w:rsidRPr="00515EEA" w:rsidRDefault="00515EEA" w:rsidP="00D16515">
      <w:pPr>
        <w:jc w:val="both"/>
        <w:rPr>
          <w:color w:val="000000"/>
          <w:sz w:val="22"/>
          <w:szCs w:val="24"/>
        </w:rPr>
      </w:pPr>
      <w:r>
        <w:rPr>
          <w:color w:val="000000"/>
          <w:sz w:val="22"/>
          <w:szCs w:val="24"/>
        </w:rPr>
        <w:t xml:space="preserve">There are no objections to the proposal as the </w:t>
      </w:r>
      <w:r w:rsidRPr="00AD2741">
        <w:rPr>
          <w:sz w:val="22"/>
          <w:szCs w:val="24"/>
        </w:rPr>
        <w:t>change of use would not have a material impact on the character of the traffic in the vicinity of the site</w:t>
      </w:r>
      <w:r>
        <w:rPr>
          <w:sz w:val="22"/>
          <w:szCs w:val="24"/>
        </w:rPr>
        <w:t>.</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Contamination risks</w:t>
      </w:r>
    </w:p>
    <w:p w:rsidR="00515EEA" w:rsidRPr="00515EEA" w:rsidRDefault="00515EEA" w:rsidP="00D16515">
      <w:pPr>
        <w:jc w:val="both"/>
        <w:rPr>
          <w:color w:val="000000"/>
          <w:sz w:val="22"/>
          <w:szCs w:val="24"/>
        </w:rPr>
      </w:pPr>
      <w:r>
        <w:rPr>
          <w:color w:val="000000"/>
          <w:sz w:val="22"/>
          <w:szCs w:val="24"/>
        </w:rPr>
        <w:t xml:space="preserve">The phase 1 contaminated land assessment concludes that there are no contaminated land concerns in this location. </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Flooding risks</w:t>
      </w:r>
    </w:p>
    <w:p w:rsidR="002A25D5" w:rsidRPr="002A25D5" w:rsidRDefault="002A25D5" w:rsidP="002A25D5">
      <w:pPr>
        <w:jc w:val="both"/>
        <w:rPr>
          <w:rFonts w:cs="Arial"/>
          <w:sz w:val="22"/>
          <w:szCs w:val="24"/>
          <w:lang w:val="en"/>
        </w:rPr>
      </w:pPr>
      <w:r w:rsidRPr="002A25D5">
        <w:rPr>
          <w:rFonts w:cs="Arial"/>
          <w:sz w:val="22"/>
          <w:szCs w:val="24"/>
          <w:lang w:val="en"/>
        </w:rPr>
        <w:t>The site is located within Flood Zone 2,</w:t>
      </w:r>
      <w:r w:rsidRPr="002A25D5">
        <w:rPr>
          <w:rFonts w:asciiTheme="minorHAnsi" w:hAnsiTheme="minorHAnsi"/>
          <w:sz w:val="20"/>
          <w:szCs w:val="22"/>
        </w:rPr>
        <w:t xml:space="preserve"> </w:t>
      </w:r>
      <w:r w:rsidRPr="002A25D5">
        <w:rPr>
          <w:rFonts w:cs="Arial"/>
          <w:sz w:val="22"/>
          <w:szCs w:val="24"/>
          <w:lang w:val="en"/>
        </w:rPr>
        <w:t>an area considered to be at flood risk with between a 1% (1 in 100) and 0.1% (1 in 1000) annual probability of fluvial flooding</w:t>
      </w:r>
      <w:r>
        <w:rPr>
          <w:rFonts w:cs="Arial"/>
          <w:sz w:val="22"/>
          <w:szCs w:val="24"/>
          <w:lang w:val="en"/>
        </w:rPr>
        <w:t>. T</w:t>
      </w:r>
      <w:r w:rsidRPr="002A25D5">
        <w:rPr>
          <w:rFonts w:cs="Arial"/>
          <w:sz w:val="22"/>
          <w:szCs w:val="24"/>
          <w:lang w:val="en"/>
        </w:rPr>
        <w:t>he applicant has submitted a Flood Risk Assessment (FRA)</w:t>
      </w:r>
      <w:r>
        <w:rPr>
          <w:rFonts w:cs="Arial"/>
          <w:sz w:val="22"/>
          <w:szCs w:val="24"/>
          <w:lang w:val="en"/>
        </w:rPr>
        <w:t xml:space="preserve"> with the application</w:t>
      </w:r>
      <w:r w:rsidRPr="002A25D5">
        <w:rPr>
          <w:rFonts w:cs="Arial"/>
          <w:sz w:val="22"/>
          <w:szCs w:val="24"/>
          <w:lang w:val="en"/>
        </w:rPr>
        <w:t xml:space="preserve">. Whilst the Environment Agency has advised that it does not wish to be consulted on the application, the submitted FRA by Delta Simons dated 07/03/2018 concludes that the site is at low risk of flooding during all events up to and including the 1% Annual Exceedance Probability (AEP) event. </w:t>
      </w:r>
      <w:proofErr w:type="spellStart"/>
      <w:r w:rsidRPr="002A25D5">
        <w:rPr>
          <w:rFonts w:cs="Arial"/>
          <w:sz w:val="22"/>
          <w:szCs w:val="24"/>
          <w:lang w:val="en"/>
        </w:rPr>
        <w:t>Cadogan</w:t>
      </w:r>
      <w:proofErr w:type="spellEnd"/>
      <w:r w:rsidRPr="002A25D5">
        <w:rPr>
          <w:rFonts w:cs="Arial"/>
          <w:sz w:val="22"/>
          <w:szCs w:val="24"/>
          <w:lang w:val="en"/>
        </w:rPr>
        <w:t xml:space="preserve"> House is shown to be flood free during the 1% AEP plus 20% Climate Change (CC) event. In addition the FRA highlights that there is no risk from tidal flooding and</w:t>
      </w:r>
      <w:r w:rsidRPr="002A25D5">
        <w:rPr>
          <w:rFonts w:asciiTheme="minorHAnsi" w:hAnsiTheme="minorHAnsi"/>
          <w:sz w:val="20"/>
          <w:szCs w:val="22"/>
        </w:rPr>
        <w:t xml:space="preserve"> </w:t>
      </w:r>
      <w:r w:rsidRPr="002A25D5">
        <w:rPr>
          <w:rFonts w:cs="Arial"/>
          <w:sz w:val="22"/>
          <w:szCs w:val="24"/>
          <w:lang w:val="en"/>
        </w:rPr>
        <w:t>surface water flooding as the site is situated at a minimum of 38.68m AOD and is significantly above sea level.</w:t>
      </w:r>
    </w:p>
    <w:p w:rsidR="002A25D5" w:rsidRPr="002A25D5" w:rsidRDefault="002A25D5" w:rsidP="002A25D5">
      <w:pPr>
        <w:jc w:val="both"/>
        <w:rPr>
          <w:rFonts w:cs="Arial"/>
          <w:sz w:val="22"/>
          <w:szCs w:val="24"/>
          <w:lang w:val="en"/>
        </w:rPr>
      </w:pPr>
    </w:p>
    <w:p w:rsidR="002A25D5" w:rsidRPr="002A25D5" w:rsidRDefault="002A25D5" w:rsidP="002A25D5">
      <w:pPr>
        <w:jc w:val="both"/>
        <w:rPr>
          <w:rFonts w:cs="Arial"/>
          <w:sz w:val="22"/>
          <w:szCs w:val="24"/>
          <w:lang w:val="en"/>
        </w:rPr>
      </w:pPr>
      <w:r w:rsidRPr="002A25D5">
        <w:rPr>
          <w:rFonts w:cs="Arial"/>
          <w:sz w:val="22"/>
          <w:szCs w:val="24"/>
          <w:lang w:val="en"/>
        </w:rPr>
        <w:t xml:space="preserve">However, the site is shown to be at flood risk during the 1% AEP plus 25% CC and 1% AEP plus 35% CC events. The maximum estimated water level during the 1% AEP plus 25% CC event is 39.26m AOD. The maximum estimated water level during the 1% AEP plus 35% CC event is 39.46m AOD. </w:t>
      </w:r>
      <w:proofErr w:type="spellStart"/>
      <w:r w:rsidRPr="002A25D5">
        <w:rPr>
          <w:rFonts w:cs="Arial"/>
          <w:sz w:val="22"/>
          <w:szCs w:val="24"/>
          <w:lang w:val="en"/>
        </w:rPr>
        <w:t>Cadogan</w:t>
      </w:r>
      <w:proofErr w:type="spellEnd"/>
      <w:r w:rsidRPr="002A25D5">
        <w:rPr>
          <w:rFonts w:cs="Arial"/>
          <w:sz w:val="22"/>
          <w:szCs w:val="24"/>
          <w:lang w:val="en"/>
        </w:rPr>
        <w:t xml:space="preserve"> House is situated at approximately 39m AOD. Therefore, as the proposal entails change of use involving ground floor sleeping, finished floor levels should be set above estimated flood levels. The FRA recommends that finished ground floor level of 39.56m AOD be provided. This level provides a 300mm freeboard above the estimated 1% AEP plus 25% CC flood level and a 100mm freeboard above the 1% AEP plus 35% CC flood level. Subject to an appropriate condition, the change of use is acceptable in terms of risk to flooding.</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Noise from commercial premises</w:t>
      </w:r>
    </w:p>
    <w:p w:rsidR="002A25D5" w:rsidRPr="002A25D5" w:rsidRDefault="002A25D5" w:rsidP="002A25D5">
      <w:pPr>
        <w:jc w:val="both"/>
        <w:rPr>
          <w:color w:val="000000"/>
          <w:sz w:val="22"/>
          <w:szCs w:val="24"/>
        </w:rPr>
      </w:pPr>
      <w:r w:rsidRPr="002A25D5">
        <w:rPr>
          <w:color w:val="000000"/>
          <w:sz w:val="22"/>
          <w:szCs w:val="24"/>
        </w:rPr>
        <w:t xml:space="preserve">It is a prior approval application so only commercial noise needs to be considered. There are no immediate adjoining commercial premises that would generate levels of noise considered detrimental to the future occupants of the premises. A noise report by Anderson Acoustics has been submitted identifying that external noise is dominated by local traffic on Rose Kiln Lane and the A33 relief road. The report recommends that acoustic glazing and acoustic </w:t>
      </w:r>
      <w:r w:rsidRPr="002A25D5">
        <w:rPr>
          <w:color w:val="000000"/>
          <w:sz w:val="22"/>
          <w:szCs w:val="24"/>
        </w:rPr>
        <w:lastRenderedPageBreak/>
        <w:t xml:space="preserve">trickle vents be installed to mitigate the noise levels. A condition is recommended that requires the recommendations of the noise assessment to be implemented. With such measures in place, recommended internal noise levels set out in World Health Organization (WHO) guidelines and BS8233 would be met. </w:t>
      </w:r>
    </w:p>
    <w:p w:rsidR="00F41BEF" w:rsidRDefault="00F41BEF" w:rsidP="00D16515">
      <w:pPr>
        <w:jc w:val="both"/>
        <w:rPr>
          <w:color w:val="000000"/>
          <w:sz w:val="22"/>
          <w:szCs w:val="24"/>
          <w:u w:val="single"/>
        </w:rPr>
      </w:pPr>
      <w:bookmarkStart w:id="0" w:name="_GoBack"/>
      <w:bookmarkEnd w:id="0"/>
    </w:p>
    <w:p w:rsidR="00F41BEF" w:rsidRDefault="00F41BEF" w:rsidP="00D16515">
      <w:pPr>
        <w:jc w:val="both"/>
        <w:rPr>
          <w:b/>
          <w:color w:val="000000"/>
          <w:sz w:val="22"/>
          <w:szCs w:val="24"/>
        </w:rPr>
      </w:pPr>
      <w:r>
        <w:rPr>
          <w:b/>
          <w:color w:val="000000"/>
          <w:sz w:val="22"/>
          <w:szCs w:val="24"/>
        </w:rPr>
        <w:t>Recommendation</w:t>
      </w:r>
    </w:p>
    <w:p w:rsidR="00F41BEF" w:rsidRPr="00F41BEF" w:rsidRDefault="00F41BEF" w:rsidP="00D16515">
      <w:pPr>
        <w:jc w:val="both"/>
        <w:rPr>
          <w:b/>
          <w:color w:val="000000"/>
          <w:sz w:val="22"/>
          <w:szCs w:val="24"/>
        </w:rPr>
      </w:pPr>
      <w:r>
        <w:rPr>
          <w:b/>
          <w:color w:val="000000"/>
          <w:sz w:val="22"/>
          <w:szCs w:val="24"/>
        </w:rPr>
        <w:t>GRANT Prior Approval</w:t>
      </w:r>
    </w:p>
    <w:sectPr w:rsidR="00F41BEF" w:rsidRPr="00F41BEF"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7C6FF5"/>
    <w:multiLevelType w:val="hybridMultilevel"/>
    <w:tmpl w:val="14229D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D40330"/>
    <w:multiLevelType w:val="hybridMultilevel"/>
    <w:tmpl w:val="38AC6E62"/>
    <w:lvl w:ilvl="0" w:tplc="9900FE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4"/>
  </w:num>
  <w:num w:numId="5">
    <w:abstractNumId w:val="1"/>
  </w:num>
  <w:num w:numId="6">
    <w:abstractNumId w:val="10"/>
  </w:num>
  <w:num w:numId="7">
    <w:abstractNumId w:val="2"/>
  </w:num>
  <w:num w:numId="8">
    <w:abstractNumId w:val="7"/>
  </w:num>
  <w:num w:numId="9">
    <w:abstractNumId w:val="5"/>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EB"/>
    <w:rsid w:val="00024A9F"/>
    <w:rsid w:val="000757A6"/>
    <w:rsid w:val="000D3630"/>
    <w:rsid w:val="00146A89"/>
    <w:rsid w:val="001559B1"/>
    <w:rsid w:val="00196750"/>
    <w:rsid w:val="00233D61"/>
    <w:rsid w:val="002A25D5"/>
    <w:rsid w:val="002F17D2"/>
    <w:rsid w:val="003104EB"/>
    <w:rsid w:val="003336D9"/>
    <w:rsid w:val="003B4EF5"/>
    <w:rsid w:val="003D26F8"/>
    <w:rsid w:val="004347BA"/>
    <w:rsid w:val="0046375F"/>
    <w:rsid w:val="00490997"/>
    <w:rsid w:val="004931E8"/>
    <w:rsid w:val="004C421F"/>
    <w:rsid w:val="00515EEA"/>
    <w:rsid w:val="005860F7"/>
    <w:rsid w:val="005B6966"/>
    <w:rsid w:val="00672BF7"/>
    <w:rsid w:val="00726019"/>
    <w:rsid w:val="00911CD0"/>
    <w:rsid w:val="00936B11"/>
    <w:rsid w:val="0094414F"/>
    <w:rsid w:val="009A124D"/>
    <w:rsid w:val="009C4ED2"/>
    <w:rsid w:val="009D6E6A"/>
    <w:rsid w:val="009E54E1"/>
    <w:rsid w:val="00AD2741"/>
    <w:rsid w:val="00B163FC"/>
    <w:rsid w:val="00B7333C"/>
    <w:rsid w:val="00CB13E6"/>
    <w:rsid w:val="00CF4564"/>
    <w:rsid w:val="00D16515"/>
    <w:rsid w:val="00D30B38"/>
    <w:rsid w:val="00D333C8"/>
    <w:rsid w:val="00D772CB"/>
    <w:rsid w:val="00D90AF0"/>
    <w:rsid w:val="00E05D92"/>
    <w:rsid w:val="00F41BEF"/>
    <w:rsid w:val="00F45B70"/>
    <w:rsid w:val="00F90FF5"/>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customStyle="1" w:styleId="Default">
    <w:name w:val="Default"/>
    <w:basedOn w:val="Normal"/>
    <w:rsid w:val="00AD2741"/>
    <w:pPr>
      <w:autoSpaceDE w:val="0"/>
      <w:autoSpaceDN w:val="0"/>
    </w:pPr>
    <w:rPr>
      <w:rFonts w:ascii="Verdana" w:eastAsiaTheme="minorHAnsi" w:hAnsi="Verdana"/>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customStyle="1" w:styleId="Default">
    <w:name w:val="Default"/>
    <w:basedOn w:val="Normal"/>
    <w:rsid w:val="00AD2741"/>
    <w:pPr>
      <w:autoSpaceDE w:val="0"/>
      <w:autoSpaceDN w:val="0"/>
    </w:pPr>
    <w:rPr>
      <w:rFonts w:ascii="Verdana" w:eastAsiaTheme="minorHAnsi" w:hAnsi="Verdana"/>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11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FADC9-ADAC-41BC-8F0E-D66BF91D8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1442</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2018-11-05T19:03:00Z</dcterms:created>
  <dcterms:modified xsi:type="dcterms:W3CDTF">2018-11-07T12:40:00Z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