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5112F" w14:textId="1AD6B5A1" w:rsidR="00257D9A" w:rsidRPr="002F758A" w:rsidRDefault="000514AE" w:rsidP="00113F40">
      <w:pPr>
        <w:jc w:val="right"/>
        <w:rPr>
          <w:rFonts w:ascii="Calibri" w:hAnsi="Calibri" w:cs="Calibri"/>
          <w:color w:val="404040"/>
          <w:sz w:val="22"/>
        </w:rPr>
      </w:pPr>
      <w:r>
        <w:rPr>
          <w:rFonts w:ascii="Calibri" w:hAnsi="Calibri" w:cs="Calibri"/>
          <w:noProof/>
          <w:color w:val="404040"/>
          <w:sz w:val="22"/>
          <w:lang w:eastAsia="en-GB"/>
        </w:rPr>
        <w:drawing>
          <wp:anchor distT="0" distB="0" distL="114300" distR="114300" simplePos="0" relativeHeight="251657216" behindDoc="0" locked="0" layoutInCell="1" allowOverlap="1" wp14:anchorId="3C026FAF" wp14:editId="70CA456F">
            <wp:simplePos x="0" y="0"/>
            <wp:positionH relativeFrom="column">
              <wp:posOffset>-577850</wp:posOffset>
            </wp:positionH>
            <wp:positionV relativeFrom="paragraph">
              <wp:posOffset>-247650</wp:posOffset>
            </wp:positionV>
            <wp:extent cx="1606550" cy="688340"/>
            <wp:effectExtent l="0" t="0" r="0" b="0"/>
            <wp:wrapNone/>
            <wp:docPr id="6" name="Picture 2" descr="New JC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JCD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H="1" flipV="1">
                      <a:off x="0" y="0"/>
                      <a:ext cx="1606550" cy="688340"/>
                    </a:xfrm>
                    <a:prstGeom prst="rect">
                      <a:avLst/>
                    </a:prstGeom>
                    <a:noFill/>
                  </pic:spPr>
                </pic:pic>
              </a:graphicData>
            </a:graphic>
            <wp14:sizeRelH relativeFrom="page">
              <wp14:pctWidth>0</wp14:pctWidth>
            </wp14:sizeRelH>
            <wp14:sizeRelV relativeFrom="page">
              <wp14:pctHeight>0</wp14:pctHeight>
            </wp14:sizeRelV>
          </wp:anchor>
        </w:drawing>
      </w:r>
    </w:p>
    <w:p w14:paraId="33213C19" w14:textId="77777777" w:rsidR="00707EE2" w:rsidRPr="002F758A" w:rsidRDefault="00257D9A" w:rsidP="00707EE2">
      <w:pPr>
        <w:rPr>
          <w:rFonts w:ascii="Calibri" w:hAnsi="Calibri" w:cs="Calibri"/>
          <w:b/>
          <w:color w:val="404040"/>
          <w:sz w:val="22"/>
        </w:rPr>
      </w:pPr>
      <w:r w:rsidRPr="002F758A">
        <w:rPr>
          <w:rFonts w:ascii="Calibri" w:hAnsi="Calibri" w:cs="Calibri"/>
          <w:b/>
          <w:color w:val="404040"/>
          <w:sz w:val="22"/>
        </w:rPr>
        <w:tab/>
      </w:r>
      <w:r w:rsidRPr="002F758A">
        <w:rPr>
          <w:rFonts w:ascii="Calibri" w:hAnsi="Calibri" w:cs="Calibri"/>
          <w:b/>
          <w:color w:val="404040"/>
          <w:sz w:val="22"/>
        </w:rPr>
        <w:tab/>
      </w:r>
      <w:r w:rsidRPr="002F758A">
        <w:rPr>
          <w:rFonts w:ascii="Calibri" w:hAnsi="Calibri" w:cs="Calibri"/>
          <w:b/>
          <w:color w:val="404040"/>
          <w:sz w:val="22"/>
        </w:rPr>
        <w:tab/>
      </w:r>
      <w:r w:rsidRPr="002F758A">
        <w:rPr>
          <w:rFonts w:ascii="Calibri" w:hAnsi="Calibri" w:cs="Calibri"/>
          <w:b/>
          <w:color w:val="404040"/>
          <w:sz w:val="22"/>
        </w:rPr>
        <w:tab/>
      </w:r>
      <w:r w:rsidRPr="002F758A">
        <w:rPr>
          <w:rFonts w:ascii="Calibri" w:hAnsi="Calibri" w:cs="Calibri"/>
          <w:b/>
          <w:color w:val="404040"/>
          <w:sz w:val="22"/>
        </w:rPr>
        <w:tab/>
      </w:r>
    </w:p>
    <w:p w14:paraId="1D0B6706" w14:textId="77777777" w:rsidR="00707EE2" w:rsidRPr="002F758A" w:rsidRDefault="00707EE2" w:rsidP="00707EE2">
      <w:pPr>
        <w:rPr>
          <w:rFonts w:ascii="Calibri" w:hAnsi="Calibri" w:cs="Calibri"/>
          <w:color w:val="404040"/>
          <w:sz w:val="22"/>
          <w:u w:val="single"/>
        </w:rPr>
      </w:pPr>
    </w:p>
    <w:p w14:paraId="597BFFC9" w14:textId="2E158A51" w:rsidR="00707EE2" w:rsidRPr="002F758A" w:rsidRDefault="00707EE2" w:rsidP="00707EE2">
      <w:pPr>
        <w:jc w:val="right"/>
        <w:rPr>
          <w:rFonts w:ascii="Calibri" w:hAnsi="Calibri" w:cs="Calibri"/>
          <w:color w:val="404040"/>
          <w:szCs w:val="28"/>
        </w:rPr>
      </w:pPr>
      <w:r w:rsidRPr="002F758A">
        <w:rPr>
          <w:rFonts w:ascii="Calibri" w:hAnsi="Calibri" w:cs="Calibri"/>
          <w:color w:val="404040"/>
          <w:szCs w:val="28"/>
        </w:rPr>
        <w:fldChar w:fldCharType="begin"/>
      </w:r>
      <w:r w:rsidRPr="002F758A">
        <w:rPr>
          <w:rFonts w:ascii="Calibri" w:hAnsi="Calibri" w:cs="Calibri"/>
          <w:color w:val="404040"/>
          <w:szCs w:val="28"/>
        </w:rPr>
        <w:instrText xml:space="preserve"> DATE \@ "dd MMMM yyyy" </w:instrText>
      </w:r>
      <w:r w:rsidRPr="002F758A">
        <w:rPr>
          <w:rFonts w:ascii="Calibri" w:hAnsi="Calibri" w:cs="Calibri"/>
          <w:color w:val="404040"/>
          <w:szCs w:val="28"/>
        </w:rPr>
        <w:fldChar w:fldCharType="separate"/>
      </w:r>
      <w:r w:rsidR="000514AE">
        <w:rPr>
          <w:rFonts w:ascii="Calibri" w:hAnsi="Calibri" w:cs="Calibri"/>
          <w:noProof/>
          <w:color w:val="404040"/>
          <w:szCs w:val="28"/>
        </w:rPr>
        <w:t>07 February 2019</w:t>
      </w:r>
      <w:r w:rsidRPr="002F758A">
        <w:rPr>
          <w:rFonts w:ascii="Calibri" w:hAnsi="Calibri" w:cs="Calibri"/>
          <w:color w:val="404040"/>
          <w:szCs w:val="28"/>
        </w:rPr>
        <w:fldChar w:fldCharType="end"/>
      </w:r>
    </w:p>
    <w:p w14:paraId="05109B1D" w14:textId="77777777" w:rsidR="00257D9A" w:rsidRPr="002F758A" w:rsidRDefault="00257D9A" w:rsidP="00707EE2">
      <w:pPr>
        <w:rPr>
          <w:rFonts w:ascii="Calibri" w:hAnsi="Calibri" w:cs="Calibri"/>
          <w:color w:val="404040"/>
          <w:szCs w:val="28"/>
          <w:u w:val="single"/>
        </w:rPr>
      </w:pPr>
      <w:r w:rsidRPr="002F758A">
        <w:rPr>
          <w:rFonts w:ascii="Calibri" w:hAnsi="Calibri" w:cs="Calibri"/>
          <w:color w:val="404040"/>
          <w:szCs w:val="28"/>
          <w:u w:val="single"/>
        </w:rPr>
        <w:t xml:space="preserve">Heritage </w:t>
      </w:r>
      <w:r w:rsidR="00FA06E4" w:rsidRPr="002F758A">
        <w:rPr>
          <w:rFonts w:ascii="Calibri" w:hAnsi="Calibri" w:cs="Calibri"/>
          <w:color w:val="404040"/>
          <w:szCs w:val="28"/>
          <w:u w:val="single"/>
        </w:rPr>
        <w:t>Comments</w:t>
      </w:r>
    </w:p>
    <w:p w14:paraId="691B59E3" w14:textId="77777777" w:rsidR="00257D9A" w:rsidRPr="002F758A" w:rsidRDefault="00F60FC1" w:rsidP="00707EE2">
      <w:pPr>
        <w:rPr>
          <w:rFonts w:ascii="Calibri" w:hAnsi="Calibri" w:cs="Calibri"/>
          <w:color w:val="404040"/>
          <w:szCs w:val="28"/>
          <w:u w:val="single"/>
        </w:rPr>
      </w:pPr>
      <w:r w:rsidRPr="002F758A">
        <w:rPr>
          <w:rFonts w:ascii="Calibri" w:hAnsi="Calibri" w:cs="Calibri"/>
          <w:color w:val="404040"/>
          <w:szCs w:val="28"/>
          <w:u w:val="single"/>
        </w:rPr>
        <w:t xml:space="preserve">D6 Freestanding Advertising Display at </w:t>
      </w:r>
      <w:r w:rsidR="00FA06E4" w:rsidRPr="002F758A">
        <w:rPr>
          <w:rFonts w:ascii="Calibri" w:hAnsi="Calibri" w:cs="Calibri"/>
          <w:color w:val="404040"/>
          <w:szCs w:val="28"/>
          <w:u w:val="single"/>
        </w:rPr>
        <w:t>Queen Victoria Street Reading</w:t>
      </w:r>
    </w:p>
    <w:p w14:paraId="595435B3" w14:textId="77777777" w:rsidR="00707EE2" w:rsidRPr="002F758A" w:rsidRDefault="00707EE2" w:rsidP="00113F40">
      <w:pPr>
        <w:jc w:val="both"/>
        <w:rPr>
          <w:rFonts w:ascii="Calibri" w:hAnsi="Calibri" w:cs="Calibri"/>
          <w:b/>
          <w:color w:val="404040"/>
          <w:sz w:val="22"/>
        </w:rPr>
      </w:pPr>
    </w:p>
    <w:p w14:paraId="0E9D04DF" w14:textId="77777777" w:rsidR="00816F41" w:rsidRPr="002F758A" w:rsidRDefault="00816F41" w:rsidP="00113F40">
      <w:pPr>
        <w:jc w:val="both"/>
        <w:rPr>
          <w:rFonts w:ascii="Calibri" w:hAnsi="Calibri" w:cs="Calibri"/>
          <w:b/>
          <w:color w:val="404040"/>
          <w:sz w:val="22"/>
        </w:rPr>
      </w:pPr>
    </w:p>
    <w:p w14:paraId="38D0A79E" w14:textId="77777777" w:rsidR="00C47DFB" w:rsidRPr="002F758A" w:rsidRDefault="00C47DFB" w:rsidP="00155357">
      <w:pPr>
        <w:spacing w:line="276" w:lineRule="auto"/>
        <w:jc w:val="both"/>
        <w:rPr>
          <w:rFonts w:ascii="Calibri" w:hAnsi="Calibri" w:cs="Calibri"/>
          <w:color w:val="404040"/>
        </w:rPr>
      </w:pPr>
      <w:r w:rsidRPr="002F758A">
        <w:rPr>
          <w:rFonts w:ascii="Calibri" w:hAnsi="Calibri" w:cs="Calibri"/>
          <w:color w:val="404040"/>
        </w:rPr>
        <w:t>1.0</w:t>
      </w:r>
      <w:r w:rsidRPr="002F758A">
        <w:rPr>
          <w:rFonts w:ascii="Calibri" w:hAnsi="Calibri" w:cs="Calibri"/>
          <w:color w:val="404040"/>
        </w:rPr>
        <w:tab/>
        <w:t>I</w:t>
      </w:r>
      <w:r w:rsidR="00F60FC1" w:rsidRPr="002F758A">
        <w:rPr>
          <w:rFonts w:ascii="Calibri" w:hAnsi="Calibri" w:cs="Calibri"/>
          <w:color w:val="404040"/>
        </w:rPr>
        <w:t>ntroduction</w:t>
      </w:r>
    </w:p>
    <w:p w14:paraId="37BB329D" w14:textId="03280514" w:rsidR="001B193E" w:rsidRPr="002F758A" w:rsidRDefault="00C47DFB" w:rsidP="00155357">
      <w:pPr>
        <w:numPr>
          <w:ilvl w:val="1"/>
          <w:numId w:val="8"/>
        </w:numPr>
        <w:tabs>
          <w:tab w:val="clear" w:pos="360"/>
          <w:tab w:val="num" w:pos="720"/>
        </w:tabs>
        <w:spacing w:line="276" w:lineRule="auto"/>
        <w:ind w:left="720" w:hanging="720"/>
        <w:jc w:val="both"/>
        <w:rPr>
          <w:rFonts w:ascii="Calibri" w:hAnsi="Calibri" w:cs="Calibri"/>
          <w:color w:val="404040"/>
          <w:sz w:val="22"/>
        </w:rPr>
      </w:pPr>
      <w:r w:rsidRPr="002F758A">
        <w:rPr>
          <w:rFonts w:ascii="Calibri" w:hAnsi="Calibri" w:cs="Calibri"/>
          <w:color w:val="404040"/>
          <w:sz w:val="22"/>
        </w:rPr>
        <w:t>Th</w:t>
      </w:r>
      <w:r w:rsidR="009D7DFB" w:rsidRPr="002F758A">
        <w:rPr>
          <w:rFonts w:ascii="Calibri" w:hAnsi="Calibri" w:cs="Calibri"/>
          <w:color w:val="404040"/>
          <w:sz w:val="22"/>
        </w:rPr>
        <w:t>is document and the</w:t>
      </w:r>
      <w:r w:rsidRPr="002F758A">
        <w:rPr>
          <w:rFonts w:ascii="Calibri" w:hAnsi="Calibri" w:cs="Calibri"/>
          <w:color w:val="404040"/>
          <w:sz w:val="22"/>
        </w:rPr>
        <w:t xml:space="preserve"> </w:t>
      </w:r>
      <w:r w:rsidR="00FA06E4" w:rsidRPr="002F758A">
        <w:rPr>
          <w:rFonts w:ascii="Calibri" w:hAnsi="Calibri" w:cs="Calibri"/>
          <w:color w:val="404040"/>
          <w:sz w:val="22"/>
        </w:rPr>
        <w:t xml:space="preserve">comments </w:t>
      </w:r>
      <w:r w:rsidR="009D7DFB" w:rsidRPr="002F758A">
        <w:rPr>
          <w:rFonts w:ascii="Calibri" w:hAnsi="Calibri" w:cs="Calibri"/>
          <w:color w:val="404040"/>
          <w:sz w:val="22"/>
        </w:rPr>
        <w:t xml:space="preserve">contained therein </w:t>
      </w:r>
      <w:r w:rsidR="00FA06E4" w:rsidRPr="002F758A">
        <w:rPr>
          <w:rFonts w:ascii="Calibri" w:hAnsi="Calibri" w:cs="Calibri"/>
          <w:color w:val="404040"/>
          <w:sz w:val="22"/>
        </w:rPr>
        <w:t>have be</w:t>
      </w:r>
      <w:r w:rsidR="00286F88" w:rsidRPr="002F758A">
        <w:rPr>
          <w:rFonts w:ascii="Calibri" w:hAnsi="Calibri" w:cs="Calibri"/>
          <w:color w:val="404040"/>
          <w:sz w:val="22"/>
        </w:rPr>
        <w:t>en</w:t>
      </w:r>
      <w:r w:rsidR="00FA06E4" w:rsidRPr="002F758A">
        <w:rPr>
          <w:rFonts w:ascii="Calibri" w:hAnsi="Calibri" w:cs="Calibri"/>
          <w:color w:val="404040"/>
          <w:sz w:val="22"/>
        </w:rPr>
        <w:t xml:space="preserve"> prepared in order to support the application for advertisement consent for t</w:t>
      </w:r>
      <w:r w:rsidR="00286F88" w:rsidRPr="002F758A">
        <w:rPr>
          <w:rFonts w:ascii="Calibri" w:hAnsi="Calibri" w:cs="Calibri"/>
          <w:color w:val="404040"/>
          <w:sz w:val="22"/>
        </w:rPr>
        <w:t xml:space="preserve">wo </w:t>
      </w:r>
      <w:r w:rsidR="00FA06E4" w:rsidRPr="002F758A">
        <w:rPr>
          <w:rFonts w:ascii="Calibri" w:hAnsi="Calibri" w:cs="Calibri"/>
          <w:color w:val="404040"/>
          <w:sz w:val="22"/>
        </w:rPr>
        <w:t xml:space="preserve">freestanding advertising units within the centre of Reading. </w:t>
      </w:r>
      <w:r w:rsidR="00286F88" w:rsidRPr="002F758A">
        <w:rPr>
          <w:rFonts w:ascii="Calibri" w:hAnsi="Calibri" w:cs="Calibri"/>
          <w:color w:val="404040"/>
          <w:sz w:val="22"/>
        </w:rPr>
        <w:t>The advertisements in question comprise two displays forming part of a modern freestanding unit. Each display is equal in area to a “six sheet” advertisement, an industry term that denotes the historic multiples of posting bills that make up the total display area.</w:t>
      </w:r>
      <w:r w:rsidR="000514AE">
        <w:rPr>
          <w:rFonts w:ascii="Calibri" w:hAnsi="Calibri" w:cs="Calibri"/>
          <w:color w:val="404040"/>
          <w:sz w:val="22"/>
        </w:rPr>
        <w:t xml:space="preserve"> The advertising</w:t>
      </w:r>
      <w:r w:rsidR="009D7DFB" w:rsidRPr="002F758A">
        <w:rPr>
          <w:rFonts w:ascii="Calibri" w:hAnsi="Calibri" w:cs="Calibri"/>
          <w:color w:val="404040"/>
          <w:sz w:val="22"/>
        </w:rPr>
        <w:t xml:space="preserve"> structures for Queen Victoria Street are two of 15 proposed locations for the same type and size of display.</w:t>
      </w:r>
      <w:r w:rsidR="00286F88" w:rsidRPr="002F758A">
        <w:rPr>
          <w:rFonts w:ascii="Calibri" w:hAnsi="Calibri" w:cs="Calibri"/>
          <w:color w:val="404040"/>
          <w:sz w:val="22"/>
        </w:rPr>
        <w:t xml:space="preserve"> The proposals primarily engage the provisions of the 2007 Advertisement Regulations</w:t>
      </w:r>
      <w:r w:rsidR="00286F88" w:rsidRPr="002F758A">
        <w:rPr>
          <w:rStyle w:val="FootnoteReference"/>
          <w:rFonts w:ascii="Calibri" w:hAnsi="Calibri" w:cs="Calibri"/>
          <w:color w:val="404040"/>
          <w:sz w:val="22"/>
        </w:rPr>
        <w:footnoteReference w:id="1"/>
      </w:r>
      <w:r w:rsidR="00286F88" w:rsidRPr="002F758A">
        <w:rPr>
          <w:rFonts w:ascii="Calibri" w:hAnsi="Calibri" w:cs="Calibri"/>
          <w:color w:val="404040"/>
          <w:sz w:val="22"/>
        </w:rPr>
        <w:t>, however</w:t>
      </w:r>
      <w:r w:rsidR="009D7DFB" w:rsidRPr="002F758A">
        <w:rPr>
          <w:rFonts w:ascii="Calibri" w:hAnsi="Calibri" w:cs="Calibri"/>
          <w:color w:val="404040"/>
          <w:sz w:val="22"/>
        </w:rPr>
        <w:t xml:space="preserve">, in the case of the Queen Victoria Street, </w:t>
      </w:r>
      <w:r w:rsidR="00286F88" w:rsidRPr="002F758A">
        <w:rPr>
          <w:rFonts w:ascii="Calibri" w:hAnsi="Calibri" w:cs="Calibri"/>
          <w:color w:val="404040"/>
          <w:sz w:val="22"/>
        </w:rPr>
        <w:t xml:space="preserve">the </w:t>
      </w:r>
      <w:r w:rsidR="004730E9" w:rsidRPr="002F758A">
        <w:rPr>
          <w:rFonts w:ascii="Calibri" w:hAnsi="Calibri" w:cs="Calibri"/>
          <w:color w:val="404040"/>
          <w:sz w:val="22"/>
        </w:rPr>
        <w:t xml:space="preserve">assessment of </w:t>
      </w:r>
      <w:r w:rsidR="00286F88" w:rsidRPr="002F758A">
        <w:rPr>
          <w:rFonts w:ascii="Calibri" w:hAnsi="Calibri" w:cs="Calibri"/>
          <w:color w:val="404040"/>
          <w:sz w:val="22"/>
        </w:rPr>
        <w:t>amenity impact must be viewed beyond the general</w:t>
      </w:r>
      <w:r w:rsidR="004730E9" w:rsidRPr="002F758A">
        <w:rPr>
          <w:rFonts w:ascii="Calibri" w:hAnsi="Calibri" w:cs="Calibri"/>
          <w:color w:val="404040"/>
          <w:sz w:val="22"/>
        </w:rPr>
        <w:t xml:space="preserve"> </w:t>
      </w:r>
      <w:r w:rsidR="00286F88" w:rsidRPr="002F758A">
        <w:rPr>
          <w:rFonts w:ascii="Calibri" w:hAnsi="Calibri" w:cs="Calibri"/>
          <w:color w:val="404040"/>
          <w:sz w:val="22"/>
        </w:rPr>
        <w:t xml:space="preserve">due to the proximity </w:t>
      </w:r>
      <w:r w:rsidR="004730E9" w:rsidRPr="002F758A">
        <w:rPr>
          <w:rFonts w:ascii="Calibri" w:hAnsi="Calibri" w:cs="Calibri"/>
          <w:color w:val="404040"/>
          <w:sz w:val="22"/>
        </w:rPr>
        <w:t xml:space="preserve">to </w:t>
      </w:r>
      <w:r w:rsidR="00286F88" w:rsidRPr="002F758A">
        <w:rPr>
          <w:rFonts w:ascii="Calibri" w:hAnsi="Calibri" w:cs="Calibri"/>
          <w:color w:val="404040"/>
          <w:sz w:val="22"/>
        </w:rPr>
        <w:t xml:space="preserve">heritage </w:t>
      </w:r>
      <w:r w:rsidR="004730E9" w:rsidRPr="002F758A">
        <w:rPr>
          <w:rFonts w:ascii="Calibri" w:hAnsi="Calibri" w:cs="Calibri"/>
          <w:color w:val="404040"/>
          <w:sz w:val="22"/>
        </w:rPr>
        <w:t>asset</w:t>
      </w:r>
      <w:r w:rsidR="00E341E6" w:rsidRPr="002F758A">
        <w:rPr>
          <w:rFonts w:ascii="Calibri" w:hAnsi="Calibri" w:cs="Calibri"/>
          <w:color w:val="404040"/>
          <w:sz w:val="22"/>
        </w:rPr>
        <w:t>s</w:t>
      </w:r>
      <w:r w:rsidR="00286F88" w:rsidRPr="002F758A">
        <w:rPr>
          <w:rFonts w:ascii="Calibri" w:hAnsi="Calibri" w:cs="Calibri"/>
          <w:color w:val="404040"/>
          <w:sz w:val="22"/>
        </w:rPr>
        <w:t xml:space="preserve">. </w:t>
      </w:r>
    </w:p>
    <w:p w14:paraId="23917F30" w14:textId="77777777" w:rsidR="00286F88" w:rsidRPr="002F758A" w:rsidRDefault="00286F88" w:rsidP="00155357">
      <w:pPr>
        <w:tabs>
          <w:tab w:val="num" w:pos="720"/>
        </w:tabs>
        <w:spacing w:line="276" w:lineRule="auto"/>
        <w:ind w:left="720"/>
        <w:jc w:val="both"/>
        <w:rPr>
          <w:rFonts w:ascii="Calibri" w:hAnsi="Calibri" w:cs="Calibri"/>
          <w:color w:val="404040"/>
          <w:sz w:val="22"/>
        </w:rPr>
      </w:pPr>
    </w:p>
    <w:p w14:paraId="1FC91939" w14:textId="5463F65F" w:rsidR="004730E9" w:rsidRPr="002F758A" w:rsidRDefault="001B193E" w:rsidP="00155357">
      <w:pPr>
        <w:numPr>
          <w:ilvl w:val="1"/>
          <w:numId w:val="8"/>
        </w:numPr>
        <w:tabs>
          <w:tab w:val="clear" w:pos="360"/>
          <w:tab w:val="num" w:pos="720"/>
        </w:tabs>
        <w:spacing w:line="276" w:lineRule="auto"/>
        <w:ind w:left="720" w:hanging="720"/>
        <w:jc w:val="both"/>
        <w:rPr>
          <w:rFonts w:ascii="Calibri" w:hAnsi="Calibri" w:cs="Calibri"/>
          <w:color w:val="404040"/>
          <w:sz w:val="22"/>
        </w:rPr>
      </w:pPr>
      <w:r w:rsidRPr="002F758A">
        <w:rPr>
          <w:rFonts w:ascii="Calibri" w:hAnsi="Calibri" w:cs="Calibri"/>
          <w:color w:val="404040"/>
          <w:sz w:val="22"/>
        </w:rPr>
        <w:t xml:space="preserve">The </w:t>
      </w:r>
      <w:r w:rsidR="004730E9" w:rsidRPr="002F758A">
        <w:rPr>
          <w:rFonts w:ascii="Calibri" w:hAnsi="Calibri" w:cs="Calibri"/>
          <w:color w:val="404040"/>
          <w:sz w:val="22"/>
        </w:rPr>
        <w:t>proposals are</w:t>
      </w:r>
      <w:r w:rsidRPr="002F758A">
        <w:rPr>
          <w:rFonts w:ascii="Calibri" w:hAnsi="Calibri" w:cs="Calibri"/>
          <w:color w:val="404040"/>
          <w:sz w:val="22"/>
        </w:rPr>
        <w:t xml:space="preserve"> a</w:t>
      </w:r>
      <w:r w:rsidR="008A74C6" w:rsidRPr="002F758A">
        <w:rPr>
          <w:rFonts w:ascii="Calibri" w:hAnsi="Calibri" w:cs="Calibri"/>
          <w:color w:val="404040"/>
          <w:sz w:val="22"/>
        </w:rPr>
        <w:t>dvertisement</w:t>
      </w:r>
      <w:r w:rsidR="004730E9" w:rsidRPr="002F758A">
        <w:rPr>
          <w:rFonts w:ascii="Calibri" w:hAnsi="Calibri" w:cs="Calibri"/>
          <w:color w:val="404040"/>
          <w:sz w:val="22"/>
        </w:rPr>
        <w:t>s</w:t>
      </w:r>
      <w:r w:rsidRPr="002F758A">
        <w:rPr>
          <w:rFonts w:ascii="Calibri" w:hAnsi="Calibri" w:cs="Calibri"/>
          <w:color w:val="404040"/>
          <w:sz w:val="22"/>
        </w:rPr>
        <w:t xml:space="preserve"> as defined in the Town and Country Planning Act 1990 and require </w:t>
      </w:r>
      <w:r w:rsidR="00012A97" w:rsidRPr="002F758A">
        <w:rPr>
          <w:rFonts w:ascii="Calibri" w:hAnsi="Calibri" w:cs="Calibri"/>
          <w:color w:val="404040"/>
          <w:sz w:val="22"/>
        </w:rPr>
        <w:t>express</w:t>
      </w:r>
      <w:r w:rsidRPr="002F758A">
        <w:rPr>
          <w:rFonts w:ascii="Calibri" w:hAnsi="Calibri" w:cs="Calibri"/>
          <w:color w:val="404040"/>
          <w:sz w:val="22"/>
        </w:rPr>
        <w:t xml:space="preserve"> consent under the provisions of the</w:t>
      </w:r>
      <w:r w:rsidR="00286F88" w:rsidRPr="002F758A">
        <w:rPr>
          <w:rFonts w:ascii="Calibri" w:hAnsi="Calibri" w:cs="Calibri"/>
          <w:color w:val="404040"/>
          <w:sz w:val="22"/>
        </w:rPr>
        <w:t xml:space="preserve"> </w:t>
      </w:r>
      <w:r w:rsidR="008A74C6" w:rsidRPr="002F758A">
        <w:rPr>
          <w:rFonts w:ascii="Calibri" w:hAnsi="Calibri" w:cs="Calibri"/>
          <w:color w:val="404040"/>
          <w:sz w:val="22"/>
        </w:rPr>
        <w:t>Regulations</w:t>
      </w:r>
      <w:r w:rsidR="00CD3E3C" w:rsidRPr="002F758A">
        <w:rPr>
          <w:rFonts w:ascii="Calibri" w:hAnsi="Calibri" w:cs="Calibri"/>
          <w:color w:val="404040"/>
          <w:sz w:val="22"/>
        </w:rPr>
        <w:t>.</w:t>
      </w:r>
      <w:r w:rsidRPr="002F758A">
        <w:rPr>
          <w:rFonts w:ascii="Calibri" w:hAnsi="Calibri" w:cs="Calibri"/>
          <w:color w:val="404040"/>
          <w:sz w:val="22"/>
        </w:rPr>
        <w:t xml:space="preserve"> The Regulations provide the method of control and sets down the criteria to be applied</w:t>
      </w:r>
      <w:r w:rsidR="004730E9" w:rsidRPr="002F758A">
        <w:rPr>
          <w:rFonts w:ascii="Calibri" w:hAnsi="Calibri" w:cs="Calibri"/>
          <w:color w:val="404040"/>
          <w:sz w:val="22"/>
        </w:rPr>
        <w:t xml:space="preserve"> for advertising proposal</w:t>
      </w:r>
      <w:r w:rsidR="009D7DFB" w:rsidRPr="002F758A">
        <w:rPr>
          <w:rFonts w:ascii="Calibri" w:hAnsi="Calibri" w:cs="Calibri"/>
          <w:color w:val="404040"/>
          <w:sz w:val="22"/>
        </w:rPr>
        <w:t>s</w:t>
      </w:r>
      <w:r w:rsidRPr="002F758A">
        <w:rPr>
          <w:rFonts w:ascii="Calibri" w:hAnsi="Calibri" w:cs="Calibri"/>
          <w:color w:val="404040"/>
          <w:sz w:val="22"/>
        </w:rPr>
        <w:t>, which are</w:t>
      </w:r>
      <w:r w:rsidR="00012A97" w:rsidRPr="002F758A">
        <w:rPr>
          <w:rFonts w:ascii="Calibri" w:hAnsi="Calibri" w:cs="Calibri"/>
          <w:color w:val="404040"/>
          <w:sz w:val="22"/>
        </w:rPr>
        <w:t xml:space="preserve"> </w:t>
      </w:r>
      <w:r w:rsidRPr="002F758A">
        <w:rPr>
          <w:rFonts w:ascii="Calibri" w:hAnsi="Calibri" w:cs="Calibri"/>
          <w:color w:val="404040"/>
          <w:sz w:val="22"/>
        </w:rPr>
        <w:t>the interests of visual amenity and public safety.</w:t>
      </w:r>
      <w:r w:rsidR="004730E9" w:rsidRPr="002F758A">
        <w:rPr>
          <w:rFonts w:ascii="Calibri" w:hAnsi="Calibri" w:cs="Calibri"/>
          <w:color w:val="404040"/>
          <w:sz w:val="22"/>
        </w:rPr>
        <w:t xml:space="preserve"> In the case of Queen Victoria </w:t>
      </w:r>
      <w:r w:rsidR="00E9128D" w:rsidRPr="002F758A">
        <w:rPr>
          <w:rFonts w:ascii="Calibri" w:hAnsi="Calibri" w:cs="Calibri"/>
          <w:color w:val="404040"/>
          <w:sz w:val="22"/>
        </w:rPr>
        <w:t>Street,</w:t>
      </w:r>
      <w:r w:rsidR="004730E9" w:rsidRPr="002F758A">
        <w:rPr>
          <w:rFonts w:ascii="Calibri" w:hAnsi="Calibri" w:cs="Calibri"/>
          <w:color w:val="404040"/>
          <w:sz w:val="22"/>
        </w:rPr>
        <w:t xml:space="preserve"> the proposal is for two freestanding units positioned at </w:t>
      </w:r>
      <w:r w:rsidR="009D7DFB" w:rsidRPr="002F758A">
        <w:rPr>
          <w:rFonts w:ascii="Calibri" w:hAnsi="Calibri" w:cs="Calibri"/>
          <w:color w:val="404040"/>
          <w:sz w:val="22"/>
        </w:rPr>
        <w:t xml:space="preserve">northern and southern </w:t>
      </w:r>
      <w:r w:rsidR="004730E9" w:rsidRPr="002F758A">
        <w:rPr>
          <w:rFonts w:ascii="Calibri" w:hAnsi="Calibri" w:cs="Calibri"/>
          <w:color w:val="404040"/>
          <w:sz w:val="22"/>
        </w:rPr>
        <w:t xml:space="preserve">ends of the Street. The detail </w:t>
      </w:r>
      <w:r w:rsidR="003165F4" w:rsidRPr="002F758A">
        <w:rPr>
          <w:rFonts w:ascii="Calibri" w:hAnsi="Calibri" w:cs="Calibri"/>
          <w:color w:val="404040"/>
          <w:sz w:val="22"/>
        </w:rPr>
        <w:t xml:space="preserve">plans </w:t>
      </w:r>
      <w:r w:rsidR="004730E9" w:rsidRPr="002F758A">
        <w:rPr>
          <w:rFonts w:ascii="Calibri" w:hAnsi="Calibri" w:cs="Calibri"/>
          <w:color w:val="404040"/>
          <w:sz w:val="22"/>
        </w:rPr>
        <w:t xml:space="preserve">of the unit </w:t>
      </w:r>
      <w:r w:rsidR="000514AE">
        <w:rPr>
          <w:rFonts w:ascii="Calibri" w:hAnsi="Calibri" w:cs="Calibri"/>
          <w:color w:val="404040"/>
          <w:sz w:val="22"/>
        </w:rPr>
        <w:t>are</w:t>
      </w:r>
      <w:r w:rsidR="004730E9" w:rsidRPr="002F758A">
        <w:rPr>
          <w:rFonts w:ascii="Calibri" w:hAnsi="Calibri" w:cs="Calibri"/>
          <w:color w:val="404040"/>
          <w:sz w:val="22"/>
        </w:rPr>
        <w:t xml:space="preserve"> contained within the application documents submitted for the consideration of the Council under the following refe</w:t>
      </w:r>
      <w:r w:rsidR="000514AE">
        <w:rPr>
          <w:rFonts w:ascii="Calibri" w:hAnsi="Calibri" w:cs="Calibri"/>
          <w:color w:val="404040"/>
          <w:sz w:val="22"/>
        </w:rPr>
        <w:t>re</w:t>
      </w:r>
      <w:r w:rsidR="004730E9" w:rsidRPr="002F758A">
        <w:rPr>
          <w:rFonts w:ascii="Calibri" w:hAnsi="Calibri" w:cs="Calibri"/>
          <w:color w:val="404040"/>
          <w:sz w:val="22"/>
        </w:rPr>
        <w:t>nces:</w:t>
      </w:r>
    </w:p>
    <w:p w14:paraId="00D96FCF" w14:textId="77777777" w:rsidR="004730E9" w:rsidRPr="002F758A" w:rsidRDefault="004730E9" w:rsidP="004730E9">
      <w:pPr>
        <w:pStyle w:val="ListParagraph"/>
        <w:rPr>
          <w:rFonts w:ascii="Calibri" w:hAnsi="Calibri" w:cs="Calibri"/>
          <w:color w:val="404040"/>
          <w:sz w:val="22"/>
        </w:rPr>
      </w:pPr>
    </w:p>
    <w:p w14:paraId="30A31258" w14:textId="77777777" w:rsidR="00F617BA" w:rsidRPr="002F758A" w:rsidRDefault="004730E9" w:rsidP="00C51EFC">
      <w:pPr>
        <w:ind w:left="1134"/>
        <w:jc w:val="both"/>
        <w:rPr>
          <w:rFonts w:ascii="Calibri" w:hAnsi="Calibri" w:cs="Calibri"/>
          <w:i/>
          <w:color w:val="404040"/>
          <w:sz w:val="22"/>
          <w:szCs w:val="22"/>
        </w:rPr>
      </w:pPr>
      <w:r w:rsidRPr="002F758A">
        <w:rPr>
          <w:rFonts w:ascii="Calibri" w:hAnsi="Calibri" w:cs="Calibri"/>
          <w:i/>
          <w:color w:val="404040"/>
          <w:sz w:val="22"/>
          <w:szCs w:val="22"/>
        </w:rPr>
        <w:t>18/1966</w:t>
      </w:r>
      <w:r w:rsidRPr="002F758A">
        <w:rPr>
          <w:rFonts w:ascii="Calibri" w:hAnsi="Calibri" w:cs="Calibri"/>
          <w:i/>
          <w:color w:val="404040"/>
          <w:sz w:val="22"/>
          <w:szCs w:val="22"/>
        </w:rPr>
        <w:tab/>
      </w:r>
      <w:r w:rsidRPr="002F758A">
        <w:rPr>
          <w:rFonts w:ascii="Calibri" w:hAnsi="Calibri" w:cs="Calibri"/>
          <w:i/>
          <w:color w:val="404040"/>
          <w:sz w:val="22"/>
          <w:szCs w:val="22"/>
        </w:rPr>
        <w:tab/>
        <w:t xml:space="preserve">outside No 31 </w:t>
      </w:r>
      <w:r w:rsidRPr="002F758A">
        <w:rPr>
          <w:rFonts w:ascii="Calibri" w:hAnsi="Calibri" w:cs="Calibri"/>
          <w:i/>
          <w:color w:val="404040"/>
          <w:sz w:val="22"/>
          <w:szCs w:val="22"/>
        </w:rPr>
        <w:tab/>
        <w:t xml:space="preserve">Queen Victoria Street and </w:t>
      </w:r>
    </w:p>
    <w:p w14:paraId="7B039202" w14:textId="77777777" w:rsidR="004730E9" w:rsidRPr="002F758A" w:rsidRDefault="004730E9" w:rsidP="00C51EFC">
      <w:pPr>
        <w:ind w:left="1134"/>
        <w:jc w:val="both"/>
        <w:rPr>
          <w:rFonts w:ascii="Calibri" w:hAnsi="Calibri" w:cs="Calibri"/>
          <w:i/>
          <w:color w:val="404040"/>
          <w:sz w:val="22"/>
        </w:rPr>
      </w:pPr>
      <w:r w:rsidRPr="002F758A">
        <w:rPr>
          <w:rFonts w:ascii="Calibri" w:hAnsi="Calibri" w:cs="Calibri"/>
          <w:i/>
          <w:color w:val="404040"/>
          <w:sz w:val="22"/>
          <w:szCs w:val="22"/>
        </w:rPr>
        <w:t>18/1967</w:t>
      </w:r>
      <w:r w:rsidRPr="002F758A">
        <w:rPr>
          <w:rFonts w:ascii="Calibri" w:hAnsi="Calibri" w:cs="Calibri"/>
          <w:i/>
          <w:color w:val="404040"/>
          <w:sz w:val="22"/>
          <w:szCs w:val="22"/>
        </w:rPr>
        <w:tab/>
      </w:r>
      <w:r w:rsidRPr="002F758A">
        <w:rPr>
          <w:rFonts w:ascii="Calibri" w:hAnsi="Calibri" w:cs="Calibri"/>
          <w:i/>
          <w:color w:val="404040"/>
          <w:sz w:val="22"/>
          <w:szCs w:val="22"/>
        </w:rPr>
        <w:tab/>
        <w:t xml:space="preserve">outside No 2 </w:t>
      </w:r>
      <w:r w:rsidRPr="002F758A">
        <w:rPr>
          <w:rFonts w:ascii="Calibri" w:hAnsi="Calibri" w:cs="Calibri"/>
          <w:i/>
          <w:color w:val="404040"/>
          <w:sz w:val="22"/>
          <w:szCs w:val="22"/>
        </w:rPr>
        <w:tab/>
        <w:t>Queen Victoria Street</w:t>
      </w:r>
    </w:p>
    <w:p w14:paraId="53054C7A" w14:textId="77777777" w:rsidR="004D6A93" w:rsidRPr="002F758A" w:rsidRDefault="004D6A93" w:rsidP="00113F40">
      <w:pPr>
        <w:jc w:val="both"/>
        <w:rPr>
          <w:rFonts w:ascii="Calibri" w:hAnsi="Calibri" w:cs="Calibri"/>
          <w:i/>
          <w:color w:val="404040"/>
          <w:sz w:val="22"/>
        </w:rPr>
      </w:pPr>
    </w:p>
    <w:p w14:paraId="0D53BC37" w14:textId="77777777" w:rsidR="004D6A93" w:rsidRPr="002F758A" w:rsidRDefault="004D6A93" w:rsidP="00113F40">
      <w:pPr>
        <w:jc w:val="both"/>
        <w:rPr>
          <w:rFonts w:ascii="Calibri" w:hAnsi="Calibri" w:cs="Calibri"/>
          <w:color w:val="404040"/>
          <w:sz w:val="20"/>
        </w:rPr>
      </w:pPr>
    </w:p>
    <w:p w14:paraId="60683FED" w14:textId="77777777" w:rsidR="004D6A93" w:rsidRPr="002F758A" w:rsidRDefault="004D6A93" w:rsidP="00155357">
      <w:pPr>
        <w:spacing w:line="276" w:lineRule="auto"/>
        <w:jc w:val="both"/>
        <w:rPr>
          <w:rFonts w:ascii="Calibri" w:hAnsi="Calibri" w:cs="Calibri"/>
          <w:color w:val="404040"/>
        </w:rPr>
      </w:pPr>
      <w:r w:rsidRPr="002F758A">
        <w:rPr>
          <w:rFonts w:ascii="Calibri" w:hAnsi="Calibri" w:cs="Calibri"/>
          <w:color w:val="404040"/>
          <w:sz w:val="22"/>
        </w:rPr>
        <w:t>2.0</w:t>
      </w:r>
      <w:r w:rsidRPr="002F758A">
        <w:rPr>
          <w:rFonts w:ascii="Calibri" w:hAnsi="Calibri" w:cs="Calibri"/>
          <w:color w:val="404040"/>
          <w:sz w:val="22"/>
        </w:rPr>
        <w:tab/>
      </w:r>
      <w:r w:rsidRPr="002F758A">
        <w:rPr>
          <w:rFonts w:ascii="Calibri" w:hAnsi="Calibri" w:cs="Calibri"/>
          <w:color w:val="404040"/>
        </w:rPr>
        <w:t>Listing Detail</w:t>
      </w:r>
    </w:p>
    <w:p w14:paraId="1A695EE9" w14:textId="77777777" w:rsidR="00E341E6" w:rsidRPr="002F758A" w:rsidRDefault="004D6A93" w:rsidP="00155357">
      <w:pPr>
        <w:spacing w:line="276" w:lineRule="auto"/>
        <w:ind w:left="720" w:hanging="720"/>
        <w:jc w:val="both"/>
        <w:rPr>
          <w:rFonts w:ascii="Calibri" w:hAnsi="Calibri" w:cs="Calibri"/>
          <w:color w:val="404040"/>
          <w:kern w:val="36"/>
          <w:sz w:val="22"/>
          <w:szCs w:val="22"/>
          <w:lang w:eastAsia="en-GB"/>
        </w:rPr>
      </w:pPr>
      <w:r w:rsidRPr="002F758A">
        <w:rPr>
          <w:rFonts w:ascii="Calibri" w:hAnsi="Calibri" w:cs="Calibri"/>
          <w:color w:val="404040"/>
          <w:sz w:val="22"/>
        </w:rPr>
        <w:t>2.1</w:t>
      </w:r>
      <w:r w:rsidRPr="002F758A">
        <w:rPr>
          <w:rFonts w:ascii="Calibri" w:hAnsi="Calibri" w:cs="Calibri"/>
          <w:color w:val="404040"/>
          <w:sz w:val="22"/>
        </w:rPr>
        <w:tab/>
      </w:r>
      <w:r w:rsidR="004730E9" w:rsidRPr="002F758A">
        <w:rPr>
          <w:rFonts w:ascii="Calibri" w:hAnsi="Calibri" w:cs="Calibri"/>
          <w:color w:val="404040"/>
          <w:sz w:val="22"/>
        </w:rPr>
        <w:t>Nos 1-31</w:t>
      </w:r>
      <w:r w:rsidR="00CB29A7" w:rsidRPr="002F758A">
        <w:rPr>
          <w:rFonts w:ascii="Calibri" w:hAnsi="Calibri" w:cs="Calibri"/>
          <w:color w:val="404040"/>
          <w:sz w:val="22"/>
        </w:rPr>
        <w:t xml:space="preserve">, 2-32 </w:t>
      </w:r>
      <w:r w:rsidR="004730E9" w:rsidRPr="002F758A">
        <w:rPr>
          <w:rFonts w:ascii="Calibri" w:hAnsi="Calibri" w:cs="Calibri"/>
          <w:color w:val="404040"/>
          <w:sz w:val="22"/>
        </w:rPr>
        <w:t>Queen Victoria Street together with</w:t>
      </w:r>
      <w:r w:rsidR="001419C7" w:rsidRPr="002F758A">
        <w:rPr>
          <w:rFonts w:ascii="Calibri" w:hAnsi="Calibri" w:cs="Calibri"/>
          <w:color w:val="404040"/>
          <w:sz w:val="22"/>
        </w:rPr>
        <w:t xml:space="preserve"> </w:t>
      </w:r>
      <w:r w:rsidR="00CB29A7" w:rsidRPr="002F758A">
        <w:rPr>
          <w:rFonts w:ascii="Calibri" w:hAnsi="Calibri" w:cs="Calibri"/>
          <w:color w:val="404040"/>
          <w:sz w:val="22"/>
        </w:rPr>
        <w:t xml:space="preserve">Nos 24-28 and </w:t>
      </w:r>
      <w:r w:rsidR="001419C7" w:rsidRPr="002F758A">
        <w:rPr>
          <w:rFonts w:ascii="Calibri" w:hAnsi="Calibri" w:cs="Calibri"/>
          <w:color w:val="404040"/>
          <w:kern w:val="36"/>
          <w:sz w:val="22"/>
          <w:szCs w:val="22"/>
          <w:lang w:eastAsia="en-GB"/>
        </w:rPr>
        <w:t>35-38 Broad Street</w:t>
      </w:r>
      <w:r w:rsidR="00CB29A7" w:rsidRPr="002F758A">
        <w:rPr>
          <w:rFonts w:ascii="Calibri" w:hAnsi="Calibri" w:cs="Calibri"/>
          <w:color w:val="404040"/>
          <w:kern w:val="36"/>
          <w:sz w:val="22"/>
          <w:szCs w:val="22"/>
          <w:lang w:eastAsia="en-GB"/>
        </w:rPr>
        <w:t xml:space="preserve"> and Nos 148</w:t>
      </w:r>
      <w:r w:rsidR="001419C7" w:rsidRPr="002F758A">
        <w:rPr>
          <w:rFonts w:ascii="Calibri" w:hAnsi="Calibri" w:cs="Calibri"/>
          <w:color w:val="404040"/>
          <w:kern w:val="36"/>
          <w:sz w:val="22"/>
          <w:szCs w:val="22"/>
          <w:lang w:eastAsia="en-GB"/>
        </w:rPr>
        <w:t xml:space="preserve">,149 </w:t>
      </w:r>
      <w:r w:rsidR="00CB29A7" w:rsidRPr="002F758A">
        <w:rPr>
          <w:rFonts w:ascii="Calibri" w:hAnsi="Calibri" w:cs="Calibri"/>
          <w:color w:val="404040"/>
          <w:kern w:val="36"/>
          <w:sz w:val="22"/>
          <w:szCs w:val="22"/>
          <w:lang w:eastAsia="en-GB"/>
        </w:rPr>
        <w:t>&amp; 1</w:t>
      </w:r>
      <w:r w:rsidR="001419C7" w:rsidRPr="002F758A">
        <w:rPr>
          <w:rFonts w:ascii="Calibri" w:hAnsi="Calibri" w:cs="Calibri"/>
          <w:color w:val="404040"/>
          <w:kern w:val="36"/>
          <w:sz w:val="22"/>
          <w:szCs w:val="22"/>
          <w:lang w:eastAsia="en-GB"/>
        </w:rPr>
        <w:t>50, F</w:t>
      </w:r>
      <w:r w:rsidR="00CB29A7" w:rsidRPr="002F758A">
        <w:rPr>
          <w:rFonts w:ascii="Calibri" w:hAnsi="Calibri" w:cs="Calibri"/>
          <w:color w:val="404040"/>
          <w:kern w:val="36"/>
          <w:sz w:val="22"/>
          <w:szCs w:val="22"/>
          <w:lang w:eastAsia="en-GB"/>
        </w:rPr>
        <w:t xml:space="preserve">riar Street form part of a group listing within the retail centre of Reading. The </w:t>
      </w:r>
      <w:r w:rsidR="00E341E6" w:rsidRPr="002F758A">
        <w:rPr>
          <w:rFonts w:ascii="Calibri" w:hAnsi="Calibri" w:cs="Calibri"/>
          <w:color w:val="404040"/>
          <w:kern w:val="36"/>
          <w:sz w:val="22"/>
          <w:szCs w:val="22"/>
          <w:lang w:eastAsia="en-GB"/>
        </w:rPr>
        <w:t>official Listing entry, as amended, reads as follows;</w:t>
      </w:r>
    </w:p>
    <w:p w14:paraId="576AD521" w14:textId="77777777" w:rsidR="004D6A93" w:rsidRPr="002F758A" w:rsidRDefault="004D6A93" w:rsidP="004D6A93">
      <w:pPr>
        <w:jc w:val="both"/>
        <w:rPr>
          <w:rFonts w:ascii="Calibri" w:hAnsi="Calibri" w:cs="Calibri"/>
          <w:color w:val="404040"/>
          <w:sz w:val="22"/>
        </w:rPr>
      </w:pPr>
    </w:p>
    <w:p w14:paraId="387F2D94" w14:textId="77777777" w:rsidR="000D48CF" w:rsidRPr="002F758A" w:rsidRDefault="000D48CF" w:rsidP="000D48CF">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Date of First Listing 14</w:t>
      </w:r>
      <w:r w:rsidRPr="002F758A">
        <w:rPr>
          <w:rFonts w:ascii="Calibri" w:hAnsi="Calibri" w:cs="Calibri"/>
          <w:i/>
          <w:color w:val="404040"/>
          <w:sz w:val="22"/>
          <w:szCs w:val="22"/>
          <w:vertAlign w:val="superscript"/>
          <w:lang w:eastAsia="en-GB"/>
        </w:rPr>
        <w:t>th</w:t>
      </w:r>
      <w:r w:rsidRPr="002F758A">
        <w:rPr>
          <w:rFonts w:ascii="Calibri" w:hAnsi="Calibri" w:cs="Calibri"/>
          <w:i/>
          <w:color w:val="404040"/>
          <w:sz w:val="22"/>
          <w:szCs w:val="22"/>
          <w:lang w:eastAsia="en-GB"/>
        </w:rPr>
        <w:t xml:space="preserve"> December 1978</w:t>
      </w:r>
    </w:p>
    <w:p w14:paraId="02045166" w14:textId="77777777" w:rsidR="000D48CF" w:rsidRPr="002F758A" w:rsidRDefault="00E341E6" w:rsidP="000D48CF">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Details</w:t>
      </w:r>
      <w:r w:rsidR="000D48CF" w:rsidRPr="002F758A">
        <w:rPr>
          <w:rFonts w:ascii="Calibri" w:hAnsi="Calibri" w:cs="Calibri"/>
          <w:i/>
          <w:color w:val="404040"/>
          <w:sz w:val="22"/>
          <w:szCs w:val="22"/>
          <w:lang w:eastAsia="en-GB"/>
        </w:rPr>
        <w:t xml:space="preserve"> </w:t>
      </w:r>
      <w:r w:rsidRPr="002F758A">
        <w:rPr>
          <w:rFonts w:ascii="Calibri" w:hAnsi="Calibri" w:cs="Calibri"/>
          <w:i/>
          <w:color w:val="404040"/>
          <w:sz w:val="22"/>
          <w:szCs w:val="22"/>
          <w:lang w:eastAsia="en-GB"/>
        </w:rPr>
        <w:t>In the entry for</w:t>
      </w:r>
    </w:p>
    <w:p w14:paraId="7AB3663B" w14:textId="77777777" w:rsidR="00E341E6" w:rsidRPr="002F758A" w:rsidRDefault="00E341E6" w:rsidP="00155357">
      <w:pPr>
        <w:spacing w:before="240"/>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BROAD STREET (north side)</w:t>
      </w:r>
      <w:r w:rsidRPr="002F758A">
        <w:rPr>
          <w:rFonts w:ascii="Calibri" w:hAnsi="Calibri" w:cs="Calibri"/>
          <w:i/>
          <w:color w:val="404040"/>
          <w:sz w:val="22"/>
          <w:szCs w:val="22"/>
          <w:lang w:eastAsia="en-GB"/>
        </w:rPr>
        <w:tab/>
        <w:t>Nos 24,26 and 28 and Nos 35, 36 and 37</w:t>
      </w:r>
    </w:p>
    <w:p w14:paraId="4F65DDC5" w14:textId="77777777" w:rsidR="00E341E6" w:rsidRPr="002F758A" w:rsidRDefault="00E341E6" w:rsidP="00155357">
      <w:pPr>
        <w:spacing w:before="240"/>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t xml:space="preserve">FRIAR STREET (South Side) </w:t>
      </w:r>
      <w:r w:rsidRPr="002F758A">
        <w:rPr>
          <w:rFonts w:ascii="Calibri" w:hAnsi="Calibri" w:cs="Calibri"/>
          <w:i/>
          <w:color w:val="404040"/>
          <w:sz w:val="22"/>
          <w:szCs w:val="22"/>
          <w:lang w:eastAsia="en-GB"/>
        </w:rPr>
        <w:tab/>
        <w:t xml:space="preserve">Nos 148, 149 and 150 </w:t>
      </w:r>
    </w:p>
    <w:p w14:paraId="11F9B48C" w14:textId="77777777" w:rsidR="00E341E6" w:rsidRPr="002F758A" w:rsidRDefault="00E341E6" w:rsidP="00155357">
      <w:pPr>
        <w:spacing w:before="240"/>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t>BROAD STREET (North Side)</w:t>
      </w:r>
      <w:r w:rsidRPr="002F758A">
        <w:rPr>
          <w:rFonts w:ascii="Calibri" w:hAnsi="Calibri" w:cs="Calibri"/>
          <w:i/>
          <w:color w:val="404040"/>
          <w:sz w:val="22"/>
          <w:szCs w:val="22"/>
          <w:lang w:eastAsia="en-GB"/>
        </w:rPr>
        <w:tab/>
        <w:t>Nos 24 to 28 (consec) and Nos 35 to 38 (consec)</w:t>
      </w:r>
    </w:p>
    <w:p w14:paraId="33901A81" w14:textId="77777777" w:rsidR="00E341E6" w:rsidRPr="002F758A" w:rsidRDefault="00E341E6" w:rsidP="00155357">
      <w:pPr>
        <w:spacing w:before="240"/>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t>QUEEN VICTORIA STREET</w:t>
      </w:r>
      <w:r w:rsidRPr="002F758A">
        <w:rPr>
          <w:rFonts w:ascii="Calibri" w:hAnsi="Calibri" w:cs="Calibri"/>
          <w:i/>
          <w:color w:val="404040"/>
          <w:sz w:val="22"/>
          <w:szCs w:val="22"/>
          <w:lang w:eastAsia="en-GB"/>
        </w:rPr>
        <w:tab/>
        <w:t>Nos 1 to 31 (odd) Nos 2 to 32 (even)</w:t>
      </w:r>
    </w:p>
    <w:p w14:paraId="3A5590D1" w14:textId="2ACB2250" w:rsidR="00E341E6" w:rsidRPr="002F758A" w:rsidRDefault="00E341E6" w:rsidP="00E341E6">
      <w:pPr>
        <w:spacing w:before="100" w:beforeAutospacing="1" w:after="100" w:afterAutospacing="1"/>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lastRenderedPageBreak/>
        <w:t>------------------------------------</w:t>
      </w:r>
      <w:r w:rsidRPr="002F758A">
        <w:rPr>
          <w:rFonts w:ascii="Calibri" w:hAnsi="Calibri" w:cs="Calibri"/>
          <w:i/>
          <w:color w:val="404040"/>
          <w:sz w:val="22"/>
          <w:szCs w:val="22"/>
          <w:lang w:eastAsia="en-GB"/>
        </w:rPr>
        <w:br/>
        <w:t>A circa 1894 commercial street with returns to Broad and Friar Streets. Probably by Joseph Morris. Dutch gabled free Baroque style. 3 1/2 storeys, yellow brick and terracotta with dividing Ionic pilasters. Dentil cornice. Pilasters to dormers, broken pediments above. An elongated pattern of shallow bays to 1st and 2nd floors 4:2:1:1:1:1:3. Mullion and transom window to bays, sashes with architraves (and pediments on 1st floor) to rest. Modern shopfronts, retaining cornice to fascia and scroll brackets to pilasters, only one shop retains pre</w:t>
      </w:r>
      <w:r w:rsidR="000514AE">
        <w:rPr>
          <w:rFonts w:ascii="Calibri" w:hAnsi="Calibri" w:cs="Calibri"/>
          <w:i/>
          <w:color w:val="404040"/>
          <w:sz w:val="22"/>
          <w:szCs w:val="22"/>
          <w:lang w:eastAsia="en-GB"/>
        </w:rPr>
        <w:t>-</w:t>
      </w:r>
      <w:r w:rsidRPr="002F758A">
        <w:rPr>
          <w:rFonts w:ascii="Calibri" w:hAnsi="Calibri" w:cs="Calibri"/>
          <w:i/>
          <w:color w:val="404040"/>
          <w:sz w:val="22"/>
          <w:szCs w:val="22"/>
          <w:lang w:eastAsia="en-GB"/>
        </w:rPr>
        <w:t>war shopfront. Large returns to Broad Street. The return to east (No 28 Broad Street) supported by No 26 (dated 1894, grey brick with red terracotta dressings) and by No 24 (an early C20 Bank with -large shaped pediment doorway on corner to Cross Street; red brick with stone dressings and stone fret patterns to gables).</w:t>
      </w:r>
    </w:p>
    <w:p w14:paraId="7FA1867A" w14:textId="77777777" w:rsidR="00E341E6" w:rsidRPr="002F758A" w:rsidRDefault="00E341E6" w:rsidP="00E341E6">
      <w:pPr>
        <w:spacing w:before="100" w:beforeAutospacing="1" w:after="100" w:afterAutospacing="1"/>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t>Listing NGR: SU7152673571</w:t>
      </w:r>
    </w:p>
    <w:p w14:paraId="72B0ED61" w14:textId="77777777" w:rsidR="00E341E6" w:rsidRPr="002F758A" w:rsidRDefault="00E341E6" w:rsidP="00E341E6">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Legacy</w:t>
      </w:r>
    </w:p>
    <w:p w14:paraId="088F9435" w14:textId="77777777" w:rsidR="00E341E6" w:rsidRPr="002F758A" w:rsidRDefault="00E341E6" w:rsidP="00E341E6">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The contents of this record have been generated from a legacy data system.</w:t>
      </w:r>
    </w:p>
    <w:p w14:paraId="07357360" w14:textId="77777777" w:rsidR="00E341E6" w:rsidRPr="002F758A" w:rsidRDefault="00E341E6" w:rsidP="00E341E6">
      <w:pPr>
        <w:spacing w:before="100" w:beforeAutospacing="1" w:after="100" w:afterAutospacing="1"/>
        <w:ind w:left="1134"/>
        <w:jc w:val="both"/>
        <w:rPr>
          <w:rFonts w:ascii="Calibri" w:hAnsi="Calibri" w:cs="Calibri"/>
          <w:i/>
          <w:color w:val="404040"/>
          <w:sz w:val="22"/>
          <w:szCs w:val="22"/>
          <w:lang w:eastAsia="en-GB"/>
        </w:rPr>
      </w:pPr>
      <w:r w:rsidRPr="002F758A">
        <w:rPr>
          <w:rFonts w:ascii="Calibri" w:hAnsi="Calibri" w:cs="Calibri"/>
          <w:i/>
          <w:color w:val="404040"/>
          <w:sz w:val="22"/>
          <w:szCs w:val="22"/>
          <w:lang w:eastAsia="en-GB"/>
        </w:rPr>
        <w:t>Legacy System number: 39134</w:t>
      </w:r>
    </w:p>
    <w:p w14:paraId="2897CD3E" w14:textId="77777777" w:rsidR="00E341E6" w:rsidRPr="002F758A" w:rsidRDefault="00E341E6" w:rsidP="00E341E6">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Legal</w:t>
      </w:r>
    </w:p>
    <w:p w14:paraId="62A9932C" w14:textId="77777777" w:rsidR="00155357" w:rsidRPr="002F758A" w:rsidRDefault="00E341E6" w:rsidP="00155357">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This building is listed under the Planning (Listed Buildings and Conservation Areas) Act 1990 as amended for its special architectural or historic interest</w:t>
      </w:r>
    </w:p>
    <w:p w14:paraId="1E7FDC0C" w14:textId="77777777" w:rsidR="00E341E6" w:rsidRPr="002F758A" w:rsidRDefault="00E341E6" w:rsidP="00155357">
      <w:pPr>
        <w:ind w:left="1134"/>
        <w:jc w:val="both"/>
        <w:outlineLvl w:val="1"/>
        <w:rPr>
          <w:rFonts w:ascii="Calibri" w:hAnsi="Calibri" w:cs="Calibri"/>
          <w:i/>
          <w:color w:val="404040"/>
          <w:sz w:val="22"/>
          <w:szCs w:val="22"/>
          <w:lang w:eastAsia="en-GB"/>
        </w:rPr>
      </w:pPr>
      <w:r w:rsidRPr="002F758A">
        <w:rPr>
          <w:rFonts w:ascii="Calibri" w:hAnsi="Calibri" w:cs="Calibri"/>
          <w:i/>
          <w:color w:val="404040"/>
          <w:sz w:val="22"/>
          <w:szCs w:val="22"/>
          <w:lang w:eastAsia="en-GB"/>
        </w:rPr>
        <w:t>End of official listing</w:t>
      </w:r>
    </w:p>
    <w:p w14:paraId="2A2982C4" w14:textId="77777777" w:rsidR="00155357" w:rsidRPr="002F758A" w:rsidRDefault="00155357" w:rsidP="00155357">
      <w:pPr>
        <w:ind w:left="1134"/>
        <w:jc w:val="both"/>
        <w:outlineLvl w:val="1"/>
        <w:rPr>
          <w:rFonts w:ascii="Calibri" w:hAnsi="Calibri" w:cs="Calibri"/>
          <w:i/>
          <w:color w:val="404040"/>
          <w:sz w:val="22"/>
          <w:szCs w:val="22"/>
          <w:lang w:eastAsia="en-GB"/>
        </w:rPr>
      </w:pPr>
    </w:p>
    <w:p w14:paraId="158A5AD8" w14:textId="77777777" w:rsidR="00065F1B" w:rsidRPr="002F758A" w:rsidRDefault="00065F1B" w:rsidP="00155357">
      <w:pPr>
        <w:spacing w:line="276" w:lineRule="auto"/>
        <w:jc w:val="both"/>
        <w:rPr>
          <w:rFonts w:ascii="Calibri" w:hAnsi="Calibri" w:cs="Calibri"/>
          <w:color w:val="404040"/>
        </w:rPr>
      </w:pPr>
      <w:r w:rsidRPr="002F758A">
        <w:rPr>
          <w:rFonts w:ascii="Calibri" w:hAnsi="Calibri" w:cs="Calibri"/>
          <w:color w:val="404040"/>
        </w:rPr>
        <w:t>3.0</w:t>
      </w:r>
      <w:r w:rsidRPr="002F758A">
        <w:rPr>
          <w:rFonts w:ascii="Calibri" w:hAnsi="Calibri" w:cs="Calibri"/>
          <w:color w:val="404040"/>
        </w:rPr>
        <w:tab/>
      </w:r>
      <w:r w:rsidR="004D6A93" w:rsidRPr="002F758A">
        <w:rPr>
          <w:rFonts w:ascii="Calibri" w:hAnsi="Calibri" w:cs="Calibri"/>
          <w:color w:val="404040"/>
        </w:rPr>
        <w:t>Proposed Development</w:t>
      </w:r>
    </w:p>
    <w:p w14:paraId="77CBC870" w14:textId="354866CB" w:rsidR="00065F1B" w:rsidRPr="002F758A" w:rsidRDefault="000514AE" w:rsidP="00155357">
      <w:pPr>
        <w:spacing w:line="276" w:lineRule="auto"/>
        <w:ind w:left="709" w:hanging="709"/>
        <w:jc w:val="both"/>
        <w:rPr>
          <w:rFonts w:ascii="Calibri" w:hAnsi="Calibri" w:cs="Calibri"/>
          <w:color w:val="404040"/>
        </w:rPr>
      </w:pPr>
      <w:r>
        <w:rPr>
          <w:noProof/>
          <w:color w:val="404040"/>
          <w:lang w:eastAsia="en-GB"/>
        </w:rPr>
        <w:drawing>
          <wp:anchor distT="0" distB="0" distL="114300" distR="114300" simplePos="0" relativeHeight="251658240" behindDoc="0" locked="0" layoutInCell="1" allowOverlap="1" wp14:anchorId="44835687" wp14:editId="565FD3AD">
            <wp:simplePos x="0" y="0"/>
            <wp:positionH relativeFrom="column">
              <wp:posOffset>445770</wp:posOffset>
            </wp:positionH>
            <wp:positionV relativeFrom="paragraph">
              <wp:posOffset>804545</wp:posOffset>
            </wp:positionV>
            <wp:extent cx="5024755" cy="2617470"/>
            <wp:effectExtent l="0" t="0" r="0" b="0"/>
            <wp:wrapTopAndBottom/>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4755" cy="2617470"/>
                    </a:xfrm>
                    <a:prstGeom prst="rect">
                      <a:avLst/>
                    </a:prstGeom>
                    <a:noFill/>
                  </pic:spPr>
                </pic:pic>
              </a:graphicData>
            </a:graphic>
            <wp14:sizeRelH relativeFrom="page">
              <wp14:pctWidth>0</wp14:pctWidth>
            </wp14:sizeRelH>
            <wp14:sizeRelV relativeFrom="page">
              <wp14:pctHeight>0</wp14:pctHeight>
            </wp14:sizeRelV>
          </wp:anchor>
        </w:drawing>
      </w:r>
      <w:r w:rsidR="00065F1B" w:rsidRPr="002F758A">
        <w:rPr>
          <w:rFonts w:ascii="Calibri" w:hAnsi="Calibri" w:cs="Calibri"/>
          <w:color w:val="404040"/>
          <w:sz w:val="22"/>
        </w:rPr>
        <w:t>3.1</w:t>
      </w:r>
      <w:r w:rsidR="00065F1B" w:rsidRPr="002F758A">
        <w:rPr>
          <w:rFonts w:ascii="Calibri" w:hAnsi="Calibri" w:cs="Calibri"/>
          <w:color w:val="404040"/>
          <w:sz w:val="22"/>
        </w:rPr>
        <w:tab/>
      </w:r>
      <w:r w:rsidR="00A8654B" w:rsidRPr="002F758A">
        <w:rPr>
          <w:rFonts w:ascii="Calibri" w:hAnsi="Calibri" w:cs="Calibri"/>
          <w:color w:val="404040"/>
          <w:sz w:val="22"/>
        </w:rPr>
        <w:t>The application site</w:t>
      </w:r>
      <w:r w:rsidR="004D6A93" w:rsidRPr="002F758A">
        <w:rPr>
          <w:rFonts w:ascii="Calibri" w:hAnsi="Calibri" w:cs="Calibri"/>
          <w:color w:val="404040"/>
          <w:sz w:val="22"/>
        </w:rPr>
        <w:t xml:space="preserve">s, </w:t>
      </w:r>
      <w:r w:rsidR="003165F4" w:rsidRPr="002F758A">
        <w:rPr>
          <w:rFonts w:ascii="Calibri" w:hAnsi="Calibri" w:cs="Calibri"/>
          <w:color w:val="404040"/>
          <w:sz w:val="22"/>
        </w:rPr>
        <w:t xml:space="preserve">bookend Queen Victoria Street, </w:t>
      </w:r>
      <w:r w:rsidR="005E7A89" w:rsidRPr="002F758A">
        <w:rPr>
          <w:rFonts w:ascii="Calibri" w:hAnsi="Calibri" w:cs="Calibri"/>
          <w:color w:val="404040"/>
          <w:sz w:val="22"/>
        </w:rPr>
        <w:t>a main north/south</w:t>
      </w:r>
      <w:r w:rsidR="003165F4" w:rsidRPr="002F758A">
        <w:rPr>
          <w:rFonts w:ascii="Calibri" w:hAnsi="Calibri" w:cs="Calibri"/>
          <w:color w:val="404040"/>
          <w:sz w:val="22"/>
        </w:rPr>
        <w:t xml:space="preserve"> thoroughfar</w:t>
      </w:r>
      <w:r w:rsidR="00F55CC6" w:rsidRPr="002F758A">
        <w:rPr>
          <w:rFonts w:ascii="Calibri" w:hAnsi="Calibri" w:cs="Calibri"/>
          <w:color w:val="404040"/>
          <w:sz w:val="22"/>
        </w:rPr>
        <w:t>e connecting Friar and Broad Street, shown</w:t>
      </w:r>
      <w:r w:rsidR="003165F4" w:rsidRPr="002F758A">
        <w:rPr>
          <w:rFonts w:ascii="Calibri" w:hAnsi="Calibri" w:cs="Calibri"/>
          <w:color w:val="404040"/>
          <w:sz w:val="22"/>
        </w:rPr>
        <w:t xml:space="preserve"> in the b</w:t>
      </w:r>
      <w:bookmarkStart w:id="0" w:name="_GoBack"/>
      <w:bookmarkEnd w:id="0"/>
      <w:r w:rsidR="003165F4" w:rsidRPr="002F758A">
        <w:rPr>
          <w:rFonts w:ascii="Calibri" w:hAnsi="Calibri" w:cs="Calibri"/>
          <w:color w:val="404040"/>
          <w:sz w:val="22"/>
        </w:rPr>
        <w:t xml:space="preserve">elow extract from the </w:t>
      </w:r>
      <w:r w:rsidR="005E7A89" w:rsidRPr="002F758A">
        <w:rPr>
          <w:rFonts w:ascii="Calibri" w:hAnsi="Calibri" w:cs="Calibri"/>
          <w:color w:val="404040"/>
          <w:sz w:val="22"/>
        </w:rPr>
        <w:t xml:space="preserve">Council </w:t>
      </w:r>
      <w:r w:rsidR="003165F4" w:rsidRPr="002F758A">
        <w:rPr>
          <w:rFonts w:ascii="Calibri" w:hAnsi="Calibri" w:cs="Calibri"/>
          <w:color w:val="404040"/>
          <w:sz w:val="22"/>
        </w:rPr>
        <w:t xml:space="preserve">Proposals Map. The green outline denotes </w:t>
      </w:r>
      <w:r w:rsidR="00F55CC6" w:rsidRPr="002F758A">
        <w:rPr>
          <w:rFonts w:ascii="Calibri" w:hAnsi="Calibri" w:cs="Calibri"/>
          <w:color w:val="404040"/>
          <w:sz w:val="22"/>
        </w:rPr>
        <w:t xml:space="preserve">active frontages and the red outline indicates </w:t>
      </w:r>
      <w:r w:rsidR="005E7A89" w:rsidRPr="002F758A">
        <w:rPr>
          <w:rFonts w:ascii="Calibri" w:hAnsi="Calibri" w:cs="Calibri"/>
          <w:color w:val="404040"/>
          <w:sz w:val="22"/>
        </w:rPr>
        <w:t>the boundary of a</w:t>
      </w:r>
      <w:r w:rsidR="00F55CC6" w:rsidRPr="002F758A">
        <w:rPr>
          <w:rFonts w:ascii="Calibri" w:hAnsi="Calibri" w:cs="Calibri"/>
          <w:color w:val="404040"/>
          <w:sz w:val="22"/>
        </w:rPr>
        <w:t xml:space="preserve"> conservation area</w:t>
      </w:r>
      <w:r w:rsidR="005E7A89" w:rsidRPr="002F758A">
        <w:rPr>
          <w:rFonts w:ascii="Calibri" w:hAnsi="Calibri" w:cs="Calibri"/>
          <w:color w:val="404040"/>
          <w:sz w:val="22"/>
        </w:rPr>
        <w:t>.</w:t>
      </w:r>
    </w:p>
    <w:p w14:paraId="5FD564D3" w14:textId="77777777" w:rsidR="00065F1B" w:rsidRPr="002F758A" w:rsidRDefault="00065F1B" w:rsidP="00155357">
      <w:pPr>
        <w:spacing w:line="276" w:lineRule="auto"/>
        <w:ind w:left="709" w:hanging="709"/>
        <w:jc w:val="both"/>
        <w:rPr>
          <w:rFonts w:ascii="Calibri" w:hAnsi="Calibri" w:cs="Calibri"/>
          <w:color w:val="404040"/>
          <w:sz w:val="22"/>
        </w:rPr>
      </w:pPr>
    </w:p>
    <w:p w14:paraId="1889E179" w14:textId="77777777" w:rsidR="00065F1B" w:rsidRPr="002F758A" w:rsidRDefault="00065F1B" w:rsidP="00155357">
      <w:pPr>
        <w:spacing w:line="276" w:lineRule="auto"/>
        <w:ind w:left="709" w:hanging="709"/>
        <w:jc w:val="both"/>
        <w:rPr>
          <w:rFonts w:ascii="Calibri" w:hAnsi="Calibri" w:cs="Calibri"/>
          <w:color w:val="404040"/>
          <w:sz w:val="22"/>
        </w:rPr>
      </w:pPr>
      <w:r w:rsidRPr="002F758A">
        <w:rPr>
          <w:rFonts w:ascii="Calibri" w:hAnsi="Calibri" w:cs="Calibri"/>
          <w:color w:val="404040"/>
          <w:sz w:val="22"/>
        </w:rPr>
        <w:t>3.2</w:t>
      </w:r>
      <w:r w:rsidRPr="002F758A">
        <w:rPr>
          <w:rFonts w:ascii="Calibri" w:hAnsi="Calibri" w:cs="Calibri"/>
          <w:color w:val="404040"/>
          <w:sz w:val="22"/>
        </w:rPr>
        <w:tab/>
      </w:r>
      <w:r w:rsidR="00570637" w:rsidRPr="002F758A">
        <w:rPr>
          <w:rFonts w:ascii="Calibri" w:hAnsi="Calibri" w:cs="Calibri"/>
          <w:color w:val="404040"/>
          <w:sz w:val="22"/>
        </w:rPr>
        <w:t>The proposal</w:t>
      </w:r>
      <w:r w:rsidR="00F55CC6" w:rsidRPr="002F758A">
        <w:rPr>
          <w:rFonts w:ascii="Calibri" w:hAnsi="Calibri" w:cs="Calibri"/>
          <w:color w:val="404040"/>
          <w:sz w:val="22"/>
        </w:rPr>
        <w:t xml:space="preserve">s for Reading Town Centre include the replacement and upgrade of five existing bus shelter sites and the installation of 10 Council Information Panels (CIPs). The </w:t>
      </w:r>
      <w:r w:rsidR="00570637" w:rsidRPr="002F758A">
        <w:rPr>
          <w:rFonts w:ascii="Calibri" w:hAnsi="Calibri" w:cs="Calibri"/>
          <w:color w:val="404040"/>
          <w:sz w:val="22"/>
        </w:rPr>
        <w:t xml:space="preserve">replacement of </w:t>
      </w:r>
      <w:r w:rsidR="00F55CC6" w:rsidRPr="002F758A">
        <w:rPr>
          <w:rFonts w:ascii="Calibri" w:hAnsi="Calibri" w:cs="Calibri"/>
          <w:color w:val="404040"/>
          <w:sz w:val="22"/>
        </w:rPr>
        <w:t xml:space="preserve">the </w:t>
      </w:r>
      <w:r w:rsidR="00570637" w:rsidRPr="002F758A">
        <w:rPr>
          <w:rFonts w:ascii="Calibri" w:hAnsi="Calibri" w:cs="Calibri"/>
          <w:color w:val="404040"/>
          <w:sz w:val="22"/>
        </w:rPr>
        <w:t xml:space="preserve">existing </w:t>
      </w:r>
      <w:r w:rsidR="00F55CC6" w:rsidRPr="002F758A">
        <w:rPr>
          <w:rFonts w:ascii="Calibri" w:hAnsi="Calibri" w:cs="Calibri"/>
          <w:color w:val="404040"/>
          <w:sz w:val="22"/>
        </w:rPr>
        <w:t xml:space="preserve">and </w:t>
      </w:r>
      <w:r w:rsidR="005E7A89" w:rsidRPr="002F758A">
        <w:rPr>
          <w:rFonts w:ascii="Calibri" w:hAnsi="Calibri" w:cs="Calibri"/>
          <w:color w:val="404040"/>
          <w:sz w:val="22"/>
        </w:rPr>
        <w:t xml:space="preserve">installation of the </w:t>
      </w:r>
      <w:r w:rsidR="00F55CC6" w:rsidRPr="002F758A">
        <w:rPr>
          <w:rFonts w:ascii="Calibri" w:hAnsi="Calibri" w:cs="Calibri"/>
          <w:color w:val="404040"/>
          <w:sz w:val="22"/>
        </w:rPr>
        <w:t xml:space="preserve">new freestanding displays </w:t>
      </w:r>
      <w:r w:rsidR="005E7A89" w:rsidRPr="002F758A">
        <w:rPr>
          <w:rFonts w:ascii="Calibri" w:hAnsi="Calibri" w:cs="Calibri"/>
          <w:color w:val="404040"/>
          <w:sz w:val="22"/>
        </w:rPr>
        <w:t xml:space="preserve">will be </w:t>
      </w:r>
      <w:r w:rsidR="00B42E20" w:rsidRPr="002F758A">
        <w:rPr>
          <w:rFonts w:ascii="Calibri" w:hAnsi="Calibri" w:cs="Calibri"/>
          <w:color w:val="404040"/>
          <w:sz w:val="22"/>
        </w:rPr>
        <w:lastRenderedPageBreak/>
        <w:t xml:space="preserve">undertaken in one process using the </w:t>
      </w:r>
      <w:r w:rsidR="00F55CC6" w:rsidRPr="002F758A">
        <w:rPr>
          <w:rFonts w:ascii="Calibri" w:hAnsi="Calibri" w:cs="Calibri"/>
          <w:color w:val="404040"/>
          <w:sz w:val="22"/>
        </w:rPr>
        <w:t xml:space="preserve">same form and design </w:t>
      </w:r>
      <w:r w:rsidR="005E7A89" w:rsidRPr="002F758A">
        <w:rPr>
          <w:rFonts w:ascii="Calibri" w:hAnsi="Calibri" w:cs="Calibri"/>
          <w:color w:val="404040"/>
          <w:sz w:val="22"/>
        </w:rPr>
        <w:t>of structure</w:t>
      </w:r>
      <w:r w:rsidR="00B42E20" w:rsidRPr="002F758A">
        <w:rPr>
          <w:rFonts w:ascii="Calibri" w:hAnsi="Calibri" w:cs="Calibri"/>
          <w:color w:val="404040"/>
          <w:sz w:val="22"/>
        </w:rPr>
        <w:t xml:space="preserve">. The advertising displays will remain in the traditional </w:t>
      </w:r>
      <w:r w:rsidR="005E7A89" w:rsidRPr="002F758A">
        <w:rPr>
          <w:rFonts w:ascii="Calibri" w:hAnsi="Calibri" w:cs="Calibri"/>
          <w:color w:val="404040"/>
          <w:sz w:val="22"/>
        </w:rPr>
        <w:t xml:space="preserve">6 sheet </w:t>
      </w:r>
      <w:r w:rsidR="00E9128D" w:rsidRPr="002F758A">
        <w:rPr>
          <w:rFonts w:ascii="Calibri" w:hAnsi="Calibri" w:cs="Calibri"/>
          <w:color w:val="404040"/>
          <w:sz w:val="22"/>
        </w:rPr>
        <w:t>format;</w:t>
      </w:r>
      <w:r w:rsidR="00B42E20" w:rsidRPr="002F758A">
        <w:rPr>
          <w:rFonts w:ascii="Calibri" w:hAnsi="Calibri" w:cs="Calibri"/>
          <w:color w:val="404040"/>
          <w:sz w:val="22"/>
        </w:rPr>
        <w:t xml:space="preserve"> a portrait display that is often found within commercial centres either attached </w:t>
      </w:r>
      <w:r w:rsidR="00E9128D">
        <w:rPr>
          <w:rFonts w:ascii="Calibri" w:hAnsi="Calibri" w:cs="Calibri"/>
          <w:color w:val="404040"/>
          <w:sz w:val="22"/>
        </w:rPr>
        <w:t>to</w:t>
      </w:r>
      <w:r w:rsidR="00B42E20" w:rsidRPr="002F758A">
        <w:rPr>
          <w:rFonts w:ascii="Calibri" w:hAnsi="Calibri" w:cs="Calibri"/>
          <w:color w:val="404040"/>
          <w:sz w:val="22"/>
        </w:rPr>
        <w:t xml:space="preserve"> other items of str</w:t>
      </w:r>
      <w:r w:rsidR="00E9128D">
        <w:rPr>
          <w:rFonts w:ascii="Calibri" w:hAnsi="Calibri" w:cs="Calibri"/>
          <w:color w:val="404040"/>
          <w:sz w:val="22"/>
        </w:rPr>
        <w:t>eet furniture or</w:t>
      </w:r>
      <w:r w:rsidR="00B42E20" w:rsidRPr="002F758A">
        <w:rPr>
          <w:rFonts w:ascii="Calibri" w:hAnsi="Calibri" w:cs="Calibri"/>
          <w:color w:val="404040"/>
          <w:sz w:val="22"/>
        </w:rPr>
        <w:t xml:space="preserve"> freestanding units</w:t>
      </w:r>
      <w:r w:rsidR="00570637" w:rsidRPr="002F758A">
        <w:rPr>
          <w:rFonts w:ascii="Calibri" w:hAnsi="Calibri" w:cs="Calibri"/>
          <w:color w:val="404040"/>
          <w:sz w:val="22"/>
        </w:rPr>
        <w:t xml:space="preserve">. </w:t>
      </w:r>
      <w:r w:rsidR="00B42E20" w:rsidRPr="002F758A">
        <w:rPr>
          <w:rFonts w:ascii="Calibri" w:hAnsi="Calibri" w:cs="Calibri"/>
          <w:color w:val="404040"/>
          <w:sz w:val="22"/>
        </w:rPr>
        <w:t>Each</w:t>
      </w:r>
      <w:r w:rsidR="00F55CC6" w:rsidRPr="002F758A">
        <w:rPr>
          <w:rFonts w:ascii="Calibri" w:hAnsi="Calibri"/>
          <w:color w:val="404040"/>
          <w:sz w:val="22"/>
          <w:szCs w:val="22"/>
          <w:lang w:val="en-US"/>
        </w:rPr>
        <w:t xml:space="preserve"> unit will be double sided </w:t>
      </w:r>
      <w:r w:rsidR="00570637" w:rsidRPr="002F758A">
        <w:rPr>
          <w:rFonts w:ascii="Calibri" w:hAnsi="Calibri"/>
          <w:color w:val="404040"/>
          <w:sz w:val="22"/>
          <w:szCs w:val="22"/>
          <w:lang w:val="en-US"/>
        </w:rPr>
        <w:t xml:space="preserve">and </w:t>
      </w:r>
      <w:r w:rsidR="00F55CC6" w:rsidRPr="002F758A">
        <w:rPr>
          <w:rFonts w:ascii="Calibri" w:hAnsi="Calibri"/>
          <w:color w:val="404040"/>
          <w:sz w:val="22"/>
          <w:szCs w:val="22"/>
          <w:lang w:val="en-US"/>
        </w:rPr>
        <w:t xml:space="preserve">capable of showing </w:t>
      </w:r>
      <w:r w:rsidR="00570637" w:rsidRPr="002F758A">
        <w:rPr>
          <w:rFonts w:ascii="Calibri" w:hAnsi="Calibri"/>
          <w:color w:val="404040"/>
          <w:sz w:val="22"/>
          <w:szCs w:val="22"/>
          <w:lang w:val="en-US"/>
        </w:rPr>
        <w:t>commercial</w:t>
      </w:r>
      <w:r w:rsidR="00F55CC6" w:rsidRPr="002F758A">
        <w:rPr>
          <w:rFonts w:ascii="Calibri" w:hAnsi="Calibri"/>
          <w:color w:val="404040"/>
          <w:sz w:val="22"/>
          <w:szCs w:val="22"/>
          <w:lang w:val="en-US"/>
        </w:rPr>
        <w:t xml:space="preserve"> and community me</w:t>
      </w:r>
      <w:r w:rsidR="00570637" w:rsidRPr="002F758A">
        <w:rPr>
          <w:rFonts w:ascii="Calibri" w:hAnsi="Calibri"/>
          <w:color w:val="404040"/>
          <w:sz w:val="22"/>
          <w:szCs w:val="22"/>
          <w:lang w:val="en-US"/>
        </w:rPr>
        <w:t>ssages</w:t>
      </w:r>
      <w:r w:rsidR="00F55CC6" w:rsidRPr="002F758A">
        <w:rPr>
          <w:rFonts w:ascii="Calibri" w:hAnsi="Calibri"/>
          <w:color w:val="404040"/>
          <w:sz w:val="22"/>
          <w:szCs w:val="22"/>
          <w:lang w:val="en-US"/>
        </w:rPr>
        <w:t xml:space="preserve">, together with </w:t>
      </w:r>
      <w:r w:rsidR="00B42E20" w:rsidRPr="002F758A">
        <w:rPr>
          <w:rFonts w:ascii="Calibri" w:hAnsi="Calibri"/>
          <w:color w:val="404040"/>
          <w:sz w:val="22"/>
          <w:szCs w:val="22"/>
          <w:lang w:val="en-US"/>
        </w:rPr>
        <w:t xml:space="preserve">area specific </w:t>
      </w:r>
      <w:r w:rsidR="00570637" w:rsidRPr="002F758A">
        <w:rPr>
          <w:rFonts w:ascii="Calibri" w:hAnsi="Calibri"/>
          <w:color w:val="404040"/>
          <w:sz w:val="22"/>
          <w:szCs w:val="22"/>
          <w:lang w:val="en-US"/>
        </w:rPr>
        <w:t xml:space="preserve">promotions </w:t>
      </w:r>
      <w:r w:rsidR="00B42E20" w:rsidRPr="002F758A">
        <w:rPr>
          <w:rFonts w:ascii="Calibri" w:hAnsi="Calibri"/>
          <w:color w:val="404040"/>
          <w:sz w:val="22"/>
          <w:szCs w:val="22"/>
          <w:lang w:val="en-US"/>
        </w:rPr>
        <w:t xml:space="preserve">run by retailers within the </w:t>
      </w:r>
      <w:r w:rsidR="00F55CC6" w:rsidRPr="002F758A">
        <w:rPr>
          <w:rFonts w:ascii="Calibri" w:hAnsi="Calibri"/>
          <w:color w:val="404040"/>
          <w:sz w:val="22"/>
          <w:szCs w:val="22"/>
          <w:lang w:val="en-US"/>
        </w:rPr>
        <w:t>town centre</w:t>
      </w:r>
      <w:r w:rsidR="00570637" w:rsidRPr="002F758A">
        <w:rPr>
          <w:rFonts w:ascii="Calibri" w:hAnsi="Calibri"/>
          <w:color w:val="404040"/>
          <w:sz w:val="22"/>
          <w:szCs w:val="22"/>
          <w:lang w:val="en-US"/>
        </w:rPr>
        <w:t>. The</w:t>
      </w:r>
      <w:r w:rsidR="00B42E20" w:rsidRPr="002F758A">
        <w:rPr>
          <w:rFonts w:ascii="Calibri" w:hAnsi="Calibri"/>
          <w:color w:val="404040"/>
          <w:sz w:val="22"/>
          <w:szCs w:val="22"/>
          <w:lang w:val="en-US"/>
        </w:rPr>
        <w:t xml:space="preserve"> unit</w:t>
      </w:r>
      <w:r w:rsidR="00570637" w:rsidRPr="002F758A">
        <w:rPr>
          <w:rFonts w:ascii="Calibri" w:hAnsi="Calibri"/>
          <w:color w:val="404040"/>
          <w:sz w:val="22"/>
          <w:szCs w:val="22"/>
          <w:lang w:val="en-US"/>
        </w:rPr>
        <w:t xml:space="preserve"> technology </w:t>
      </w:r>
      <w:r w:rsidR="00B42E20" w:rsidRPr="002F758A">
        <w:rPr>
          <w:rFonts w:ascii="Calibri" w:hAnsi="Calibri"/>
          <w:color w:val="404040"/>
          <w:sz w:val="22"/>
          <w:szCs w:val="22"/>
          <w:lang w:val="en-US"/>
        </w:rPr>
        <w:t xml:space="preserve">is </w:t>
      </w:r>
      <w:r w:rsidR="00570637" w:rsidRPr="002F758A">
        <w:rPr>
          <w:rFonts w:ascii="Calibri" w:hAnsi="Calibri"/>
          <w:color w:val="404040"/>
          <w:sz w:val="22"/>
          <w:szCs w:val="22"/>
          <w:lang w:val="en-US"/>
        </w:rPr>
        <w:t>an LCD screen</w:t>
      </w:r>
      <w:r w:rsidR="00B42E20" w:rsidRPr="002F758A">
        <w:rPr>
          <w:rFonts w:ascii="Calibri" w:hAnsi="Calibri"/>
          <w:color w:val="404040"/>
          <w:sz w:val="22"/>
          <w:szCs w:val="22"/>
          <w:lang w:val="en-US"/>
        </w:rPr>
        <w:t>, whereby the image on show can be changed remotely and thus</w:t>
      </w:r>
      <w:r w:rsidR="00570637" w:rsidRPr="002F758A">
        <w:rPr>
          <w:rFonts w:ascii="Calibri" w:hAnsi="Calibri" w:cs="Calibri"/>
          <w:color w:val="404040"/>
          <w:sz w:val="22"/>
        </w:rPr>
        <w:t xml:space="preserve"> avoid the need to manually change the printed advertisements every two weeks. This technology </w:t>
      </w:r>
      <w:r w:rsidR="00B42E20" w:rsidRPr="002F758A">
        <w:rPr>
          <w:rFonts w:ascii="Calibri" w:hAnsi="Calibri" w:cs="Calibri"/>
          <w:color w:val="404040"/>
          <w:sz w:val="22"/>
        </w:rPr>
        <w:t xml:space="preserve">removes </w:t>
      </w:r>
      <w:r w:rsidR="00570637" w:rsidRPr="002F758A">
        <w:rPr>
          <w:rFonts w:ascii="Calibri" w:hAnsi="Calibri" w:cs="Calibri"/>
          <w:color w:val="404040"/>
          <w:sz w:val="22"/>
        </w:rPr>
        <w:t xml:space="preserve">the entire printing and recycling process </w:t>
      </w:r>
      <w:r w:rsidR="00B42E20" w:rsidRPr="002F758A">
        <w:rPr>
          <w:rFonts w:ascii="Calibri" w:hAnsi="Calibri" w:cs="Calibri"/>
          <w:color w:val="404040"/>
          <w:sz w:val="22"/>
        </w:rPr>
        <w:t xml:space="preserve">by </w:t>
      </w:r>
      <w:r w:rsidR="00570637" w:rsidRPr="002F758A">
        <w:rPr>
          <w:rFonts w:ascii="Calibri" w:hAnsi="Calibri" w:cs="Calibri"/>
          <w:color w:val="404040"/>
          <w:sz w:val="22"/>
        </w:rPr>
        <w:t>using more efficient method</w:t>
      </w:r>
      <w:r w:rsidR="00B42E20" w:rsidRPr="002F758A">
        <w:rPr>
          <w:rFonts w:ascii="Calibri" w:hAnsi="Calibri" w:cs="Calibri"/>
          <w:color w:val="404040"/>
          <w:sz w:val="22"/>
        </w:rPr>
        <w:t xml:space="preserve">s, by eliminating waste in the process, and </w:t>
      </w:r>
      <w:r w:rsidR="00570637" w:rsidRPr="002F758A">
        <w:rPr>
          <w:rFonts w:ascii="Calibri" w:hAnsi="Calibri" w:cs="Calibri"/>
          <w:color w:val="404040"/>
          <w:sz w:val="22"/>
        </w:rPr>
        <w:t>provide a sustainable</w:t>
      </w:r>
      <w:r w:rsidR="00B42E20" w:rsidRPr="002F758A">
        <w:rPr>
          <w:rFonts w:ascii="Calibri" w:hAnsi="Calibri" w:cs="Calibri"/>
          <w:color w:val="404040"/>
          <w:sz w:val="22"/>
        </w:rPr>
        <w:t xml:space="preserve"> method</w:t>
      </w:r>
      <w:r w:rsidR="00570637" w:rsidRPr="002F758A">
        <w:rPr>
          <w:rFonts w:ascii="Calibri" w:hAnsi="Calibri" w:cs="Calibri"/>
          <w:color w:val="404040"/>
          <w:sz w:val="22"/>
        </w:rPr>
        <w:t xml:space="preserve"> of roadside display.</w:t>
      </w:r>
    </w:p>
    <w:p w14:paraId="7C9BAB3B" w14:textId="77777777" w:rsidR="00065F1B" w:rsidRPr="002F758A" w:rsidRDefault="00065F1B" w:rsidP="00155357">
      <w:pPr>
        <w:spacing w:line="276" w:lineRule="auto"/>
        <w:ind w:left="709" w:hanging="709"/>
        <w:jc w:val="both"/>
        <w:rPr>
          <w:rFonts w:ascii="Calibri" w:hAnsi="Calibri" w:cs="Calibri"/>
          <w:color w:val="404040"/>
          <w:sz w:val="22"/>
        </w:rPr>
      </w:pPr>
    </w:p>
    <w:p w14:paraId="7B04F330" w14:textId="77777777" w:rsidR="00570637" w:rsidRPr="002F758A" w:rsidRDefault="00065F1B" w:rsidP="00155357">
      <w:pPr>
        <w:spacing w:line="276" w:lineRule="auto"/>
        <w:ind w:left="709" w:hanging="709"/>
        <w:jc w:val="both"/>
        <w:rPr>
          <w:rFonts w:ascii="Calibri" w:hAnsi="Calibri" w:cs="Calibri"/>
          <w:color w:val="404040"/>
          <w:sz w:val="22"/>
        </w:rPr>
      </w:pPr>
      <w:r w:rsidRPr="002F758A">
        <w:rPr>
          <w:rFonts w:ascii="Calibri" w:hAnsi="Calibri" w:cs="Calibri"/>
          <w:color w:val="404040"/>
          <w:sz w:val="22"/>
        </w:rPr>
        <w:t>3.3</w:t>
      </w:r>
      <w:r w:rsidRPr="002F758A">
        <w:rPr>
          <w:rFonts w:ascii="Calibri" w:hAnsi="Calibri" w:cs="Calibri"/>
          <w:color w:val="404040"/>
          <w:sz w:val="22"/>
        </w:rPr>
        <w:tab/>
      </w:r>
      <w:r w:rsidR="00570637" w:rsidRPr="002F758A">
        <w:rPr>
          <w:rFonts w:ascii="Calibri" w:hAnsi="Calibri" w:cs="Calibri"/>
          <w:color w:val="404040"/>
          <w:sz w:val="22"/>
        </w:rPr>
        <w:t xml:space="preserve">The </w:t>
      </w:r>
      <w:r w:rsidR="00F55CC6" w:rsidRPr="002F758A">
        <w:rPr>
          <w:rFonts w:ascii="Calibri" w:hAnsi="Calibri" w:cs="Calibri"/>
          <w:color w:val="404040"/>
          <w:sz w:val="22"/>
        </w:rPr>
        <w:t xml:space="preserve">upgrade and use of LCD technology </w:t>
      </w:r>
      <w:r w:rsidR="00570637" w:rsidRPr="002F758A">
        <w:rPr>
          <w:rFonts w:ascii="Calibri" w:hAnsi="Calibri" w:cs="Calibri"/>
          <w:color w:val="404040"/>
          <w:sz w:val="22"/>
        </w:rPr>
        <w:t>is part of a wider programme of improvement and investment across the company’s advertising estate. Th</w:t>
      </w:r>
      <w:r w:rsidRPr="002F758A">
        <w:rPr>
          <w:rFonts w:ascii="Calibri" w:hAnsi="Calibri" w:cs="Calibri"/>
          <w:color w:val="404040"/>
          <w:sz w:val="22"/>
        </w:rPr>
        <w:t>r</w:t>
      </w:r>
      <w:r w:rsidR="00570637" w:rsidRPr="002F758A">
        <w:rPr>
          <w:rFonts w:ascii="Calibri" w:hAnsi="Calibri" w:cs="Calibri"/>
          <w:color w:val="404040"/>
          <w:sz w:val="22"/>
        </w:rPr>
        <w:t>ough the use of high-resolution lighting, the LCD screens</w:t>
      </w:r>
      <w:r w:rsidR="00B42E20" w:rsidRPr="002F758A">
        <w:rPr>
          <w:rFonts w:ascii="Calibri" w:hAnsi="Calibri" w:cs="Calibri"/>
          <w:color w:val="404040"/>
          <w:sz w:val="22"/>
        </w:rPr>
        <w:t xml:space="preserve"> maintains a</w:t>
      </w:r>
      <w:r w:rsidR="00F90EB6" w:rsidRPr="002F758A">
        <w:rPr>
          <w:rFonts w:ascii="Calibri" w:hAnsi="Calibri" w:cs="Calibri"/>
          <w:color w:val="404040"/>
          <w:sz w:val="22"/>
        </w:rPr>
        <w:t xml:space="preserve">n ultra </w:t>
      </w:r>
      <w:r w:rsidR="00B42E20" w:rsidRPr="002F758A">
        <w:rPr>
          <w:rFonts w:ascii="Calibri" w:hAnsi="Calibri" w:cs="Calibri"/>
          <w:color w:val="404040"/>
          <w:sz w:val="22"/>
        </w:rPr>
        <w:t>HD</w:t>
      </w:r>
      <w:r w:rsidR="00570637" w:rsidRPr="002F758A">
        <w:rPr>
          <w:rFonts w:ascii="Calibri" w:hAnsi="Calibri" w:cs="Calibri"/>
          <w:color w:val="404040"/>
          <w:sz w:val="22"/>
        </w:rPr>
        <w:t xml:space="preserve"> </w:t>
      </w:r>
      <w:r w:rsidR="00B42E20" w:rsidRPr="002F758A">
        <w:rPr>
          <w:rFonts w:ascii="Calibri" w:hAnsi="Calibri" w:cs="Calibri"/>
          <w:color w:val="404040"/>
          <w:sz w:val="22"/>
        </w:rPr>
        <w:t>resolution</w:t>
      </w:r>
      <w:r w:rsidR="00570637" w:rsidRPr="002F758A">
        <w:rPr>
          <w:rFonts w:ascii="Calibri" w:hAnsi="Calibri" w:cs="Calibri"/>
          <w:color w:val="404040"/>
          <w:sz w:val="22"/>
        </w:rPr>
        <w:t xml:space="preserve"> which </w:t>
      </w:r>
      <w:r w:rsidR="00B42E20" w:rsidRPr="002F758A">
        <w:rPr>
          <w:rFonts w:ascii="Calibri" w:hAnsi="Calibri" w:cs="Calibri"/>
          <w:color w:val="404040"/>
          <w:sz w:val="22"/>
        </w:rPr>
        <w:t>is</w:t>
      </w:r>
      <w:r w:rsidR="00570637" w:rsidRPr="002F758A">
        <w:rPr>
          <w:rFonts w:ascii="Calibri" w:hAnsi="Calibri" w:cs="Calibri"/>
          <w:color w:val="404040"/>
          <w:sz w:val="22"/>
        </w:rPr>
        <w:t xml:space="preserve"> not subject to the wear and tear associated with traditional poster formats. </w:t>
      </w:r>
      <w:r w:rsidR="00B42E20" w:rsidRPr="002F758A">
        <w:rPr>
          <w:rFonts w:ascii="Calibri" w:hAnsi="Calibri" w:cs="Calibri"/>
          <w:color w:val="404040"/>
          <w:sz w:val="22"/>
        </w:rPr>
        <w:t>T</w:t>
      </w:r>
      <w:r w:rsidR="00570637" w:rsidRPr="002F758A">
        <w:rPr>
          <w:rFonts w:ascii="Calibri" w:hAnsi="Calibri" w:cs="Calibri"/>
          <w:color w:val="404040"/>
          <w:sz w:val="22"/>
        </w:rPr>
        <w:t xml:space="preserve">he unit comprises a </w:t>
      </w:r>
      <w:r w:rsidR="00F90EB6" w:rsidRPr="002F758A">
        <w:rPr>
          <w:rFonts w:ascii="Calibri" w:hAnsi="Calibri" w:cs="Calibri"/>
          <w:color w:val="404040"/>
          <w:sz w:val="22"/>
        </w:rPr>
        <w:t xml:space="preserve">freestanding </w:t>
      </w:r>
      <w:r w:rsidR="00570637" w:rsidRPr="002F758A">
        <w:rPr>
          <w:rFonts w:ascii="Calibri" w:hAnsi="Calibri" w:cs="Calibri"/>
          <w:color w:val="404040"/>
          <w:sz w:val="22"/>
        </w:rPr>
        <w:t xml:space="preserve">slim steel unit </w:t>
      </w:r>
      <w:r w:rsidRPr="002F758A">
        <w:rPr>
          <w:rFonts w:ascii="Calibri" w:hAnsi="Calibri" w:cs="Calibri"/>
          <w:color w:val="404040"/>
          <w:sz w:val="22"/>
        </w:rPr>
        <w:t>contain</w:t>
      </w:r>
      <w:r w:rsidR="00F90EB6" w:rsidRPr="002F758A">
        <w:rPr>
          <w:rFonts w:ascii="Calibri" w:hAnsi="Calibri" w:cs="Calibri"/>
          <w:color w:val="404040"/>
          <w:sz w:val="22"/>
        </w:rPr>
        <w:t>ing</w:t>
      </w:r>
      <w:r w:rsidRPr="002F758A">
        <w:rPr>
          <w:rFonts w:ascii="Calibri" w:hAnsi="Calibri" w:cs="Calibri"/>
          <w:color w:val="404040"/>
          <w:sz w:val="22"/>
        </w:rPr>
        <w:t xml:space="preserve"> the </w:t>
      </w:r>
      <w:r w:rsidR="00570637" w:rsidRPr="002F758A">
        <w:rPr>
          <w:rFonts w:ascii="Calibri" w:hAnsi="Calibri" w:cs="Calibri"/>
          <w:color w:val="404040"/>
          <w:sz w:val="22"/>
        </w:rPr>
        <w:t>LCD display panel</w:t>
      </w:r>
      <w:r w:rsidRPr="002F758A">
        <w:rPr>
          <w:rFonts w:ascii="Calibri" w:hAnsi="Calibri" w:cs="Calibri"/>
          <w:color w:val="404040"/>
          <w:sz w:val="22"/>
        </w:rPr>
        <w:t>s</w:t>
      </w:r>
      <w:r w:rsidR="00F90EB6" w:rsidRPr="002F758A">
        <w:rPr>
          <w:rFonts w:ascii="Calibri" w:hAnsi="Calibri" w:cs="Calibri"/>
          <w:color w:val="404040"/>
          <w:sz w:val="22"/>
        </w:rPr>
        <w:t xml:space="preserve">, each of which provide a </w:t>
      </w:r>
      <w:r w:rsidR="00570637" w:rsidRPr="002F758A">
        <w:rPr>
          <w:rFonts w:ascii="Calibri" w:hAnsi="Calibri" w:cs="Calibri"/>
          <w:color w:val="404040"/>
          <w:sz w:val="22"/>
        </w:rPr>
        <w:t xml:space="preserve">screen size of </w:t>
      </w:r>
      <w:r w:rsidR="00F90EB6" w:rsidRPr="002F758A">
        <w:rPr>
          <w:rFonts w:ascii="Calibri" w:hAnsi="Calibri" w:cs="Calibri"/>
          <w:color w:val="404040"/>
          <w:sz w:val="22"/>
        </w:rPr>
        <w:t>2m</w:t>
      </w:r>
      <w:r w:rsidR="00F90EB6" w:rsidRPr="002F758A">
        <w:rPr>
          <w:rFonts w:ascii="Calibri" w:hAnsi="Calibri" w:cs="Calibri"/>
          <w:color w:val="404040"/>
          <w:sz w:val="22"/>
          <w:vertAlign w:val="superscript"/>
        </w:rPr>
        <w:t xml:space="preserve">2 </w:t>
      </w:r>
      <w:r w:rsidR="00F90EB6" w:rsidRPr="002F758A">
        <w:rPr>
          <w:rFonts w:ascii="Calibri" w:hAnsi="Calibri" w:cs="Calibri"/>
          <w:color w:val="404040"/>
          <w:sz w:val="22"/>
        </w:rPr>
        <w:t>(po</w:t>
      </w:r>
      <w:r w:rsidR="00570637" w:rsidRPr="002F758A">
        <w:rPr>
          <w:rFonts w:ascii="Calibri" w:hAnsi="Calibri" w:cs="Calibri"/>
          <w:color w:val="404040"/>
          <w:sz w:val="22"/>
        </w:rPr>
        <w:t xml:space="preserve">rtrait). </w:t>
      </w:r>
      <w:r w:rsidR="00F90EB6" w:rsidRPr="002F758A">
        <w:rPr>
          <w:rFonts w:ascii="Calibri" w:hAnsi="Century Gothic"/>
          <w:color w:val="404040"/>
          <w:kern w:val="24"/>
          <w:sz w:val="22"/>
          <w:szCs w:val="22"/>
          <w:lang w:val="en-US" w:eastAsia="en-GB"/>
        </w:rPr>
        <w:t>The LCD screens show illuminated advertisements; however, the luminance level for the screens are limited to 600Cdm</w:t>
      </w:r>
      <w:r w:rsidR="00F90EB6" w:rsidRPr="002F758A">
        <w:rPr>
          <w:rFonts w:ascii="Calibri" w:hAnsi="Century Gothic"/>
          <w:color w:val="404040"/>
          <w:kern w:val="24"/>
          <w:sz w:val="22"/>
          <w:szCs w:val="22"/>
          <w:vertAlign w:val="superscript"/>
          <w:lang w:val="en-US" w:eastAsia="en-GB"/>
        </w:rPr>
        <w:t>2</w:t>
      </w:r>
      <w:r w:rsidR="00F90EB6" w:rsidRPr="002F758A">
        <w:rPr>
          <w:rFonts w:ascii="Calibri" w:hAnsi="Century Gothic"/>
          <w:color w:val="404040"/>
          <w:kern w:val="24"/>
          <w:sz w:val="22"/>
          <w:szCs w:val="22"/>
          <w:lang w:val="en-US" w:eastAsia="en-GB"/>
        </w:rPr>
        <w:t>, the recommended maximum of the Institute of Lighting Professionals (ILP). Up to that maximum level, the unit includes a light sensor to measure the ambient brightness and dimmers to control to adjust to lighting conditions. The levels are reduced to 250Cdm</w:t>
      </w:r>
      <w:r w:rsidR="00F90EB6" w:rsidRPr="002F758A">
        <w:rPr>
          <w:rFonts w:ascii="Calibri" w:hAnsi="Century Gothic"/>
          <w:color w:val="404040"/>
          <w:kern w:val="24"/>
          <w:sz w:val="22"/>
          <w:szCs w:val="22"/>
          <w:vertAlign w:val="superscript"/>
          <w:lang w:val="en-US" w:eastAsia="en-GB"/>
        </w:rPr>
        <w:t>2</w:t>
      </w:r>
      <w:r w:rsidR="00F90EB6" w:rsidRPr="002F758A">
        <w:rPr>
          <w:rFonts w:ascii="Calibri" w:hAnsi="Century Gothic"/>
          <w:color w:val="404040"/>
          <w:kern w:val="24"/>
          <w:sz w:val="22"/>
          <w:szCs w:val="22"/>
          <w:lang w:val="en-US" w:eastAsia="en-GB"/>
        </w:rPr>
        <w:t xml:space="preserve"> between dusk and 06:00 hours. </w:t>
      </w:r>
      <w:r w:rsidR="00F90EB6" w:rsidRPr="002F758A">
        <w:rPr>
          <w:rFonts w:ascii="Calibri" w:hAnsi="Calibri" w:cs="Calibri"/>
          <w:color w:val="404040"/>
          <w:sz w:val="22"/>
        </w:rPr>
        <w:t xml:space="preserve">The exterior of the unit is </w:t>
      </w:r>
      <w:r w:rsidR="00B42E20" w:rsidRPr="002F758A">
        <w:rPr>
          <w:rFonts w:ascii="Calibri" w:hAnsi="Calibri" w:cs="Calibri"/>
          <w:color w:val="404040"/>
          <w:sz w:val="22"/>
        </w:rPr>
        <w:t xml:space="preserve">powder coated </w:t>
      </w:r>
      <w:r w:rsidR="00F90EB6" w:rsidRPr="002F758A">
        <w:rPr>
          <w:rFonts w:ascii="Calibri" w:hAnsi="Calibri" w:cs="Calibri"/>
          <w:color w:val="404040"/>
          <w:sz w:val="22"/>
        </w:rPr>
        <w:t xml:space="preserve">in </w:t>
      </w:r>
      <w:r w:rsidR="00B42E20" w:rsidRPr="002F758A">
        <w:rPr>
          <w:rFonts w:ascii="Calibri" w:hAnsi="Calibri" w:cs="Calibri"/>
          <w:color w:val="404040"/>
          <w:sz w:val="22"/>
        </w:rPr>
        <w:t>black</w:t>
      </w:r>
      <w:r w:rsidR="00F90EB6" w:rsidRPr="002F758A">
        <w:rPr>
          <w:rFonts w:ascii="Calibri" w:hAnsi="Calibri" w:cs="Calibri"/>
          <w:color w:val="404040"/>
          <w:sz w:val="22"/>
        </w:rPr>
        <w:t xml:space="preserve"> to maintain its look throughout the lifetime of the display.</w:t>
      </w:r>
    </w:p>
    <w:p w14:paraId="07F262EA" w14:textId="77777777" w:rsidR="00065F1B" w:rsidRPr="002F758A" w:rsidRDefault="00065F1B" w:rsidP="00155357">
      <w:pPr>
        <w:spacing w:line="276" w:lineRule="auto"/>
        <w:ind w:left="709" w:hanging="709"/>
        <w:jc w:val="both"/>
        <w:rPr>
          <w:rFonts w:ascii="Calibri" w:hAnsi="Calibri" w:cs="Calibri"/>
          <w:color w:val="404040"/>
          <w:sz w:val="22"/>
        </w:rPr>
      </w:pPr>
    </w:p>
    <w:p w14:paraId="78C962D4" w14:textId="77777777" w:rsidR="00B93722" w:rsidRPr="002F758A" w:rsidRDefault="00B93722" w:rsidP="00155357">
      <w:pPr>
        <w:autoSpaceDE w:val="0"/>
        <w:autoSpaceDN w:val="0"/>
        <w:spacing w:line="276" w:lineRule="auto"/>
        <w:ind w:left="720"/>
        <w:jc w:val="both"/>
        <w:rPr>
          <w:rFonts w:ascii="Trebuchet MS" w:hAnsi="Trebuchet MS" w:cs="Arial"/>
          <w:color w:val="404040"/>
          <w:sz w:val="22"/>
          <w:szCs w:val="22"/>
        </w:rPr>
      </w:pPr>
    </w:p>
    <w:p w14:paraId="60E14537" w14:textId="77777777" w:rsidR="00065F1B" w:rsidRPr="002F758A" w:rsidRDefault="00065F1B" w:rsidP="00155357">
      <w:pPr>
        <w:autoSpaceDE w:val="0"/>
        <w:autoSpaceDN w:val="0"/>
        <w:spacing w:line="276" w:lineRule="auto"/>
        <w:jc w:val="both"/>
        <w:rPr>
          <w:rFonts w:ascii="Calibri" w:hAnsi="Calibri" w:cs="Calibri"/>
          <w:color w:val="404040"/>
          <w:szCs w:val="22"/>
        </w:rPr>
      </w:pPr>
      <w:r w:rsidRPr="002F758A">
        <w:rPr>
          <w:rFonts w:ascii="Calibri" w:hAnsi="Calibri" w:cs="Calibri"/>
          <w:color w:val="404040"/>
          <w:sz w:val="22"/>
          <w:szCs w:val="22"/>
        </w:rPr>
        <w:t>4.0</w:t>
      </w:r>
      <w:r w:rsidRPr="002F758A">
        <w:rPr>
          <w:rFonts w:ascii="Calibri" w:hAnsi="Calibri" w:cs="Calibri"/>
          <w:color w:val="404040"/>
          <w:szCs w:val="22"/>
        </w:rPr>
        <w:tab/>
      </w:r>
      <w:r w:rsidR="00946C2A" w:rsidRPr="002F758A">
        <w:rPr>
          <w:rFonts w:ascii="Calibri" w:hAnsi="Calibri" w:cs="Calibri"/>
          <w:color w:val="404040"/>
          <w:szCs w:val="22"/>
        </w:rPr>
        <w:t>Heritage Comments</w:t>
      </w:r>
    </w:p>
    <w:p w14:paraId="3D2945E4" w14:textId="77777777" w:rsidR="00C51EFC" w:rsidRPr="002F758A" w:rsidRDefault="00C51EFC" w:rsidP="00155357">
      <w:pPr>
        <w:autoSpaceDE w:val="0"/>
        <w:autoSpaceDN w:val="0"/>
        <w:spacing w:line="276" w:lineRule="auto"/>
        <w:ind w:left="709" w:hanging="709"/>
        <w:jc w:val="both"/>
        <w:rPr>
          <w:rFonts w:ascii="Calibri" w:hAnsi="Calibri" w:cs="Calibri"/>
          <w:color w:val="404040"/>
          <w:sz w:val="22"/>
        </w:rPr>
      </w:pPr>
      <w:r w:rsidRPr="002F758A">
        <w:rPr>
          <w:rFonts w:ascii="Calibri" w:hAnsi="Calibri" w:cs="Calibri"/>
          <w:color w:val="404040"/>
          <w:sz w:val="22"/>
        </w:rPr>
        <w:t>4.1</w:t>
      </w:r>
      <w:r w:rsidRPr="002F758A">
        <w:rPr>
          <w:rFonts w:ascii="Calibri" w:hAnsi="Calibri" w:cs="Calibri"/>
          <w:color w:val="404040"/>
          <w:sz w:val="22"/>
        </w:rPr>
        <w:tab/>
        <w:t>The current applications for the 15 locations have been subject to internal consultation and heritage related concerns have been raised in respect of the two locations at either end of Queen Victoria Street. The comments for both locations are the same and articulated as follows;</w:t>
      </w:r>
    </w:p>
    <w:p w14:paraId="736B1FC8" w14:textId="77777777" w:rsidR="00C51EFC" w:rsidRPr="002F758A" w:rsidRDefault="00C51EFC" w:rsidP="00C51EFC">
      <w:pPr>
        <w:autoSpaceDE w:val="0"/>
        <w:autoSpaceDN w:val="0"/>
        <w:ind w:left="709"/>
        <w:jc w:val="both"/>
        <w:rPr>
          <w:rFonts w:ascii="Calibri" w:hAnsi="Calibri" w:cs="Calibri"/>
          <w:color w:val="404040"/>
          <w:sz w:val="22"/>
        </w:rPr>
      </w:pPr>
    </w:p>
    <w:p w14:paraId="6FAF2155" w14:textId="77777777" w:rsidR="00B93722" w:rsidRDefault="00291148" w:rsidP="00C51EFC">
      <w:pPr>
        <w:autoSpaceDE w:val="0"/>
        <w:autoSpaceDN w:val="0"/>
        <w:ind w:left="1134"/>
        <w:jc w:val="both"/>
        <w:rPr>
          <w:rFonts w:ascii="Calibri" w:hAnsi="Calibri" w:cs="Calibri"/>
          <w:i/>
          <w:color w:val="404040"/>
          <w:sz w:val="22"/>
          <w:szCs w:val="22"/>
        </w:rPr>
      </w:pPr>
      <w:r w:rsidRPr="002F758A">
        <w:rPr>
          <w:rFonts w:ascii="Calibri" w:hAnsi="Calibri" w:cs="Calibri"/>
          <w:i/>
          <w:color w:val="404040"/>
          <w:sz w:val="22"/>
          <w:szCs w:val="22"/>
        </w:rPr>
        <w:t>“</w:t>
      </w:r>
      <w:r w:rsidR="00C51EFC" w:rsidRPr="002F758A">
        <w:rPr>
          <w:rFonts w:ascii="Calibri" w:hAnsi="Calibri" w:cs="Calibri"/>
          <w:i/>
          <w:color w:val="404040"/>
          <w:sz w:val="22"/>
          <w:szCs w:val="22"/>
        </w:rPr>
        <w:t>T</w:t>
      </w:r>
      <w:r w:rsidR="00946C2A" w:rsidRPr="002F758A">
        <w:rPr>
          <w:rFonts w:ascii="Calibri" w:hAnsi="Calibri" w:cs="Calibri"/>
          <w:i/>
          <w:color w:val="404040"/>
          <w:sz w:val="22"/>
          <w:szCs w:val="22"/>
        </w:rPr>
        <w:t>he High Definition electronic advertising panels within Queen Victoria Street would primarily affect the settings of Grade II Listed Nos. 1-15 Queen Victoria Street. These Listed Buildings within Queen Victoria Street represent some of the finest in the town centre and form a main thoroughfare into the town centre. The approach from Reading station into the town centre along Station Road is considered to be particularly important to Reading and the significance of its historic environment and to visitors from the station.</w:t>
      </w:r>
      <w:r w:rsidR="00C51EFC" w:rsidRPr="002F758A">
        <w:rPr>
          <w:rFonts w:ascii="Calibri" w:hAnsi="Calibri" w:cs="Calibri"/>
          <w:i/>
          <w:color w:val="404040"/>
          <w:sz w:val="22"/>
          <w:szCs w:val="22"/>
        </w:rPr>
        <w:t xml:space="preserve"> </w:t>
      </w:r>
      <w:r w:rsidR="00946C2A" w:rsidRPr="002F758A">
        <w:rPr>
          <w:rFonts w:ascii="Calibri" w:hAnsi="Calibri" w:cs="Calibri"/>
          <w:i/>
          <w:color w:val="404040"/>
          <w:sz w:val="22"/>
          <w:szCs w:val="22"/>
        </w:rPr>
        <w:t>Currently there have been a number of inappropriate adverts to shop fronts along Queen Victoria Street which planning officers are resisting in an effort to improve their overall appearance and appropriateness to the Listed Buildings. The installation of visually intrusive High Definition electronic advertising boards within this location by the Council would negate those long-term efforts.</w:t>
      </w:r>
    </w:p>
    <w:p w14:paraId="2C9EA674" w14:textId="77777777" w:rsidR="00325470" w:rsidRDefault="00325470" w:rsidP="00C51EFC">
      <w:pPr>
        <w:autoSpaceDE w:val="0"/>
        <w:autoSpaceDN w:val="0"/>
        <w:ind w:left="1134"/>
        <w:jc w:val="both"/>
        <w:rPr>
          <w:rFonts w:ascii="Calibri" w:hAnsi="Calibri" w:cs="Calibri"/>
          <w:i/>
          <w:color w:val="404040"/>
          <w:sz w:val="22"/>
          <w:szCs w:val="22"/>
        </w:rPr>
      </w:pPr>
    </w:p>
    <w:p w14:paraId="5D646B42" w14:textId="77777777" w:rsidR="00325470" w:rsidRPr="002F758A" w:rsidRDefault="00325470" w:rsidP="00C51EFC">
      <w:pPr>
        <w:autoSpaceDE w:val="0"/>
        <w:autoSpaceDN w:val="0"/>
        <w:ind w:left="1134"/>
        <w:jc w:val="both"/>
        <w:rPr>
          <w:rFonts w:ascii="Calibri" w:hAnsi="Calibri" w:cs="Calibri"/>
          <w:b/>
          <w:i/>
          <w:color w:val="404040"/>
          <w:sz w:val="22"/>
          <w:szCs w:val="22"/>
        </w:rPr>
      </w:pPr>
    </w:p>
    <w:p w14:paraId="7073A8E0" w14:textId="77777777" w:rsidR="00B93722" w:rsidRPr="002F758A" w:rsidRDefault="00B93722" w:rsidP="00C51EFC">
      <w:pPr>
        <w:autoSpaceDE w:val="0"/>
        <w:autoSpaceDN w:val="0"/>
        <w:ind w:left="1134"/>
        <w:jc w:val="both"/>
        <w:rPr>
          <w:rFonts w:ascii="Calibri" w:hAnsi="Calibri" w:cs="Calibri"/>
          <w:b/>
          <w:color w:val="404040"/>
          <w:sz w:val="22"/>
          <w:szCs w:val="22"/>
        </w:rPr>
      </w:pPr>
    </w:p>
    <w:p w14:paraId="20229AC7" w14:textId="77777777" w:rsidR="00B93722" w:rsidRPr="002F758A" w:rsidRDefault="00946C2A" w:rsidP="00C51EFC">
      <w:pPr>
        <w:autoSpaceDE w:val="0"/>
        <w:autoSpaceDN w:val="0"/>
        <w:ind w:left="1134"/>
        <w:jc w:val="both"/>
        <w:rPr>
          <w:rFonts w:ascii="Calibri" w:hAnsi="Calibri" w:cs="Calibri"/>
          <w:b/>
          <w:i/>
          <w:color w:val="404040"/>
          <w:sz w:val="22"/>
          <w:szCs w:val="22"/>
        </w:rPr>
      </w:pPr>
      <w:r w:rsidRPr="002F758A">
        <w:rPr>
          <w:rFonts w:ascii="Calibri" w:hAnsi="Calibri" w:cs="Calibri"/>
          <w:b/>
          <w:i/>
          <w:color w:val="404040"/>
          <w:sz w:val="22"/>
          <w:szCs w:val="22"/>
        </w:rPr>
        <w:lastRenderedPageBreak/>
        <w:t>Conclusions</w:t>
      </w:r>
    </w:p>
    <w:p w14:paraId="6A989271" w14:textId="77777777" w:rsidR="00946C2A" w:rsidRPr="002F758A" w:rsidRDefault="00946C2A" w:rsidP="00C51EFC">
      <w:pPr>
        <w:autoSpaceDE w:val="0"/>
        <w:autoSpaceDN w:val="0"/>
        <w:ind w:left="1134"/>
        <w:jc w:val="both"/>
        <w:rPr>
          <w:rFonts w:ascii="Calibri" w:hAnsi="Calibri" w:cs="Calibri"/>
          <w:i/>
          <w:color w:val="404040"/>
        </w:rPr>
      </w:pPr>
      <w:r w:rsidRPr="002F758A">
        <w:rPr>
          <w:rFonts w:ascii="Calibri" w:hAnsi="Calibri" w:cs="Calibri"/>
          <w:i/>
          <w:color w:val="404040"/>
          <w:sz w:val="22"/>
          <w:szCs w:val="22"/>
        </w:rPr>
        <w:t xml:space="preserve">Due to the materials, size and resulting glare, the proposed adverts are considered to be visually intrusive and would detract from the settings of the Queen Victoria Street Listed Buildings and harm their significance. Due to the incongruity of the adverts within the streetscene and their potential disturbance to the harmony and prominence of the Listed Buildings, the proposed adverts are not considered to be consistent with their location as required by Policy DM22 and are considered to have a harmful impact on the significance of the Listed Buildings contrary to the NPPF and policy DM22 and requirements of the Planning (Listed Buildings and Conservation Areas) Act 1990. </w:t>
      </w:r>
      <w:r w:rsidR="00291148" w:rsidRPr="002F758A">
        <w:rPr>
          <w:rFonts w:ascii="Calibri" w:hAnsi="Calibri" w:cs="Calibri"/>
          <w:i/>
          <w:color w:val="404040"/>
          <w:sz w:val="22"/>
          <w:szCs w:val="22"/>
        </w:rPr>
        <w:t>“</w:t>
      </w:r>
    </w:p>
    <w:p w14:paraId="7A36E432" w14:textId="77777777" w:rsidR="00C51EFC" w:rsidRPr="002F758A" w:rsidRDefault="00C51EFC" w:rsidP="00C51EFC">
      <w:pPr>
        <w:jc w:val="both"/>
        <w:rPr>
          <w:rFonts w:ascii="Calibri" w:hAnsi="Calibri" w:cs="Calibri"/>
          <w:color w:val="404040"/>
          <w:sz w:val="22"/>
        </w:rPr>
      </w:pPr>
    </w:p>
    <w:p w14:paraId="26DD48A1" w14:textId="77777777" w:rsidR="00394E06" w:rsidRPr="002F758A" w:rsidRDefault="00C51EFC" w:rsidP="00155357">
      <w:pPr>
        <w:spacing w:line="276" w:lineRule="auto"/>
        <w:ind w:left="709" w:hanging="709"/>
        <w:jc w:val="both"/>
        <w:rPr>
          <w:rFonts w:ascii="Calibri" w:hAnsi="Calibri" w:cs="Calibri"/>
          <w:color w:val="404040"/>
          <w:sz w:val="22"/>
        </w:rPr>
      </w:pPr>
      <w:r w:rsidRPr="002F758A">
        <w:rPr>
          <w:rFonts w:ascii="Calibri" w:hAnsi="Calibri" w:cs="Calibri"/>
          <w:color w:val="404040"/>
          <w:sz w:val="22"/>
        </w:rPr>
        <w:t>4.2</w:t>
      </w:r>
      <w:r w:rsidRPr="002F758A">
        <w:rPr>
          <w:rFonts w:ascii="Calibri" w:hAnsi="Calibri" w:cs="Calibri"/>
          <w:color w:val="404040"/>
          <w:sz w:val="22"/>
        </w:rPr>
        <w:tab/>
        <w:t xml:space="preserve">The above comments indicate that the </w:t>
      </w:r>
      <w:r w:rsidR="0088033D" w:rsidRPr="002F758A">
        <w:rPr>
          <w:rFonts w:ascii="Calibri" w:hAnsi="Calibri" w:cs="Calibri"/>
          <w:color w:val="404040"/>
          <w:sz w:val="22"/>
        </w:rPr>
        <w:t>concerns are</w:t>
      </w:r>
      <w:r w:rsidRPr="002F758A">
        <w:rPr>
          <w:rFonts w:ascii="Calibri" w:hAnsi="Calibri" w:cs="Calibri"/>
          <w:color w:val="404040"/>
          <w:sz w:val="22"/>
        </w:rPr>
        <w:t xml:space="preserve"> threefold</w:t>
      </w:r>
      <w:r w:rsidR="0088033D" w:rsidRPr="002F758A">
        <w:rPr>
          <w:rFonts w:ascii="Calibri" w:hAnsi="Calibri" w:cs="Calibri"/>
          <w:color w:val="404040"/>
          <w:sz w:val="22"/>
        </w:rPr>
        <w:t xml:space="preserve"> </w:t>
      </w:r>
      <w:r w:rsidRPr="002F758A">
        <w:rPr>
          <w:rFonts w:ascii="Calibri" w:hAnsi="Calibri" w:cs="Calibri"/>
          <w:color w:val="404040"/>
          <w:sz w:val="22"/>
        </w:rPr>
        <w:t xml:space="preserve">and </w:t>
      </w:r>
      <w:r w:rsidR="0088033D" w:rsidRPr="002F758A">
        <w:rPr>
          <w:rFonts w:ascii="Calibri" w:hAnsi="Calibri" w:cs="Calibri"/>
          <w:color w:val="404040"/>
          <w:sz w:val="22"/>
        </w:rPr>
        <w:t>relate to</w:t>
      </w:r>
      <w:r w:rsidRPr="002F758A">
        <w:rPr>
          <w:rFonts w:ascii="Calibri" w:hAnsi="Calibri" w:cs="Calibri"/>
          <w:color w:val="404040"/>
          <w:sz w:val="22"/>
        </w:rPr>
        <w:t>; the size of the unit; the material used; and on t</w:t>
      </w:r>
      <w:r w:rsidR="00325470">
        <w:rPr>
          <w:rFonts w:ascii="Calibri" w:hAnsi="Calibri" w:cs="Calibri"/>
          <w:color w:val="404040"/>
          <w:sz w:val="22"/>
        </w:rPr>
        <w:t>he perception that the displays</w:t>
      </w:r>
      <w:r w:rsidRPr="002F758A">
        <w:rPr>
          <w:rFonts w:ascii="Calibri" w:hAnsi="Calibri" w:cs="Calibri"/>
          <w:color w:val="404040"/>
          <w:sz w:val="22"/>
        </w:rPr>
        <w:t xml:space="preserve"> are likely to cause glare. For these reasons it is </w:t>
      </w:r>
      <w:r w:rsidR="0052092D" w:rsidRPr="002F758A">
        <w:rPr>
          <w:rFonts w:ascii="Calibri" w:hAnsi="Calibri" w:cs="Calibri"/>
          <w:color w:val="404040"/>
          <w:sz w:val="22"/>
        </w:rPr>
        <w:t xml:space="preserve">believed that </w:t>
      </w:r>
      <w:r w:rsidRPr="002F758A">
        <w:rPr>
          <w:rFonts w:ascii="Calibri" w:hAnsi="Calibri" w:cs="Calibri"/>
          <w:color w:val="404040"/>
          <w:sz w:val="22"/>
        </w:rPr>
        <w:t xml:space="preserve">the advertisements would be visually intrusive in the centre and detract from the setting of the Listed Buildings on Queen Victoria Street. </w:t>
      </w:r>
      <w:r w:rsidR="00F6157F" w:rsidRPr="002F758A">
        <w:rPr>
          <w:rFonts w:ascii="Calibri" w:hAnsi="Calibri" w:cs="Calibri"/>
          <w:color w:val="404040"/>
          <w:sz w:val="22"/>
        </w:rPr>
        <w:t xml:space="preserve">Each of these points will be discussed in turn </w:t>
      </w:r>
      <w:r w:rsidR="0088033D" w:rsidRPr="002F758A">
        <w:rPr>
          <w:rFonts w:ascii="Calibri" w:hAnsi="Calibri" w:cs="Calibri"/>
          <w:color w:val="404040"/>
          <w:sz w:val="22"/>
        </w:rPr>
        <w:t xml:space="preserve">in section </w:t>
      </w:r>
      <w:r w:rsidR="00D574EF" w:rsidRPr="002F758A">
        <w:rPr>
          <w:rFonts w:ascii="Calibri" w:hAnsi="Calibri" w:cs="Calibri"/>
          <w:color w:val="404040"/>
          <w:sz w:val="22"/>
        </w:rPr>
        <w:t>7</w:t>
      </w:r>
      <w:r w:rsidR="0088033D" w:rsidRPr="002F758A">
        <w:rPr>
          <w:rFonts w:ascii="Calibri" w:hAnsi="Calibri" w:cs="Calibri"/>
          <w:color w:val="404040"/>
          <w:sz w:val="22"/>
        </w:rPr>
        <w:t>.0</w:t>
      </w:r>
      <w:r w:rsidR="00D574EF" w:rsidRPr="002F758A">
        <w:rPr>
          <w:rFonts w:ascii="Calibri" w:hAnsi="Calibri" w:cs="Calibri"/>
          <w:color w:val="404040"/>
          <w:sz w:val="22"/>
        </w:rPr>
        <w:t xml:space="preserve"> below,</w:t>
      </w:r>
      <w:r w:rsidR="0052092D" w:rsidRPr="002F758A">
        <w:rPr>
          <w:rFonts w:ascii="Calibri" w:hAnsi="Calibri" w:cs="Calibri"/>
          <w:color w:val="404040"/>
          <w:sz w:val="22"/>
        </w:rPr>
        <w:t xml:space="preserve"> suffice</w:t>
      </w:r>
      <w:r w:rsidR="00ED1A72" w:rsidRPr="002F758A">
        <w:rPr>
          <w:rFonts w:ascii="Calibri" w:hAnsi="Calibri" w:cs="Calibri"/>
          <w:color w:val="404040"/>
          <w:sz w:val="22"/>
        </w:rPr>
        <w:t xml:space="preserve"> it</w:t>
      </w:r>
      <w:r w:rsidR="0052092D" w:rsidRPr="002F758A">
        <w:rPr>
          <w:rFonts w:ascii="Calibri" w:hAnsi="Calibri" w:cs="Calibri"/>
          <w:color w:val="404040"/>
          <w:sz w:val="22"/>
        </w:rPr>
        <w:t xml:space="preserve"> to say the applicant does not accept that view nor that the introduction of </w:t>
      </w:r>
      <w:r w:rsidR="00325470">
        <w:rPr>
          <w:rFonts w:ascii="Calibri" w:hAnsi="Calibri" w:cs="Calibri"/>
          <w:color w:val="404040"/>
          <w:sz w:val="22"/>
        </w:rPr>
        <w:t>two units for the entire length</w:t>
      </w:r>
      <w:r w:rsidR="0052092D" w:rsidRPr="002F758A">
        <w:rPr>
          <w:rFonts w:ascii="Calibri" w:hAnsi="Calibri" w:cs="Calibri"/>
          <w:color w:val="404040"/>
          <w:sz w:val="22"/>
        </w:rPr>
        <w:t xml:space="preserve"> of Queen Victoria Street would have an overbearing or intrusive effect</w:t>
      </w:r>
      <w:r w:rsidR="00D574EF" w:rsidRPr="002F758A">
        <w:rPr>
          <w:rFonts w:ascii="Calibri" w:hAnsi="Calibri" w:cs="Calibri"/>
          <w:color w:val="404040"/>
          <w:sz w:val="22"/>
        </w:rPr>
        <w:t xml:space="preserve"> on the street or the buildings setting</w:t>
      </w:r>
      <w:r w:rsidR="0052092D" w:rsidRPr="002F758A">
        <w:rPr>
          <w:rFonts w:ascii="Calibri" w:hAnsi="Calibri" w:cs="Calibri"/>
          <w:color w:val="404040"/>
          <w:sz w:val="22"/>
        </w:rPr>
        <w:t>. The application</w:t>
      </w:r>
      <w:r w:rsidR="00D574EF" w:rsidRPr="002F758A">
        <w:rPr>
          <w:rFonts w:ascii="Calibri" w:hAnsi="Calibri" w:cs="Calibri"/>
          <w:color w:val="404040"/>
          <w:sz w:val="22"/>
        </w:rPr>
        <w:t>s</w:t>
      </w:r>
      <w:r w:rsidR="0052092D" w:rsidRPr="002F758A">
        <w:rPr>
          <w:rFonts w:ascii="Calibri" w:hAnsi="Calibri" w:cs="Calibri"/>
          <w:color w:val="404040"/>
          <w:sz w:val="22"/>
        </w:rPr>
        <w:t xml:space="preserve"> give rise to the general considerations outlined in 1.2</w:t>
      </w:r>
      <w:r w:rsidR="00ED1A72" w:rsidRPr="002F758A">
        <w:rPr>
          <w:rFonts w:ascii="Calibri" w:hAnsi="Calibri" w:cs="Calibri"/>
          <w:color w:val="404040"/>
          <w:sz w:val="22"/>
        </w:rPr>
        <w:t xml:space="preserve"> and applicable to all advertising proposals</w:t>
      </w:r>
      <w:r w:rsidR="0052092D" w:rsidRPr="002F758A">
        <w:rPr>
          <w:rFonts w:ascii="Calibri" w:hAnsi="Calibri" w:cs="Calibri"/>
          <w:color w:val="404040"/>
          <w:sz w:val="22"/>
        </w:rPr>
        <w:t>,</w:t>
      </w:r>
      <w:r w:rsidR="0088033D" w:rsidRPr="002F758A">
        <w:rPr>
          <w:rFonts w:ascii="Calibri" w:hAnsi="Calibri" w:cs="Calibri"/>
          <w:color w:val="404040"/>
          <w:sz w:val="22"/>
        </w:rPr>
        <w:t xml:space="preserve"> however </w:t>
      </w:r>
      <w:r w:rsidR="0052092D" w:rsidRPr="002F758A">
        <w:rPr>
          <w:rFonts w:ascii="Calibri" w:hAnsi="Calibri" w:cs="Calibri"/>
          <w:color w:val="404040"/>
          <w:sz w:val="22"/>
        </w:rPr>
        <w:t xml:space="preserve">for the purpose of this report we </w:t>
      </w:r>
      <w:r w:rsidR="00ED1A72" w:rsidRPr="002F758A">
        <w:rPr>
          <w:rFonts w:ascii="Calibri" w:hAnsi="Calibri" w:cs="Calibri"/>
          <w:color w:val="404040"/>
          <w:sz w:val="22"/>
        </w:rPr>
        <w:t xml:space="preserve">are </w:t>
      </w:r>
      <w:r w:rsidR="0052092D" w:rsidRPr="002F758A">
        <w:rPr>
          <w:rFonts w:ascii="Calibri" w:hAnsi="Calibri" w:cs="Calibri"/>
          <w:color w:val="404040"/>
          <w:sz w:val="22"/>
        </w:rPr>
        <w:t xml:space="preserve">only </w:t>
      </w:r>
      <w:r w:rsidR="00ED1A72" w:rsidRPr="002F758A">
        <w:rPr>
          <w:rFonts w:ascii="Calibri" w:hAnsi="Calibri" w:cs="Calibri"/>
          <w:color w:val="404040"/>
          <w:sz w:val="22"/>
        </w:rPr>
        <w:t xml:space="preserve">concerned with </w:t>
      </w:r>
      <w:r w:rsidR="0052092D" w:rsidRPr="002F758A">
        <w:rPr>
          <w:rFonts w:ascii="Calibri" w:hAnsi="Calibri" w:cs="Calibri"/>
          <w:color w:val="404040"/>
          <w:sz w:val="22"/>
        </w:rPr>
        <w:t xml:space="preserve">the heritage </w:t>
      </w:r>
      <w:r w:rsidR="00ED1A72" w:rsidRPr="002F758A">
        <w:rPr>
          <w:rFonts w:ascii="Calibri" w:hAnsi="Calibri" w:cs="Calibri"/>
          <w:color w:val="404040"/>
          <w:sz w:val="22"/>
        </w:rPr>
        <w:t>matters</w:t>
      </w:r>
      <w:r w:rsidR="0052092D" w:rsidRPr="002F758A">
        <w:rPr>
          <w:rFonts w:ascii="Calibri" w:hAnsi="Calibri" w:cs="Calibri"/>
          <w:color w:val="404040"/>
          <w:sz w:val="22"/>
        </w:rPr>
        <w:t xml:space="preserve"> and </w:t>
      </w:r>
      <w:r w:rsidR="00ED1A72" w:rsidRPr="002F758A">
        <w:rPr>
          <w:rFonts w:ascii="Calibri" w:hAnsi="Calibri" w:cs="Calibri"/>
          <w:color w:val="404040"/>
          <w:sz w:val="22"/>
        </w:rPr>
        <w:t xml:space="preserve">in the </w:t>
      </w:r>
      <w:r w:rsidR="0052092D" w:rsidRPr="002F758A">
        <w:rPr>
          <w:rFonts w:ascii="Calibri" w:hAnsi="Calibri" w:cs="Calibri"/>
          <w:color w:val="404040"/>
          <w:sz w:val="22"/>
        </w:rPr>
        <w:t xml:space="preserve">assessment of impact the proposal would have on the significance of the heritage asset. For this reason, it is informative </w:t>
      </w:r>
      <w:r w:rsidR="0088033D" w:rsidRPr="002F758A">
        <w:rPr>
          <w:rFonts w:ascii="Calibri" w:hAnsi="Calibri" w:cs="Calibri"/>
          <w:color w:val="404040"/>
          <w:sz w:val="22"/>
        </w:rPr>
        <w:t xml:space="preserve">to </w:t>
      </w:r>
      <w:r w:rsidR="0052092D" w:rsidRPr="002F758A">
        <w:rPr>
          <w:rFonts w:ascii="Calibri" w:hAnsi="Calibri" w:cs="Calibri"/>
          <w:color w:val="404040"/>
          <w:sz w:val="22"/>
        </w:rPr>
        <w:t xml:space="preserve">understand the basis of assessment </w:t>
      </w:r>
      <w:r w:rsidR="0052092D" w:rsidRPr="0052092D">
        <w:rPr>
          <w:rFonts w:ascii="Calibri" w:hAnsi="Calibri" w:cs="Calibri"/>
          <w:color w:val="404040"/>
          <w:sz w:val="22"/>
        </w:rPr>
        <w:t xml:space="preserve">of development close to heritage assets </w:t>
      </w:r>
      <w:r w:rsidR="0052092D" w:rsidRPr="002F758A">
        <w:rPr>
          <w:rFonts w:ascii="Calibri" w:hAnsi="Calibri" w:cs="Calibri"/>
          <w:color w:val="404040"/>
          <w:sz w:val="22"/>
        </w:rPr>
        <w:t xml:space="preserve">as expressed in </w:t>
      </w:r>
      <w:r w:rsidR="0088033D" w:rsidRPr="002F758A">
        <w:rPr>
          <w:rFonts w:ascii="Calibri" w:hAnsi="Calibri" w:cs="Calibri"/>
          <w:color w:val="404040"/>
          <w:sz w:val="22"/>
        </w:rPr>
        <w:t>national guidance, which is s</w:t>
      </w:r>
      <w:r w:rsidR="0052092D" w:rsidRPr="002F758A">
        <w:rPr>
          <w:rFonts w:ascii="Calibri" w:hAnsi="Calibri" w:cs="Calibri"/>
          <w:color w:val="404040"/>
          <w:sz w:val="22"/>
        </w:rPr>
        <w:t>ummarised</w:t>
      </w:r>
      <w:r w:rsidR="0088033D" w:rsidRPr="002F758A">
        <w:rPr>
          <w:rFonts w:ascii="Calibri" w:hAnsi="Calibri" w:cs="Calibri"/>
          <w:color w:val="404040"/>
          <w:sz w:val="22"/>
        </w:rPr>
        <w:t xml:space="preserve"> below.</w:t>
      </w:r>
    </w:p>
    <w:p w14:paraId="123802B6" w14:textId="77777777" w:rsidR="0088033D" w:rsidRPr="002F758A" w:rsidRDefault="0088033D" w:rsidP="00155357">
      <w:pPr>
        <w:spacing w:line="276" w:lineRule="auto"/>
        <w:ind w:left="709" w:hanging="709"/>
        <w:jc w:val="both"/>
        <w:rPr>
          <w:rFonts w:ascii="Calibri" w:hAnsi="Calibri"/>
          <w:color w:val="404040"/>
          <w:sz w:val="22"/>
          <w:szCs w:val="22"/>
        </w:rPr>
      </w:pPr>
    </w:p>
    <w:p w14:paraId="09CCB8C4" w14:textId="77777777" w:rsidR="00054218" w:rsidRPr="002F758A" w:rsidRDefault="00054218" w:rsidP="00155357">
      <w:pPr>
        <w:numPr>
          <w:ilvl w:val="0"/>
          <w:numId w:val="26"/>
        </w:numPr>
        <w:spacing w:line="276" w:lineRule="auto"/>
        <w:ind w:left="709" w:hanging="709"/>
        <w:jc w:val="both"/>
        <w:rPr>
          <w:rStyle w:val="listingtext"/>
          <w:rFonts w:ascii="Calibri" w:hAnsi="Calibri"/>
          <w:color w:val="404040"/>
        </w:rPr>
      </w:pPr>
      <w:r w:rsidRPr="002F758A">
        <w:rPr>
          <w:rStyle w:val="listingtext"/>
          <w:rFonts w:ascii="Calibri" w:hAnsi="Calibri" w:cs="Calibri"/>
          <w:color w:val="404040"/>
        </w:rPr>
        <w:t xml:space="preserve">Legislative and Policy Framework </w:t>
      </w:r>
    </w:p>
    <w:p w14:paraId="0DD8F6F8" w14:textId="77777777" w:rsidR="00054218" w:rsidRPr="002F758A" w:rsidRDefault="00054218" w:rsidP="00155357">
      <w:pPr>
        <w:spacing w:line="276" w:lineRule="auto"/>
        <w:ind w:left="567" w:firstLine="142"/>
        <w:jc w:val="both"/>
        <w:rPr>
          <w:rFonts w:ascii="Calibri" w:hAnsi="Calibri"/>
          <w:color w:val="404040"/>
          <w:sz w:val="22"/>
        </w:rPr>
      </w:pPr>
      <w:r w:rsidRPr="002F758A">
        <w:rPr>
          <w:rFonts w:ascii="Calibri" w:hAnsi="Calibri"/>
          <w:color w:val="404040"/>
          <w:sz w:val="22"/>
        </w:rPr>
        <w:t>Planning (Listed Buildings and Conservation Areas) Act 1990</w:t>
      </w:r>
    </w:p>
    <w:p w14:paraId="578751AC" w14:textId="77777777" w:rsidR="004A3681" w:rsidRPr="002F758A" w:rsidRDefault="00054218" w:rsidP="00155357">
      <w:pPr>
        <w:pStyle w:val="BodyText"/>
        <w:numPr>
          <w:ilvl w:val="1"/>
          <w:numId w:val="25"/>
        </w:numPr>
        <w:spacing w:line="276" w:lineRule="auto"/>
        <w:ind w:left="709" w:hanging="709"/>
        <w:rPr>
          <w:rFonts w:ascii="Calibri" w:hAnsi="Calibri"/>
          <w:color w:val="404040"/>
          <w:sz w:val="22"/>
          <w:szCs w:val="22"/>
        </w:rPr>
      </w:pPr>
      <w:r w:rsidRPr="002F758A">
        <w:rPr>
          <w:rFonts w:ascii="Calibri" w:hAnsi="Calibri"/>
          <w:color w:val="404040"/>
          <w:sz w:val="22"/>
          <w:szCs w:val="22"/>
        </w:rPr>
        <w:t xml:space="preserve">Section 66 of the Act establishes a general duty for a planning authority, in considering whether to grant consent for a development which affects a listed building, to have special regard to the desirability of preserving a listed building or its setting or any features of special architectural or historical interest which it possesses.  A building is listed by virtue of its special architectural or historical interest (Section 1(1)). </w:t>
      </w:r>
    </w:p>
    <w:p w14:paraId="7D551B8E" w14:textId="77777777" w:rsidR="00054218" w:rsidRPr="002F758A" w:rsidRDefault="00054218" w:rsidP="00155357">
      <w:pPr>
        <w:pStyle w:val="BodyText"/>
        <w:numPr>
          <w:ilvl w:val="1"/>
          <w:numId w:val="25"/>
        </w:numPr>
        <w:spacing w:line="276" w:lineRule="auto"/>
        <w:ind w:left="709" w:hanging="709"/>
        <w:rPr>
          <w:rFonts w:ascii="Calibri" w:hAnsi="Calibri"/>
          <w:color w:val="404040"/>
          <w:sz w:val="22"/>
          <w:szCs w:val="22"/>
        </w:rPr>
      </w:pPr>
      <w:r w:rsidRPr="002F758A">
        <w:rPr>
          <w:rFonts w:ascii="Calibri" w:hAnsi="Calibri"/>
          <w:color w:val="404040"/>
          <w:sz w:val="22"/>
          <w:szCs w:val="22"/>
        </w:rPr>
        <w:t>Section 72 of the Act establishes a duty in the exercise of any function under the Act to pay special attention to the desirability of preserving or enhancing the character or appearance of a conservation area.  A conservation area is an area of local interest designated principally by the Local Planning Authority.</w:t>
      </w:r>
    </w:p>
    <w:p w14:paraId="450F2241" w14:textId="77777777" w:rsidR="00054218" w:rsidRPr="002F758A" w:rsidRDefault="00054218" w:rsidP="00155357">
      <w:pPr>
        <w:pStyle w:val="BodyText"/>
        <w:numPr>
          <w:ilvl w:val="0"/>
          <w:numId w:val="0"/>
        </w:numPr>
        <w:spacing w:after="0" w:line="276" w:lineRule="auto"/>
        <w:ind w:firstLine="709"/>
        <w:jc w:val="right"/>
        <w:rPr>
          <w:rFonts w:ascii="Calibri" w:hAnsi="Calibri"/>
          <w:color w:val="404040"/>
          <w:sz w:val="22"/>
          <w:szCs w:val="22"/>
        </w:rPr>
      </w:pPr>
      <w:r w:rsidRPr="002F758A">
        <w:rPr>
          <w:rFonts w:ascii="Calibri" w:hAnsi="Calibri"/>
          <w:color w:val="404040"/>
          <w:sz w:val="22"/>
          <w:szCs w:val="22"/>
        </w:rPr>
        <w:t>National Planning Policy Framework</w:t>
      </w:r>
    </w:p>
    <w:p w14:paraId="70A1E144" w14:textId="77777777" w:rsidR="00054218" w:rsidRPr="002F758A" w:rsidRDefault="00054218" w:rsidP="00155357">
      <w:pPr>
        <w:pStyle w:val="BodyText"/>
        <w:numPr>
          <w:ilvl w:val="1"/>
          <w:numId w:val="25"/>
        </w:numPr>
        <w:spacing w:line="276" w:lineRule="auto"/>
        <w:ind w:left="709" w:hanging="709"/>
        <w:rPr>
          <w:rFonts w:ascii="Calibri" w:hAnsi="Calibri"/>
          <w:color w:val="404040"/>
          <w:sz w:val="22"/>
          <w:szCs w:val="22"/>
        </w:rPr>
      </w:pPr>
      <w:r w:rsidRPr="002F758A">
        <w:rPr>
          <w:rFonts w:ascii="Calibri" w:hAnsi="Calibri"/>
          <w:color w:val="404040"/>
          <w:sz w:val="22"/>
          <w:szCs w:val="22"/>
        </w:rPr>
        <w:t xml:space="preserve">Section 12 of the National Planning Policy Framework (NPPF) deals with the consideration of cultural heritage assets and sets out the importance of being able to assess the impact of a development on the significance of heritage assets.  Significance is defined in Annex 2 as the value of an asset because of its heritage interest. This interest may be archaeological, architectural, artistic or historic and can extend to its setting. The setting of a heritage asset is defined in Annex 2 as the surroundings in which a heritage asset is </w:t>
      </w:r>
      <w:r w:rsidRPr="002F758A">
        <w:rPr>
          <w:rFonts w:ascii="Calibri" w:hAnsi="Calibri"/>
          <w:color w:val="404040"/>
          <w:sz w:val="22"/>
          <w:szCs w:val="22"/>
        </w:rPr>
        <w:lastRenderedPageBreak/>
        <w:t>experienced. Its extent is not fixed and may change as the asset and its surroundings evolve. A designated heritage asset is recognised by the NPPF to be a World Heritage Site, Scheduled Monument, Listed Building, Protected Wreck Site, Registered Park and Garden, Registered Battlefield or Conservation Area designated under the relevant legislation.</w:t>
      </w:r>
      <w:r w:rsidR="0088033D" w:rsidRPr="002F758A">
        <w:rPr>
          <w:rFonts w:ascii="Calibri" w:hAnsi="Calibri"/>
          <w:color w:val="404040"/>
          <w:sz w:val="22"/>
          <w:szCs w:val="22"/>
        </w:rPr>
        <w:t xml:space="preserve"> The framework </w:t>
      </w:r>
      <w:r w:rsidRPr="002F758A">
        <w:rPr>
          <w:rFonts w:ascii="Calibri" w:hAnsi="Calibri"/>
          <w:color w:val="404040"/>
          <w:sz w:val="22"/>
          <w:szCs w:val="22"/>
        </w:rPr>
        <w:t xml:space="preserve">recognises that a balance needs to be struck between the preservation of the significance of a heritage asset and delivering public benefit.  </w:t>
      </w:r>
      <w:r w:rsidR="008D3B5A" w:rsidRPr="002F758A">
        <w:rPr>
          <w:rFonts w:ascii="Calibri" w:hAnsi="Calibri"/>
          <w:color w:val="404040"/>
          <w:sz w:val="22"/>
          <w:szCs w:val="22"/>
        </w:rPr>
        <w:t>Regarding</w:t>
      </w:r>
      <w:r w:rsidRPr="002F758A">
        <w:rPr>
          <w:rFonts w:ascii="Calibri" w:hAnsi="Calibri"/>
          <w:color w:val="404040"/>
          <w:sz w:val="22"/>
          <w:szCs w:val="22"/>
        </w:rPr>
        <w:t xml:space="preserve"> designated assets, paragraph 132 states that the more important the asset, the greater the weight should be on its conservation. Distinction is drawn between those assets of highest significance and those of a lesser significance.  </w:t>
      </w:r>
    </w:p>
    <w:p w14:paraId="0D4BDCC0" w14:textId="77777777" w:rsidR="00394E06" w:rsidRPr="002F758A" w:rsidRDefault="00054218" w:rsidP="00155357">
      <w:pPr>
        <w:numPr>
          <w:ilvl w:val="1"/>
          <w:numId w:val="25"/>
        </w:numPr>
        <w:spacing w:line="276" w:lineRule="auto"/>
        <w:ind w:left="709" w:hanging="709"/>
        <w:jc w:val="both"/>
        <w:rPr>
          <w:rFonts w:ascii="Calibri" w:hAnsi="Calibri"/>
          <w:color w:val="404040"/>
          <w:sz w:val="22"/>
          <w:szCs w:val="22"/>
        </w:rPr>
      </w:pPr>
      <w:r w:rsidRPr="002F758A">
        <w:rPr>
          <w:rFonts w:ascii="Calibri" w:hAnsi="Calibri"/>
          <w:color w:val="404040"/>
          <w:sz w:val="22"/>
          <w:szCs w:val="22"/>
        </w:rPr>
        <w:t xml:space="preserve">The NPPF identifies harm as being either substantial or less than substantial. </w:t>
      </w:r>
      <w:r w:rsidR="0088033D" w:rsidRPr="002F758A">
        <w:rPr>
          <w:rFonts w:ascii="Calibri" w:hAnsi="Calibri"/>
          <w:color w:val="404040"/>
          <w:sz w:val="22"/>
          <w:szCs w:val="22"/>
        </w:rPr>
        <w:t>W</w:t>
      </w:r>
      <w:r w:rsidRPr="002F758A">
        <w:rPr>
          <w:rFonts w:ascii="Calibri" w:hAnsi="Calibri"/>
          <w:color w:val="404040"/>
          <w:sz w:val="22"/>
          <w:szCs w:val="22"/>
        </w:rPr>
        <w:t xml:space="preserve">here </w:t>
      </w:r>
      <w:r w:rsidR="0088033D" w:rsidRPr="002F758A">
        <w:rPr>
          <w:rFonts w:ascii="Calibri" w:hAnsi="Calibri"/>
          <w:color w:val="404040"/>
          <w:sz w:val="22"/>
          <w:szCs w:val="22"/>
        </w:rPr>
        <w:t>a</w:t>
      </w:r>
      <w:r w:rsidRPr="002F758A">
        <w:rPr>
          <w:rFonts w:ascii="Calibri" w:hAnsi="Calibri"/>
          <w:color w:val="404040"/>
          <w:sz w:val="22"/>
          <w:szCs w:val="22"/>
        </w:rPr>
        <w:t xml:space="preserve"> proposal would lead to substantial harm to significance consent should be refused unless the harm or loss is necessary to achieve substantial public benefit that outweighs that harm.  In cases where less than substantial harm to the significance of a designated asset is anticipated, paragraph 134 requires that this harm should be weighed against the public benefits of the proposal.  </w:t>
      </w:r>
    </w:p>
    <w:p w14:paraId="32606CB8" w14:textId="77777777" w:rsidR="00394E06" w:rsidRPr="002F758A" w:rsidRDefault="00394E06" w:rsidP="00155357">
      <w:pPr>
        <w:spacing w:before="240" w:line="276" w:lineRule="auto"/>
        <w:ind w:firstLine="709"/>
        <w:jc w:val="right"/>
        <w:rPr>
          <w:rFonts w:ascii="Calibri" w:hAnsi="Calibri"/>
          <w:i/>
          <w:color w:val="404040"/>
          <w:sz w:val="22"/>
          <w:szCs w:val="22"/>
        </w:rPr>
      </w:pPr>
      <w:r w:rsidRPr="002F758A">
        <w:rPr>
          <w:rFonts w:ascii="Calibri" w:hAnsi="Calibri"/>
          <w:i/>
          <w:color w:val="404040"/>
          <w:sz w:val="22"/>
          <w:szCs w:val="22"/>
        </w:rPr>
        <w:t>GPA2: Managing Significance in Decision Taking in the Historic Environment</w:t>
      </w:r>
    </w:p>
    <w:p w14:paraId="3837A6CF" w14:textId="77777777" w:rsidR="00394E06" w:rsidRPr="002F758A" w:rsidRDefault="00394E06" w:rsidP="00155357">
      <w:pPr>
        <w:pStyle w:val="ListParagraph"/>
        <w:spacing w:line="276" w:lineRule="auto"/>
        <w:rPr>
          <w:rFonts w:ascii="Calibri" w:hAnsi="Calibri"/>
          <w:i/>
          <w:color w:val="404040"/>
          <w:sz w:val="22"/>
          <w:szCs w:val="22"/>
        </w:rPr>
      </w:pPr>
    </w:p>
    <w:p w14:paraId="4A07367B" w14:textId="77777777" w:rsidR="0088033D" w:rsidRPr="002F758A" w:rsidRDefault="00394E06" w:rsidP="00155357">
      <w:pPr>
        <w:numPr>
          <w:ilvl w:val="1"/>
          <w:numId w:val="25"/>
        </w:numPr>
        <w:spacing w:after="240" w:line="276" w:lineRule="auto"/>
        <w:ind w:left="709" w:hanging="709"/>
        <w:jc w:val="both"/>
        <w:rPr>
          <w:rFonts w:ascii="Calibri" w:hAnsi="Calibri"/>
          <w:color w:val="404040"/>
          <w:sz w:val="22"/>
          <w:szCs w:val="22"/>
        </w:rPr>
      </w:pPr>
      <w:r w:rsidRPr="002F758A">
        <w:rPr>
          <w:rFonts w:ascii="Calibri" w:hAnsi="Calibri"/>
          <w:color w:val="404040"/>
          <w:sz w:val="22"/>
          <w:szCs w:val="22"/>
        </w:rPr>
        <w:t xml:space="preserve">This document provides advice on how decision-taking in the historic environment should be undertaken, emphasising that the importance of identifying, and understanding the significance of, any affected heritage asset and the contribution of their settings towards their significance. The advice reiterates that heritage assets may be affected by direct physical change or by change in their setting. The document sets out the recommended steps for assessing significance and the impact of development proposals upon it, including examining the asset and its setting and analysing local policies and information sources. </w:t>
      </w:r>
    </w:p>
    <w:p w14:paraId="11C1DA03" w14:textId="77777777" w:rsidR="00394E06" w:rsidRPr="002F758A" w:rsidRDefault="00394E06" w:rsidP="00155357">
      <w:pPr>
        <w:spacing w:after="240" w:line="276" w:lineRule="auto"/>
        <w:ind w:left="1582"/>
        <w:jc w:val="right"/>
        <w:rPr>
          <w:rFonts w:ascii="Calibri" w:hAnsi="Calibri"/>
          <w:i/>
          <w:color w:val="404040"/>
          <w:sz w:val="22"/>
          <w:szCs w:val="22"/>
        </w:rPr>
      </w:pPr>
      <w:r w:rsidRPr="002F758A">
        <w:rPr>
          <w:rFonts w:ascii="Calibri" w:hAnsi="Calibri"/>
          <w:i/>
          <w:color w:val="404040"/>
          <w:sz w:val="22"/>
          <w:szCs w:val="22"/>
        </w:rPr>
        <w:t>GPA3: The Setting of Heritage Assets</w:t>
      </w:r>
    </w:p>
    <w:p w14:paraId="54D569F3" w14:textId="77777777" w:rsidR="00394E06" w:rsidRPr="002F758A" w:rsidRDefault="00394E06" w:rsidP="00155357">
      <w:pPr>
        <w:numPr>
          <w:ilvl w:val="1"/>
          <w:numId w:val="25"/>
        </w:numPr>
        <w:spacing w:after="240" w:line="276" w:lineRule="auto"/>
        <w:ind w:left="709" w:hanging="709"/>
        <w:jc w:val="both"/>
        <w:rPr>
          <w:rFonts w:ascii="Calibri" w:hAnsi="Calibri"/>
          <w:color w:val="404040"/>
          <w:sz w:val="22"/>
          <w:szCs w:val="22"/>
        </w:rPr>
      </w:pPr>
      <w:r w:rsidRPr="002F758A">
        <w:rPr>
          <w:rFonts w:ascii="Calibri" w:hAnsi="Calibri"/>
          <w:color w:val="404040"/>
          <w:sz w:val="22"/>
          <w:szCs w:val="22"/>
        </w:rPr>
        <w:t>This advice note focuses on the management of change within the setting of heritage assets. This document is an update to guidance previously published by Historic England</w:t>
      </w:r>
      <w:r w:rsidR="00A6376D" w:rsidRPr="002F758A">
        <w:rPr>
          <w:rFonts w:ascii="Calibri" w:hAnsi="Calibri"/>
          <w:color w:val="404040"/>
          <w:sz w:val="22"/>
          <w:szCs w:val="22"/>
        </w:rPr>
        <w:t xml:space="preserve"> </w:t>
      </w:r>
      <w:r w:rsidRPr="002F758A">
        <w:rPr>
          <w:rFonts w:ascii="Calibri" w:hAnsi="Calibri"/>
          <w:color w:val="404040"/>
          <w:sz w:val="22"/>
          <w:szCs w:val="22"/>
        </w:rPr>
        <w:t xml:space="preserve">(The Setting of Heritage Assets 2011) </w:t>
      </w:r>
      <w:r w:rsidR="008D3B5A" w:rsidRPr="002F758A">
        <w:rPr>
          <w:rFonts w:ascii="Calibri" w:hAnsi="Calibri"/>
          <w:color w:val="404040"/>
          <w:sz w:val="22"/>
          <w:szCs w:val="22"/>
        </w:rPr>
        <w:t>to</w:t>
      </w:r>
      <w:r w:rsidRPr="002F758A">
        <w:rPr>
          <w:rFonts w:ascii="Calibri" w:hAnsi="Calibri"/>
          <w:color w:val="404040"/>
          <w:sz w:val="22"/>
          <w:szCs w:val="22"/>
        </w:rPr>
        <w:t xml:space="preserve"> ensure that it is fully NPPF </w:t>
      </w:r>
      <w:r w:rsidR="00A6376D" w:rsidRPr="002F758A">
        <w:rPr>
          <w:rFonts w:ascii="Calibri" w:hAnsi="Calibri"/>
          <w:color w:val="404040"/>
          <w:sz w:val="22"/>
          <w:szCs w:val="22"/>
        </w:rPr>
        <w:t>compliant and</w:t>
      </w:r>
      <w:r w:rsidRPr="002F758A">
        <w:rPr>
          <w:rFonts w:ascii="Calibri" w:hAnsi="Calibri"/>
          <w:color w:val="404040"/>
          <w:sz w:val="22"/>
          <w:szCs w:val="22"/>
        </w:rPr>
        <w:t xml:space="preserve"> is intended to assist historic environment practitioners in approaching and implementing national policy and guidance. The guidance </w:t>
      </w:r>
      <w:r w:rsidR="008D3B5A" w:rsidRPr="002F758A">
        <w:rPr>
          <w:rFonts w:ascii="Calibri" w:hAnsi="Calibri"/>
          <w:color w:val="404040"/>
          <w:sz w:val="22"/>
          <w:szCs w:val="22"/>
        </w:rPr>
        <w:t>is,</w:t>
      </w:r>
      <w:r w:rsidRPr="002F758A">
        <w:rPr>
          <w:rFonts w:ascii="Calibri" w:hAnsi="Calibri"/>
          <w:color w:val="404040"/>
          <w:sz w:val="22"/>
          <w:szCs w:val="22"/>
        </w:rPr>
        <w:t xml:space="preserve"> a continuation of the approach advocated by the 2011 document, and there is now a clear continuation in the way in which setting is identified, and its assessment is intended to be approached, across the NPPF, PPG and Historic England’s own guidance. Setting is defined</w:t>
      </w:r>
      <w:r w:rsidR="0088033D" w:rsidRPr="002F758A">
        <w:rPr>
          <w:rFonts w:ascii="Calibri" w:hAnsi="Calibri"/>
          <w:color w:val="404040"/>
          <w:sz w:val="22"/>
          <w:szCs w:val="22"/>
        </w:rPr>
        <w:t xml:space="preserve"> </w:t>
      </w:r>
      <w:r w:rsidRPr="002F758A">
        <w:rPr>
          <w:rFonts w:ascii="Calibri" w:hAnsi="Calibri"/>
          <w:color w:val="404040"/>
          <w:sz w:val="22"/>
          <w:szCs w:val="22"/>
        </w:rPr>
        <w:t>as ‘the surroundings in which a heritage asset is experienced. Its extent is not fixed and may change as the asset and its surroundings evolve’. Setting is also described as being a separate term to curtilage, character and context. The guidance emphasises that setting is not a heritage asset, nor a heritage designation and that its importance lies in what it contributes to the significance of the heritage asset. It also states that elements of setting may make a positive, negative or neutral contribution to the significance of the heritage asset.</w:t>
      </w:r>
    </w:p>
    <w:p w14:paraId="1A4E6659" w14:textId="77777777" w:rsidR="00394E06" w:rsidRPr="002F758A" w:rsidRDefault="00394E06" w:rsidP="00155357">
      <w:pPr>
        <w:numPr>
          <w:ilvl w:val="1"/>
          <w:numId w:val="25"/>
        </w:numPr>
        <w:spacing w:after="240" w:line="276" w:lineRule="auto"/>
        <w:ind w:left="709" w:hanging="709"/>
        <w:jc w:val="both"/>
        <w:rPr>
          <w:rFonts w:ascii="Calibri" w:hAnsi="Calibri"/>
          <w:color w:val="404040"/>
          <w:sz w:val="22"/>
          <w:szCs w:val="22"/>
        </w:rPr>
      </w:pPr>
      <w:r w:rsidRPr="002F758A">
        <w:rPr>
          <w:rFonts w:ascii="Calibri" w:hAnsi="Calibri"/>
          <w:color w:val="404040"/>
          <w:sz w:val="22"/>
          <w:szCs w:val="22"/>
        </w:rPr>
        <w:lastRenderedPageBreak/>
        <w:t xml:space="preserve">While setting </w:t>
      </w:r>
      <w:r w:rsidR="008D3B5A" w:rsidRPr="002F758A">
        <w:rPr>
          <w:rFonts w:ascii="Calibri" w:hAnsi="Calibri"/>
          <w:color w:val="404040"/>
          <w:sz w:val="22"/>
          <w:szCs w:val="22"/>
        </w:rPr>
        <w:t>is</w:t>
      </w:r>
      <w:r w:rsidRPr="002F758A">
        <w:rPr>
          <w:rFonts w:ascii="Calibri" w:hAnsi="Calibri"/>
          <w:color w:val="404040"/>
          <w:sz w:val="22"/>
          <w:szCs w:val="22"/>
        </w:rPr>
        <w:t xml:space="preserve"> largely experienced in visual terms (with views </w:t>
      </w:r>
      <w:r w:rsidR="008D3B5A" w:rsidRPr="002F758A">
        <w:rPr>
          <w:rFonts w:ascii="Calibri" w:hAnsi="Calibri"/>
          <w:color w:val="404040"/>
          <w:sz w:val="22"/>
          <w:szCs w:val="22"/>
        </w:rPr>
        <w:t>being</w:t>
      </w:r>
      <w:r w:rsidRPr="002F758A">
        <w:rPr>
          <w:rFonts w:ascii="Calibri" w:hAnsi="Calibri"/>
          <w:color w:val="404040"/>
          <w:sz w:val="22"/>
          <w:szCs w:val="22"/>
        </w:rPr>
        <w:t xml:space="preserve"> an important consideration in any assessment of the contribution that setting makes to the significance of an asset), setting can also be heavily impacted upon by other environmental factors including noise, vibration and odour. Further, setting may also incorporate perceptual and associational attributes (including designed or incidental historic relationships) pertaining to the asset’s surroundings.</w:t>
      </w:r>
    </w:p>
    <w:p w14:paraId="4CB91A5B" w14:textId="77777777" w:rsidR="00291148" w:rsidRPr="002F758A" w:rsidRDefault="0088033D" w:rsidP="00155357">
      <w:pPr>
        <w:numPr>
          <w:ilvl w:val="1"/>
          <w:numId w:val="25"/>
        </w:numPr>
        <w:spacing w:after="240" w:line="276" w:lineRule="auto"/>
        <w:ind w:left="709" w:hanging="709"/>
        <w:jc w:val="both"/>
        <w:rPr>
          <w:rFonts w:ascii="Calibri" w:hAnsi="Calibri"/>
          <w:color w:val="404040"/>
          <w:sz w:val="22"/>
          <w:szCs w:val="22"/>
        </w:rPr>
      </w:pPr>
      <w:r w:rsidRPr="002F758A">
        <w:rPr>
          <w:rFonts w:ascii="Calibri" w:hAnsi="Calibri"/>
          <w:color w:val="404040"/>
          <w:sz w:val="22"/>
          <w:szCs w:val="22"/>
        </w:rPr>
        <w:t>P</w:t>
      </w:r>
      <w:r w:rsidR="00394E06" w:rsidRPr="002F758A">
        <w:rPr>
          <w:rFonts w:ascii="Calibri" w:hAnsi="Calibri"/>
          <w:color w:val="404040"/>
          <w:sz w:val="22"/>
          <w:szCs w:val="22"/>
        </w:rPr>
        <w:t>ractical and proportionate decision making</w:t>
      </w:r>
      <w:r w:rsidRPr="002F758A">
        <w:rPr>
          <w:rFonts w:ascii="Calibri" w:hAnsi="Calibri"/>
          <w:color w:val="404040"/>
          <w:sz w:val="22"/>
          <w:szCs w:val="22"/>
        </w:rPr>
        <w:t xml:space="preserve"> is advocated within guidance</w:t>
      </w:r>
      <w:r w:rsidR="00394E06" w:rsidRPr="002F758A">
        <w:rPr>
          <w:rFonts w:ascii="Calibri" w:hAnsi="Calibri"/>
          <w:color w:val="404040"/>
          <w:sz w:val="22"/>
          <w:szCs w:val="22"/>
        </w:rPr>
        <w:t xml:space="preserve"> with regards to the management of proposed development and the setting of heritage assets. It is stated that the protection of the setting of a heritage asset need not prevent change, and that settings may change without the generation of harm to significance; changes within the setting of a heritage asset may have positive, negative or neutral effects. It is stated that the contribution made to the significance of heritage assets by their settings will vary depending on the nature of the heritage asset and its setting and that different heritage assets may have different abilities to accommodate change within their settings without harming the significance of the asset and therefore setting should be assessed on a case-by-case basis. </w:t>
      </w:r>
    </w:p>
    <w:p w14:paraId="7434ED79" w14:textId="77777777" w:rsidR="00394E06" w:rsidRPr="002F758A" w:rsidRDefault="00394E06" w:rsidP="00291148">
      <w:pPr>
        <w:spacing w:after="240" w:line="276" w:lineRule="auto"/>
        <w:jc w:val="both"/>
        <w:rPr>
          <w:rFonts w:ascii="Calibri" w:hAnsi="Calibri"/>
          <w:color w:val="404040"/>
          <w:sz w:val="22"/>
          <w:szCs w:val="22"/>
        </w:rPr>
      </w:pPr>
    </w:p>
    <w:p w14:paraId="2D8721AF" w14:textId="77777777" w:rsidR="00291148" w:rsidRPr="002F758A" w:rsidRDefault="00291148" w:rsidP="00291148">
      <w:pPr>
        <w:spacing w:after="240" w:line="276" w:lineRule="auto"/>
        <w:jc w:val="both"/>
        <w:rPr>
          <w:rFonts w:ascii="Calibri" w:hAnsi="Calibri"/>
          <w:color w:val="404040"/>
          <w:sz w:val="22"/>
          <w:szCs w:val="22"/>
        </w:rPr>
      </w:pPr>
    </w:p>
    <w:p w14:paraId="3424119D" w14:textId="77777777" w:rsidR="00291148" w:rsidRPr="002F758A" w:rsidRDefault="00291148" w:rsidP="00291148">
      <w:pPr>
        <w:spacing w:after="240" w:line="276" w:lineRule="auto"/>
        <w:jc w:val="both"/>
        <w:rPr>
          <w:rFonts w:ascii="Calibri" w:hAnsi="Calibri"/>
          <w:color w:val="404040"/>
          <w:sz w:val="22"/>
          <w:szCs w:val="22"/>
        </w:rPr>
      </w:pPr>
    </w:p>
    <w:p w14:paraId="66C4821C" w14:textId="77777777" w:rsidR="00291148" w:rsidRPr="002F758A" w:rsidRDefault="00291148" w:rsidP="00291148">
      <w:pPr>
        <w:spacing w:after="240" w:line="276" w:lineRule="auto"/>
        <w:jc w:val="both"/>
        <w:rPr>
          <w:rFonts w:ascii="Calibri" w:hAnsi="Calibri"/>
          <w:color w:val="404040"/>
          <w:sz w:val="22"/>
          <w:szCs w:val="22"/>
        </w:rPr>
      </w:pPr>
    </w:p>
    <w:p w14:paraId="1BC0505B" w14:textId="77777777" w:rsidR="00291148" w:rsidRPr="002F758A" w:rsidRDefault="00291148" w:rsidP="00291148">
      <w:pPr>
        <w:spacing w:after="240" w:line="276" w:lineRule="auto"/>
        <w:jc w:val="both"/>
        <w:rPr>
          <w:rFonts w:ascii="Calibri" w:hAnsi="Calibri"/>
          <w:color w:val="404040"/>
          <w:sz w:val="22"/>
          <w:szCs w:val="22"/>
        </w:rPr>
      </w:pPr>
    </w:p>
    <w:p w14:paraId="3BD760EA" w14:textId="77777777" w:rsidR="00291148" w:rsidRPr="002F758A" w:rsidRDefault="00291148" w:rsidP="00291148">
      <w:pPr>
        <w:spacing w:after="240" w:line="276" w:lineRule="auto"/>
        <w:jc w:val="both"/>
        <w:rPr>
          <w:rFonts w:ascii="Calibri" w:hAnsi="Calibri"/>
          <w:color w:val="404040"/>
          <w:sz w:val="22"/>
          <w:szCs w:val="22"/>
        </w:rPr>
      </w:pPr>
    </w:p>
    <w:p w14:paraId="50ADD124" w14:textId="77777777" w:rsidR="00291148" w:rsidRPr="002F758A" w:rsidRDefault="00291148" w:rsidP="00291148">
      <w:pPr>
        <w:spacing w:after="240" w:line="276" w:lineRule="auto"/>
        <w:jc w:val="both"/>
        <w:rPr>
          <w:rFonts w:ascii="Calibri" w:hAnsi="Calibri"/>
          <w:color w:val="404040"/>
          <w:sz w:val="22"/>
          <w:szCs w:val="22"/>
        </w:rPr>
      </w:pPr>
    </w:p>
    <w:p w14:paraId="373D2DA4" w14:textId="77777777" w:rsidR="00291148" w:rsidRPr="002F758A" w:rsidRDefault="00291148" w:rsidP="00291148">
      <w:pPr>
        <w:spacing w:after="240" w:line="276" w:lineRule="auto"/>
        <w:jc w:val="both"/>
        <w:rPr>
          <w:rFonts w:ascii="Calibri" w:hAnsi="Calibri"/>
          <w:color w:val="404040"/>
          <w:sz w:val="22"/>
          <w:szCs w:val="22"/>
        </w:rPr>
      </w:pPr>
    </w:p>
    <w:p w14:paraId="410CC512" w14:textId="77777777" w:rsidR="00291148" w:rsidRPr="002F758A" w:rsidRDefault="00291148" w:rsidP="00291148">
      <w:pPr>
        <w:spacing w:after="240" w:line="276" w:lineRule="auto"/>
        <w:jc w:val="both"/>
        <w:rPr>
          <w:rFonts w:ascii="Calibri" w:hAnsi="Calibri"/>
          <w:color w:val="404040"/>
          <w:sz w:val="22"/>
          <w:szCs w:val="22"/>
        </w:rPr>
      </w:pPr>
    </w:p>
    <w:p w14:paraId="21F10ADF" w14:textId="77777777" w:rsidR="00291148" w:rsidRPr="002F758A" w:rsidRDefault="00291148" w:rsidP="00291148">
      <w:pPr>
        <w:spacing w:after="240" w:line="276" w:lineRule="auto"/>
        <w:jc w:val="both"/>
        <w:rPr>
          <w:rFonts w:ascii="Calibri" w:hAnsi="Calibri"/>
          <w:color w:val="404040"/>
          <w:sz w:val="22"/>
          <w:szCs w:val="22"/>
        </w:rPr>
      </w:pPr>
    </w:p>
    <w:p w14:paraId="373AE3DB" w14:textId="77777777" w:rsidR="00291148" w:rsidRPr="002F758A" w:rsidRDefault="00291148" w:rsidP="00291148">
      <w:pPr>
        <w:spacing w:after="240" w:line="276" w:lineRule="auto"/>
        <w:jc w:val="both"/>
        <w:rPr>
          <w:rFonts w:ascii="Calibri" w:hAnsi="Calibri"/>
          <w:color w:val="404040"/>
          <w:sz w:val="22"/>
          <w:szCs w:val="22"/>
        </w:rPr>
      </w:pPr>
    </w:p>
    <w:p w14:paraId="6944100A" w14:textId="77777777" w:rsidR="00291148" w:rsidRPr="002F758A" w:rsidRDefault="00291148" w:rsidP="00291148">
      <w:pPr>
        <w:spacing w:after="240" w:line="276" w:lineRule="auto"/>
        <w:jc w:val="both"/>
        <w:rPr>
          <w:rFonts w:ascii="Calibri" w:hAnsi="Calibri"/>
          <w:color w:val="404040"/>
          <w:sz w:val="22"/>
          <w:szCs w:val="22"/>
        </w:rPr>
      </w:pPr>
    </w:p>
    <w:p w14:paraId="73283469" w14:textId="77777777" w:rsidR="00291148" w:rsidRPr="002F758A" w:rsidRDefault="00291148" w:rsidP="00291148">
      <w:pPr>
        <w:spacing w:after="240" w:line="276" w:lineRule="auto"/>
        <w:jc w:val="both"/>
        <w:rPr>
          <w:rFonts w:ascii="Calibri" w:hAnsi="Calibri"/>
          <w:color w:val="404040"/>
          <w:sz w:val="22"/>
          <w:szCs w:val="22"/>
        </w:rPr>
      </w:pPr>
    </w:p>
    <w:p w14:paraId="686F85BF" w14:textId="77777777" w:rsidR="00291148" w:rsidRPr="002F758A" w:rsidRDefault="00291148" w:rsidP="00291148">
      <w:pPr>
        <w:spacing w:after="240" w:line="276" w:lineRule="auto"/>
        <w:jc w:val="both"/>
        <w:rPr>
          <w:rFonts w:ascii="Calibri" w:hAnsi="Calibri"/>
          <w:color w:val="404040"/>
          <w:sz w:val="22"/>
          <w:szCs w:val="22"/>
        </w:rPr>
      </w:pPr>
    </w:p>
    <w:p w14:paraId="196AD5EB" w14:textId="77777777" w:rsidR="00291148" w:rsidRPr="002F758A" w:rsidRDefault="00291148" w:rsidP="00291148">
      <w:pPr>
        <w:spacing w:after="240" w:line="276" w:lineRule="auto"/>
        <w:jc w:val="both"/>
        <w:rPr>
          <w:rFonts w:ascii="Calibri" w:hAnsi="Calibri"/>
          <w:color w:val="404040"/>
          <w:sz w:val="22"/>
          <w:szCs w:val="22"/>
        </w:rPr>
      </w:pPr>
    </w:p>
    <w:p w14:paraId="329D5092" w14:textId="77777777" w:rsidR="0052092D" w:rsidRPr="002F758A" w:rsidRDefault="00155357" w:rsidP="00155357">
      <w:pPr>
        <w:numPr>
          <w:ilvl w:val="0"/>
          <w:numId w:val="25"/>
        </w:numPr>
        <w:spacing w:line="276" w:lineRule="auto"/>
        <w:ind w:left="709" w:hanging="709"/>
        <w:jc w:val="both"/>
        <w:rPr>
          <w:rStyle w:val="listingtext"/>
          <w:rFonts w:ascii="Calibri" w:hAnsi="Calibri" w:cs="Calibri"/>
          <w:color w:val="404040"/>
        </w:rPr>
      </w:pPr>
      <w:r w:rsidRPr="002F758A">
        <w:rPr>
          <w:rStyle w:val="listingtext"/>
          <w:rFonts w:ascii="Calibri" w:hAnsi="Calibri" w:cs="Calibri"/>
          <w:color w:val="404040"/>
        </w:rPr>
        <w:lastRenderedPageBreak/>
        <w:t>I</w:t>
      </w:r>
      <w:r w:rsidR="0052092D" w:rsidRPr="002F758A">
        <w:rPr>
          <w:rStyle w:val="listingtext"/>
          <w:rFonts w:ascii="Calibri" w:hAnsi="Calibri" w:cs="Calibri"/>
          <w:color w:val="404040"/>
        </w:rPr>
        <w:t>mpact Assessment</w:t>
      </w:r>
    </w:p>
    <w:p w14:paraId="5828AD5B" w14:textId="77777777" w:rsidR="00095346" w:rsidRPr="002F758A" w:rsidRDefault="008F00CA" w:rsidP="00155357">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It is accepted that the</w:t>
      </w:r>
      <w:r w:rsidR="00BE6409" w:rsidRPr="002F758A">
        <w:rPr>
          <w:rFonts w:ascii="Calibri" w:hAnsi="Calibri" w:cs="Calibri"/>
          <w:color w:val="404040"/>
          <w:sz w:val="22"/>
        </w:rPr>
        <w:t xml:space="preserve"> </w:t>
      </w:r>
      <w:r w:rsidR="0052092D" w:rsidRPr="002F758A">
        <w:rPr>
          <w:rFonts w:ascii="Calibri" w:hAnsi="Calibri" w:cs="Calibri"/>
          <w:color w:val="404040"/>
          <w:sz w:val="22"/>
        </w:rPr>
        <w:t xml:space="preserve">application sites </w:t>
      </w:r>
      <w:r w:rsidR="00BE6409" w:rsidRPr="002F758A">
        <w:rPr>
          <w:rFonts w:ascii="Calibri" w:hAnsi="Calibri" w:cs="Calibri"/>
          <w:color w:val="404040"/>
          <w:sz w:val="22"/>
        </w:rPr>
        <w:t xml:space="preserve">adjoin a </w:t>
      </w:r>
      <w:r w:rsidR="000D48CF" w:rsidRPr="002F758A">
        <w:rPr>
          <w:rFonts w:ascii="Calibri" w:hAnsi="Calibri" w:cs="Calibri"/>
          <w:color w:val="404040"/>
          <w:sz w:val="22"/>
        </w:rPr>
        <w:t>listed b</w:t>
      </w:r>
      <w:r w:rsidR="00BE6409" w:rsidRPr="002F758A">
        <w:rPr>
          <w:rFonts w:ascii="Calibri" w:hAnsi="Calibri" w:cs="Calibri"/>
          <w:color w:val="404040"/>
          <w:sz w:val="22"/>
        </w:rPr>
        <w:t>uilding</w:t>
      </w:r>
      <w:r w:rsidR="0052092D" w:rsidRPr="002F758A">
        <w:rPr>
          <w:rFonts w:ascii="Calibri" w:hAnsi="Calibri" w:cs="Calibri"/>
          <w:color w:val="404040"/>
          <w:sz w:val="22"/>
        </w:rPr>
        <w:t xml:space="preserve">, </w:t>
      </w:r>
      <w:r w:rsidR="000D48CF" w:rsidRPr="002F758A">
        <w:rPr>
          <w:rFonts w:ascii="Calibri" w:hAnsi="Calibri" w:cs="Calibri"/>
          <w:color w:val="404040"/>
          <w:sz w:val="22"/>
        </w:rPr>
        <w:t>or rather listed buildings that together form a grouping covering three retail streets within the town centre.</w:t>
      </w:r>
      <w:r w:rsidR="00ED1A72" w:rsidRPr="002F758A">
        <w:rPr>
          <w:rFonts w:ascii="Calibri" w:hAnsi="Calibri" w:cs="Calibri"/>
          <w:color w:val="404040"/>
          <w:sz w:val="22"/>
        </w:rPr>
        <w:t xml:space="preserve"> The freestanding units will not be affixed to any building but be positioned</w:t>
      </w:r>
      <w:r w:rsidR="00347E67" w:rsidRPr="002F758A">
        <w:rPr>
          <w:rFonts w:ascii="Calibri" w:hAnsi="Calibri" w:cs="Calibri"/>
          <w:color w:val="404040"/>
          <w:sz w:val="22"/>
        </w:rPr>
        <w:t xml:space="preserve"> within an expansive paved area, which itself is a modern intervention into the street. </w:t>
      </w:r>
      <w:r w:rsidR="000D48CF" w:rsidRPr="002F758A">
        <w:rPr>
          <w:rFonts w:ascii="Calibri" w:hAnsi="Calibri" w:cs="Calibri"/>
          <w:color w:val="404040"/>
          <w:sz w:val="22"/>
        </w:rPr>
        <w:t>The group listing is of Grade II significance and from the detail of the listing description accept</w:t>
      </w:r>
      <w:r w:rsidR="00A002B9" w:rsidRPr="002F758A">
        <w:rPr>
          <w:rFonts w:ascii="Calibri" w:hAnsi="Calibri" w:cs="Calibri"/>
          <w:color w:val="404040"/>
          <w:sz w:val="22"/>
        </w:rPr>
        <w:t>s</w:t>
      </w:r>
      <w:r w:rsidR="000D48CF" w:rsidRPr="002F758A">
        <w:rPr>
          <w:rFonts w:ascii="Calibri" w:hAnsi="Calibri" w:cs="Calibri"/>
          <w:color w:val="404040"/>
          <w:sz w:val="22"/>
        </w:rPr>
        <w:t xml:space="preserve"> that the upper floors of the 3 ½ storey buildings are the most valued aspect of the whole. It is also recognised</w:t>
      </w:r>
      <w:r w:rsidR="00A002B9" w:rsidRPr="002F758A">
        <w:rPr>
          <w:rFonts w:ascii="Calibri" w:hAnsi="Calibri" w:cs="Calibri"/>
          <w:color w:val="404040"/>
          <w:sz w:val="22"/>
        </w:rPr>
        <w:t>, even at the time of listing in the late 1970’s,</w:t>
      </w:r>
      <w:r w:rsidR="000D48CF" w:rsidRPr="002F758A">
        <w:rPr>
          <w:rFonts w:ascii="Calibri" w:hAnsi="Calibri" w:cs="Calibri"/>
          <w:color w:val="404040"/>
          <w:sz w:val="22"/>
        </w:rPr>
        <w:t xml:space="preserve"> that the ground floor street level frontages are modern in design</w:t>
      </w:r>
      <w:r w:rsidR="00A002B9" w:rsidRPr="002F758A">
        <w:rPr>
          <w:rFonts w:ascii="Calibri" w:hAnsi="Calibri" w:cs="Calibri"/>
          <w:color w:val="404040"/>
          <w:sz w:val="22"/>
        </w:rPr>
        <w:t xml:space="preserve"> with only one having existed pre WWII.</w:t>
      </w:r>
    </w:p>
    <w:p w14:paraId="2B8F5E5E" w14:textId="58811AA3" w:rsidR="00A002B9" w:rsidRDefault="000D48CF" w:rsidP="00095346">
      <w:pPr>
        <w:spacing w:before="100" w:beforeAutospacing="1" w:after="180"/>
        <w:ind w:left="720"/>
        <w:jc w:val="both"/>
        <w:rPr>
          <w:noProof/>
        </w:rPr>
      </w:pPr>
      <w:r w:rsidRPr="002F758A">
        <w:rPr>
          <w:rFonts w:ascii="Calibri" w:hAnsi="Calibri" w:cs="Calibri"/>
          <w:color w:val="404040"/>
          <w:sz w:val="22"/>
        </w:rPr>
        <w:t xml:space="preserve">      </w:t>
      </w:r>
      <w:r w:rsidR="000514AE">
        <w:rPr>
          <w:noProof/>
          <w:lang w:eastAsia="en-GB"/>
        </w:rPr>
        <w:drawing>
          <wp:inline distT="0" distB="0" distL="0" distR="0" wp14:anchorId="7D9B5D98" wp14:editId="4D412DA6">
            <wp:extent cx="4701540" cy="2872740"/>
            <wp:effectExtent l="0" t="0" r="0" b="0"/>
            <wp:docPr id="1" name="Picture 1" descr="Reading, Queen Victoria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ing, Queen Victoria Street"/>
                    <pic:cNvPicPr>
                      <a:picLocks noChangeAspect="1" noChangeArrowheads="1"/>
                    </pic:cNvPicPr>
                  </pic:nvPicPr>
                  <pic:blipFill>
                    <a:blip r:embed="rId10">
                      <a:extLst>
                        <a:ext uri="{28A0092B-C50C-407E-A947-70E740481C1C}">
                          <a14:useLocalDpi xmlns:a14="http://schemas.microsoft.com/office/drawing/2010/main" val="0"/>
                        </a:ext>
                      </a:extLst>
                    </a:blip>
                    <a:srcRect b="8098"/>
                    <a:stretch>
                      <a:fillRect/>
                    </a:stretch>
                  </pic:blipFill>
                  <pic:spPr bwMode="auto">
                    <a:xfrm>
                      <a:off x="0" y="0"/>
                      <a:ext cx="4701540" cy="2872740"/>
                    </a:xfrm>
                    <a:prstGeom prst="rect">
                      <a:avLst/>
                    </a:prstGeom>
                    <a:noFill/>
                    <a:ln>
                      <a:noFill/>
                    </a:ln>
                  </pic:spPr>
                </pic:pic>
              </a:graphicData>
            </a:graphic>
          </wp:inline>
        </w:drawing>
      </w:r>
    </w:p>
    <w:p w14:paraId="3623FB9D" w14:textId="77777777" w:rsidR="004327BC" w:rsidRPr="002F758A" w:rsidRDefault="004327BC" w:rsidP="004327BC">
      <w:pPr>
        <w:spacing w:before="100" w:beforeAutospacing="1" w:after="180"/>
        <w:ind w:left="720"/>
        <w:jc w:val="center"/>
        <w:rPr>
          <w:rFonts w:ascii="Calibri" w:hAnsi="Calibri" w:cs="Calibri"/>
          <w:color w:val="404040"/>
          <w:sz w:val="20"/>
        </w:rPr>
      </w:pPr>
      <w:r w:rsidRPr="002F758A">
        <w:rPr>
          <w:rFonts w:ascii="Calibri" w:hAnsi="Calibri" w:cs="Calibri"/>
          <w:color w:val="404040"/>
          <w:sz w:val="20"/>
        </w:rPr>
        <w:t>Early 20</w:t>
      </w:r>
      <w:r w:rsidRPr="002F758A">
        <w:rPr>
          <w:rFonts w:ascii="Calibri" w:hAnsi="Calibri" w:cs="Calibri"/>
          <w:color w:val="404040"/>
          <w:sz w:val="20"/>
          <w:vertAlign w:val="superscript"/>
        </w:rPr>
        <w:t>th</w:t>
      </w:r>
      <w:r w:rsidRPr="002F758A">
        <w:rPr>
          <w:rFonts w:ascii="Calibri" w:hAnsi="Calibri" w:cs="Calibri"/>
          <w:color w:val="404040"/>
          <w:sz w:val="20"/>
        </w:rPr>
        <w:t xml:space="preserve"> Century view of the Street</w:t>
      </w:r>
    </w:p>
    <w:p w14:paraId="1D788A1B" w14:textId="77777777" w:rsidR="00FA4D58" w:rsidRPr="002F758A" w:rsidRDefault="00A002B9" w:rsidP="00155357">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It is perhaps not surprising that the street level presentation of the buildings ha</w:t>
      </w:r>
      <w:r w:rsidR="00F76109" w:rsidRPr="002F758A">
        <w:rPr>
          <w:rFonts w:ascii="Calibri" w:hAnsi="Calibri" w:cs="Calibri"/>
          <w:color w:val="404040"/>
          <w:sz w:val="22"/>
        </w:rPr>
        <w:t>s</w:t>
      </w:r>
      <w:r w:rsidRPr="002F758A">
        <w:rPr>
          <w:rFonts w:ascii="Calibri" w:hAnsi="Calibri" w:cs="Calibri"/>
          <w:color w:val="404040"/>
          <w:sz w:val="22"/>
        </w:rPr>
        <w:t xml:space="preserve"> changed over the years and will, given the commercial nature of the centre, continue to change and evolve to meet the needs of retailers.</w:t>
      </w:r>
      <w:r w:rsidR="00D574EF" w:rsidRPr="002F758A">
        <w:rPr>
          <w:rFonts w:ascii="Calibri" w:hAnsi="Calibri" w:cs="Calibri"/>
          <w:color w:val="404040"/>
          <w:sz w:val="22"/>
        </w:rPr>
        <w:t xml:space="preserve"> Such alterations must of course reflect the setting of the building but it is considered that the previous and future changes make the street view of the listing building less significant</w:t>
      </w:r>
      <w:r w:rsidR="00F76109" w:rsidRPr="002F758A">
        <w:rPr>
          <w:rFonts w:ascii="Calibri" w:hAnsi="Calibri" w:cs="Calibri"/>
          <w:color w:val="404040"/>
          <w:sz w:val="22"/>
        </w:rPr>
        <w:t xml:space="preserve"> in heritage terms</w:t>
      </w:r>
      <w:r w:rsidR="00D574EF" w:rsidRPr="002F758A">
        <w:rPr>
          <w:rFonts w:ascii="Calibri" w:hAnsi="Calibri" w:cs="Calibri"/>
          <w:color w:val="404040"/>
          <w:sz w:val="22"/>
        </w:rPr>
        <w:t xml:space="preserve"> tha</w:t>
      </w:r>
      <w:r w:rsidR="00F76109" w:rsidRPr="002F758A">
        <w:rPr>
          <w:rFonts w:ascii="Calibri" w:hAnsi="Calibri" w:cs="Calibri"/>
          <w:color w:val="404040"/>
          <w:sz w:val="22"/>
        </w:rPr>
        <w:t>n</w:t>
      </w:r>
      <w:r w:rsidR="00D574EF" w:rsidRPr="002F758A">
        <w:rPr>
          <w:rFonts w:ascii="Calibri" w:hAnsi="Calibri" w:cs="Calibri"/>
          <w:color w:val="404040"/>
          <w:sz w:val="22"/>
        </w:rPr>
        <w:t xml:space="preserve"> the unaltered upper floors. </w:t>
      </w:r>
      <w:r w:rsidRPr="002F758A">
        <w:rPr>
          <w:rFonts w:ascii="Calibri" w:hAnsi="Calibri" w:cs="Calibri"/>
          <w:color w:val="404040"/>
          <w:sz w:val="22"/>
        </w:rPr>
        <w:t xml:space="preserve">It is within the street level environment of the town centre that the </w:t>
      </w:r>
      <w:r w:rsidR="00F76109" w:rsidRPr="002F758A">
        <w:rPr>
          <w:rFonts w:ascii="Calibri" w:hAnsi="Calibri" w:cs="Calibri"/>
          <w:color w:val="404040"/>
          <w:sz w:val="22"/>
        </w:rPr>
        <w:t xml:space="preserve">new display </w:t>
      </w:r>
      <w:r w:rsidRPr="002F758A">
        <w:rPr>
          <w:rFonts w:ascii="Calibri" w:hAnsi="Calibri" w:cs="Calibri"/>
          <w:color w:val="404040"/>
          <w:sz w:val="22"/>
        </w:rPr>
        <w:t>units will stand,</w:t>
      </w:r>
      <w:r w:rsidR="00F76109" w:rsidRPr="002F758A">
        <w:rPr>
          <w:rFonts w:ascii="Calibri" w:hAnsi="Calibri" w:cs="Calibri"/>
          <w:color w:val="404040"/>
          <w:sz w:val="22"/>
        </w:rPr>
        <w:t xml:space="preserve"> within the visual context of the </w:t>
      </w:r>
      <w:r w:rsidRPr="002F758A">
        <w:rPr>
          <w:rFonts w:ascii="Calibri" w:hAnsi="Calibri" w:cs="Calibri"/>
          <w:color w:val="404040"/>
          <w:sz w:val="22"/>
        </w:rPr>
        <w:t xml:space="preserve">busy and vibrant shop frontages. </w:t>
      </w:r>
    </w:p>
    <w:p w14:paraId="34570002" w14:textId="66CAE834" w:rsidR="004327BC" w:rsidRDefault="000514AE" w:rsidP="00155357">
      <w:pPr>
        <w:spacing w:before="100" w:beforeAutospacing="1" w:after="180" w:line="276" w:lineRule="auto"/>
        <w:ind w:left="720"/>
        <w:jc w:val="center"/>
        <w:rPr>
          <w:noProof/>
        </w:rPr>
      </w:pPr>
      <w:r>
        <w:rPr>
          <w:noProof/>
          <w:lang w:eastAsia="en-GB"/>
        </w:rPr>
        <w:lastRenderedPageBreak/>
        <w:drawing>
          <wp:inline distT="0" distB="0" distL="0" distR="0" wp14:anchorId="4C628748" wp14:editId="5E11AA9B">
            <wp:extent cx="4649470" cy="3053715"/>
            <wp:effectExtent l="0" t="0" r="0" b="0"/>
            <wp:docPr id="2" name="Picture 3" descr="Image result for queen victoria stree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een victoria street read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49470" cy="3053715"/>
                    </a:xfrm>
                    <a:prstGeom prst="rect">
                      <a:avLst/>
                    </a:prstGeom>
                    <a:noFill/>
                    <a:ln>
                      <a:noFill/>
                    </a:ln>
                  </pic:spPr>
                </pic:pic>
              </a:graphicData>
            </a:graphic>
          </wp:inline>
        </w:drawing>
      </w:r>
    </w:p>
    <w:p w14:paraId="08A80A2C" w14:textId="77777777" w:rsidR="004327BC" w:rsidRPr="002F758A" w:rsidRDefault="004327BC" w:rsidP="00155357">
      <w:pPr>
        <w:spacing w:before="100" w:beforeAutospacing="1" w:after="180" w:line="276" w:lineRule="auto"/>
        <w:ind w:left="720"/>
        <w:jc w:val="center"/>
        <w:rPr>
          <w:rFonts w:ascii="Calibri" w:hAnsi="Calibri" w:cs="Calibri"/>
          <w:color w:val="404040"/>
          <w:sz w:val="20"/>
        </w:rPr>
      </w:pPr>
      <w:r w:rsidRPr="002F758A">
        <w:rPr>
          <w:rFonts w:ascii="Calibri" w:hAnsi="Calibri" w:cs="Calibri"/>
          <w:color w:val="404040"/>
          <w:sz w:val="20"/>
        </w:rPr>
        <w:t>View of the street today</w:t>
      </w:r>
    </w:p>
    <w:p w14:paraId="319AEB5D" w14:textId="77777777" w:rsidR="00347E67" w:rsidRPr="002F758A" w:rsidRDefault="00A002B9" w:rsidP="00155357">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Queen Victoria Street, together with Broad Street and Friar Street</w:t>
      </w:r>
      <w:r w:rsidR="00F76109" w:rsidRPr="002F758A">
        <w:rPr>
          <w:rFonts w:ascii="Calibri" w:hAnsi="Calibri" w:cs="Calibri"/>
          <w:color w:val="404040"/>
          <w:sz w:val="22"/>
        </w:rPr>
        <w:t xml:space="preserve"> fall within the core retail centre and</w:t>
      </w:r>
      <w:r w:rsidRPr="002F758A">
        <w:rPr>
          <w:rFonts w:ascii="Calibri" w:hAnsi="Calibri" w:cs="Calibri"/>
          <w:color w:val="404040"/>
          <w:sz w:val="22"/>
        </w:rPr>
        <w:t xml:space="preserve"> </w:t>
      </w:r>
      <w:r w:rsidR="00F76109" w:rsidRPr="002F758A">
        <w:rPr>
          <w:rFonts w:ascii="Calibri" w:hAnsi="Calibri" w:cs="Calibri"/>
          <w:color w:val="404040"/>
          <w:sz w:val="22"/>
        </w:rPr>
        <w:t xml:space="preserve">are </w:t>
      </w:r>
      <w:r w:rsidRPr="002F758A">
        <w:rPr>
          <w:rFonts w:ascii="Calibri" w:hAnsi="Calibri" w:cs="Calibri"/>
          <w:color w:val="404040"/>
          <w:sz w:val="22"/>
        </w:rPr>
        <w:t>recognised as key active frontages within the town centre</w:t>
      </w:r>
      <w:r w:rsidR="00F76109" w:rsidRPr="002F758A">
        <w:rPr>
          <w:rFonts w:ascii="Calibri" w:hAnsi="Calibri" w:cs="Calibri"/>
          <w:color w:val="404040"/>
          <w:sz w:val="22"/>
        </w:rPr>
        <w:t>. The appearance and design of the frontages reflect the nature of that designation.</w:t>
      </w:r>
      <w:r w:rsidR="00A566E4" w:rsidRPr="002F758A">
        <w:rPr>
          <w:rFonts w:ascii="Calibri" w:hAnsi="Calibri" w:cs="Calibri"/>
          <w:color w:val="404040"/>
          <w:sz w:val="22"/>
        </w:rPr>
        <w:t xml:space="preserve"> The streets are fully paved such that the full width of the street is dedicated to pedestrian flow. The materials used are modern red brick in a herring bone pattern</w:t>
      </w:r>
      <w:r w:rsidR="00FA4D58" w:rsidRPr="002F758A">
        <w:rPr>
          <w:rFonts w:ascii="Calibri" w:hAnsi="Calibri" w:cs="Calibri"/>
          <w:color w:val="404040"/>
          <w:sz w:val="22"/>
        </w:rPr>
        <w:t xml:space="preserve"> with sandstone features. The materials used in the shop fronts are typically bright, vivid and glazed, and illuminated from within when dark. I</w:t>
      </w:r>
      <w:r w:rsidR="00A566E4" w:rsidRPr="002F758A">
        <w:rPr>
          <w:rFonts w:ascii="Calibri" w:hAnsi="Calibri" w:cs="Calibri"/>
          <w:color w:val="404040"/>
          <w:sz w:val="22"/>
        </w:rPr>
        <w:t xml:space="preserve">n the case of Queen Victoria </w:t>
      </w:r>
      <w:r w:rsidR="00325470" w:rsidRPr="002F758A">
        <w:rPr>
          <w:rFonts w:ascii="Calibri" w:hAnsi="Calibri" w:cs="Calibri"/>
          <w:color w:val="404040"/>
          <w:sz w:val="22"/>
        </w:rPr>
        <w:t>Street,</w:t>
      </w:r>
      <w:r w:rsidR="00A566E4" w:rsidRPr="002F758A">
        <w:rPr>
          <w:rFonts w:ascii="Calibri" w:hAnsi="Calibri" w:cs="Calibri"/>
          <w:color w:val="404040"/>
          <w:sz w:val="22"/>
        </w:rPr>
        <w:t xml:space="preserve"> the </w:t>
      </w:r>
      <w:r w:rsidR="00FA4D58" w:rsidRPr="002F758A">
        <w:rPr>
          <w:rFonts w:ascii="Calibri" w:hAnsi="Calibri" w:cs="Calibri"/>
          <w:color w:val="404040"/>
          <w:sz w:val="22"/>
        </w:rPr>
        <w:t xml:space="preserve">street is very wide with a gap of over 11m between shopfronts with each proposed unit being a distance no less than 1.9m from a building façade. </w:t>
      </w:r>
    </w:p>
    <w:p w14:paraId="1F441D2A" w14:textId="77777777" w:rsidR="0032763C" w:rsidRPr="002F758A" w:rsidRDefault="00FA4D58" w:rsidP="0032763C">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 xml:space="preserve">It is the street that provides the setting for the buildings and as mentioned in guidance, “setting” is not </w:t>
      </w:r>
      <w:r w:rsidR="00347E67" w:rsidRPr="002F758A">
        <w:rPr>
          <w:rFonts w:ascii="Calibri" w:hAnsi="Calibri" w:cs="Calibri"/>
          <w:color w:val="404040"/>
          <w:sz w:val="22"/>
        </w:rPr>
        <w:t xml:space="preserve">itself </w:t>
      </w:r>
      <w:r w:rsidRPr="00FA4D58">
        <w:rPr>
          <w:rFonts w:ascii="Calibri" w:hAnsi="Calibri"/>
          <w:color w:val="404040"/>
          <w:sz w:val="22"/>
          <w:szCs w:val="22"/>
        </w:rPr>
        <w:t>a heritage asset, nor a heritage designation</w:t>
      </w:r>
      <w:r>
        <w:rPr>
          <w:rFonts w:ascii="Calibri" w:hAnsi="Calibri"/>
          <w:color w:val="404040"/>
          <w:sz w:val="22"/>
          <w:szCs w:val="22"/>
        </w:rPr>
        <w:t xml:space="preserve">, but </w:t>
      </w:r>
      <w:r w:rsidR="00347E67">
        <w:rPr>
          <w:rFonts w:ascii="Calibri" w:hAnsi="Calibri"/>
          <w:color w:val="404040"/>
          <w:sz w:val="22"/>
          <w:szCs w:val="22"/>
        </w:rPr>
        <w:t>its value lies in the</w:t>
      </w:r>
      <w:r>
        <w:rPr>
          <w:rFonts w:ascii="Calibri" w:hAnsi="Calibri"/>
          <w:color w:val="404040"/>
          <w:sz w:val="22"/>
          <w:szCs w:val="22"/>
        </w:rPr>
        <w:t xml:space="preserve"> </w:t>
      </w:r>
      <w:r w:rsidRPr="00FA4D58">
        <w:rPr>
          <w:rFonts w:ascii="Calibri" w:hAnsi="Calibri"/>
          <w:color w:val="404040"/>
          <w:sz w:val="22"/>
          <w:szCs w:val="22"/>
        </w:rPr>
        <w:t>contribut</w:t>
      </w:r>
      <w:r>
        <w:rPr>
          <w:rFonts w:ascii="Calibri" w:hAnsi="Calibri"/>
          <w:color w:val="404040"/>
          <w:sz w:val="22"/>
          <w:szCs w:val="22"/>
        </w:rPr>
        <w:t xml:space="preserve">ion it makes to the </w:t>
      </w:r>
      <w:r w:rsidRPr="00FA4D58">
        <w:rPr>
          <w:rFonts w:ascii="Calibri" w:hAnsi="Calibri"/>
          <w:color w:val="404040"/>
          <w:sz w:val="22"/>
          <w:szCs w:val="22"/>
        </w:rPr>
        <w:t>significance of the heritage asset</w:t>
      </w:r>
      <w:r>
        <w:rPr>
          <w:rFonts w:ascii="Calibri" w:hAnsi="Calibri"/>
          <w:color w:val="404040"/>
          <w:sz w:val="22"/>
          <w:szCs w:val="22"/>
        </w:rPr>
        <w:t xml:space="preserve">. It is further noted that setting is an element that </w:t>
      </w:r>
      <w:r w:rsidR="00347E67">
        <w:rPr>
          <w:rFonts w:ascii="Calibri" w:hAnsi="Calibri"/>
          <w:color w:val="404040"/>
          <w:sz w:val="22"/>
          <w:szCs w:val="22"/>
        </w:rPr>
        <w:t xml:space="preserve">may </w:t>
      </w:r>
      <w:r>
        <w:rPr>
          <w:rFonts w:ascii="Calibri" w:hAnsi="Calibri"/>
          <w:color w:val="404040"/>
          <w:sz w:val="22"/>
          <w:szCs w:val="22"/>
        </w:rPr>
        <w:t xml:space="preserve">change over time </w:t>
      </w:r>
      <w:r w:rsidR="00347E67" w:rsidRPr="00347E67">
        <w:rPr>
          <w:rFonts w:ascii="Calibri" w:hAnsi="Calibri"/>
          <w:color w:val="404040"/>
          <w:sz w:val="22"/>
          <w:szCs w:val="22"/>
        </w:rPr>
        <w:t>without harm to significance</w:t>
      </w:r>
      <w:r w:rsidR="00347E67">
        <w:rPr>
          <w:rFonts w:ascii="Calibri" w:hAnsi="Calibri"/>
          <w:color w:val="404040"/>
          <w:sz w:val="22"/>
          <w:szCs w:val="22"/>
        </w:rPr>
        <w:t>. Such changes in</w:t>
      </w:r>
      <w:r w:rsidR="00347E67" w:rsidRPr="00347E67">
        <w:rPr>
          <w:rFonts w:ascii="Calibri" w:hAnsi="Calibri"/>
          <w:color w:val="404040"/>
          <w:sz w:val="22"/>
          <w:szCs w:val="22"/>
        </w:rPr>
        <w:t xml:space="preserve"> setting may have positive, negative or neutral effects</w:t>
      </w:r>
      <w:r w:rsidR="00347E67">
        <w:rPr>
          <w:rFonts w:ascii="Calibri" w:hAnsi="Calibri"/>
          <w:color w:val="404040"/>
          <w:sz w:val="22"/>
          <w:szCs w:val="22"/>
        </w:rPr>
        <w:t xml:space="preserve"> on a listing building and this approach is suggested in light of common situations, such as in Queen Victoria Street, where the visual context necessary changes and reflects the evolving nature of the retail sector, without such changes debasing the importance of the heritage asset</w:t>
      </w:r>
      <w:r w:rsidR="00347E67" w:rsidRPr="00347E67">
        <w:rPr>
          <w:rFonts w:ascii="Calibri" w:hAnsi="Calibri"/>
          <w:color w:val="404040"/>
          <w:sz w:val="22"/>
          <w:szCs w:val="22"/>
        </w:rPr>
        <w:t>.</w:t>
      </w:r>
      <w:r w:rsidR="00347E67">
        <w:rPr>
          <w:rFonts w:ascii="Calibri" w:hAnsi="Calibri"/>
          <w:color w:val="404040"/>
          <w:sz w:val="22"/>
          <w:szCs w:val="22"/>
        </w:rPr>
        <w:t xml:space="preserve"> </w:t>
      </w:r>
    </w:p>
    <w:p w14:paraId="131F8796" w14:textId="77777777" w:rsidR="0032763C" w:rsidRPr="002F758A" w:rsidRDefault="0032763C" w:rsidP="0032763C">
      <w:pPr>
        <w:numPr>
          <w:ilvl w:val="1"/>
          <w:numId w:val="25"/>
        </w:numPr>
        <w:spacing w:before="100" w:beforeAutospacing="1" w:after="180" w:line="276" w:lineRule="auto"/>
        <w:ind w:left="720" w:hanging="720"/>
        <w:jc w:val="both"/>
        <w:rPr>
          <w:rFonts w:ascii="Calibri" w:hAnsi="Calibri" w:cs="Calibri"/>
          <w:color w:val="404040"/>
          <w:sz w:val="22"/>
        </w:rPr>
      </w:pPr>
      <w:r>
        <w:rPr>
          <w:rFonts w:ascii="Calibri" w:hAnsi="Calibri" w:cs="Calibri"/>
          <w:color w:val="404040"/>
          <w:kern w:val="24"/>
          <w:sz w:val="22"/>
          <w:szCs w:val="22"/>
        </w:rPr>
        <w:t xml:space="preserve">Both </w:t>
      </w:r>
      <w:r w:rsidRPr="0032763C">
        <w:rPr>
          <w:rFonts w:ascii="Calibri" w:hAnsi="Calibri" w:cs="Calibri"/>
          <w:color w:val="404040"/>
          <w:kern w:val="24"/>
          <w:sz w:val="22"/>
          <w:szCs w:val="22"/>
        </w:rPr>
        <w:t>location</w:t>
      </w:r>
      <w:r>
        <w:rPr>
          <w:rFonts w:ascii="Calibri" w:hAnsi="Calibri" w:cs="Calibri"/>
          <w:color w:val="404040"/>
          <w:kern w:val="24"/>
          <w:sz w:val="22"/>
          <w:szCs w:val="22"/>
        </w:rPr>
        <w:t>s</w:t>
      </w:r>
      <w:r w:rsidRPr="0032763C">
        <w:rPr>
          <w:rFonts w:ascii="Calibri" w:hAnsi="Calibri" w:cs="Calibri"/>
          <w:color w:val="404040"/>
          <w:kern w:val="24"/>
          <w:sz w:val="22"/>
          <w:szCs w:val="22"/>
        </w:rPr>
        <w:t xml:space="preserve"> share </w:t>
      </w:r>
      <w:r>
        <w:rPr>
          <w:rFonts w:ascii="Calibri" w:hAnsi="Calibri" w:cs="Calibri"/>
          <w:color w:val="404040"/>
          <w:kern w:val="24"/>
          <w:sz w:val="22"/>
          <w:szCs w:val="22"/>
        </w:rPr>
        <w:t>that</w:t>
      </w:r>
      <w:r w:rsidRPr="0032763C">
        <w:rPr>
          <w:rFonts w:ascii="Calibri" w:hAnsi="Calibri" w:cs="Calibri"/>
          <w:color w:val="404040"/>
          <w:kern w:val="24"/>
          <w:sz w:val="22"/>
          <w:szCs w:val="22"/>
        </w:rPr>
        <w:t xml:space="preserve"> common context, which is of a busy retail setting with active commercial frontages that include </w:t>
      </w:r>
      <w:r>
        <w:rPr>
          <w:rFonts w:ascii="Calibri" w:hAnsi="Calibri" w:cs="Calibri"/>
          <w:color w:val="404040"/>
          <w:kern w:val="24"/>
          <w:sz w:val="22"/>
          <w:szCs w:val="22"/>
        </w:rPr>
        <w:t>shops</w:t>
      </w:r>
      <w:r w:rsidRPr="0032763C">
        <w:rPr>
          <w:rFonts w:ascii="Calibri" w:hAnsi="Calibri" w:cs="Calibri"/>
          <w:color w:val="404040"/>
          <w:kern w:val="24"/>
          <w:sz w:val="22"/>
          <w:szCs w:val="22"/>
        </w:rPr>
        <w:t>, cafe</w:t>
      </w:r>
      <w:r>
        <w:rPr>
          <w:rFonts w:ascii="Calibri" w:hAnsi="Calibri" w:cs="Calibri"/>
          <w:color w:val="404040"/>
          <w:kern w:val="24"/>
          <w:sz w:val="22"/>
          <w:szCs w:val="22"/>
        </w:rPr>
        <w:t>s</w:t>
      </w:r>
      <w:r w:rsidRPr="0032763C">
        <w:rPr>
          <w:rFonts w:ascii="Calibri" w:hAnsi="Calibri" w:cs="Calibri"/>
          <w:color w:val="404040"/>
          <w:kern w:val="24"/>
          <w:sz w:val="22"/>
          <w:szCs w:val="22"/>
        </w:rPr>
        <w:t xml:space="preserve"> and office buildings. Within the main retail core of </w:t>
      </w:r>
      <w:r>
        <w:rPr>
          <w:rFonts w:ascii="Calibri" w:hAnsi="Calibri" w:cs="Calibri"/>
          <w:color w:val="404040"/>
          <w:kern w:val="24"/>
          <w:sz w:val="22"/>
          <w:szCs w:val="22"/>
        </w:rPr>
        <w:t xml:space="preserve">any </w:t>
      </w:r>
      <w:r w:rsidRPr="0032763C">
        <w:rPr>
          <w:rFonts w:ascii="Calibri" w:hAnsi="Calibri" w:cs="Calibri"/>
          <w:color w:val="404040"/>
          <w:kern w:val="24"/>
          <w:sz w:val="22"/>
          <w:szCs w:val="22"/>
        </w:rPr>
        <w:t xml:space="preserve">town centre there is an expectation, even within historic </w:t>
      </w:r>
      <w:r>
        <w:rPr>
          <w:rFonts w:ascii="Calibri" w:hAnsi="Calibri" w:cs="Calibri"/>
          <w:color w:val="404040"/>
          <w:kern w:val="24"/>
          <w:sz w:val="22"/>
          <w:szCs w:val="22"/>
        </w:rPr>
        <w:t>settings</w:t>
      </w:r>
      <w:r w:rsidRPr="0032763C">
        <w:rPr>
          <w:rFonts w:ascii="Calibri" w:hAnsi="Calibri" w:cs="Calibri"/>
          <w:color w:val="404040"/>
          <w:kern w:val="24"/>
          <w:sz w:val="22"/>
          <w:szCs w:val="22"/>
        </w:rPr>
        <w:t xml:space="preserve">, of seeing vibrant and lit advertising imagery on shopfront facades, fascia’s, window displays and freestanding items of street furniture. </w:t>
      </w:r>
    </w:p>
    <w:p w14:paraId="3BA1493A" w14:textId="77777777" w:rsidR="00347E67" w:rsidRPr="002F758A" w:rsidRDefault="00347E67" w:rsidP="00155357">
      <w:pPr>
        <w:numPr>
          <w:ilvl w:val="1"/>
          <w:numId w:val="25"/>
        </w:numPr>
        <w:spacing w:before="100" w:beforeAutospacing="1" w:after="180" w:line="276" w:lineRule="auto"/>
        <w:ind w:left="720" w:hanging="720"/>
        <w:jc w:val="both"/>
        <w:rPr>
          <w:rFonts w:ascii="Calibri" w:hAnsi="Calibri" w:cs="Calibri"/>
          <w:color w:val="404040"/>
          <w:sz w:val="22"/>
        </w:rPr>
      </w:pPr>
      <w:r>
        <w:rPr>
          <w:rFonts w:ascii="Calibri" w:hAnsi="Calibri"/>
          <w:color w:val="404040"/>
          <w:sz w:val="22"/>
          <w:szCs w:val="22"/>
        </w:rPr>
        <w:t>Modern retailing now often includes dynamic shop frontage displays and interactive technology in order to remain relevant to the 21</w:t>
      </w:r>
      <w:r w:rsidRPr="00347E67">
        <w:rPr>
          <w:rFonts w:ascii="Calibri" w:hAnsi="Calibri"/>
          <w:color w:val="404040"/>
          <w:sz w:val="22"/>
          <w:szCs w:val="22"/>
          <w:vertAlign w:val="superscript"/>
        </w:rPr>
        <w:t>st</w:t>
      </w:r>
      <w:r>
        <w:rPr>
          <w:rFonts w:ascii="Calibri" w:hAnsi="Calibri"/>
          <w:color w:val="404040"/>
          <w:sz w:val="22"/>
          <w:szCs w:val="22"/>
        </w:rPr>
        <w:t xml:space="preserve"> century shopper. The role of guidance </w:t>
      </w:r>
      <w:r>
        <w:rPr>
          <w:rFonts w:ascii="Calibri" w:hAnsi="Calibri"/>
          <w:color w:val="404040"/>
          <w:sz w:val="22"/>
          <w:szCs w:val="22"/>
        </w:rPr>
        <w:lastRenderedPageBreak/>
        <w:t xml:space="preserve">is not to curtail </w:t>
      </w:r>
      <w:r w:rsidR="0032763C">
        <w:rPr>
          <w:rFonts w:ascii="Calibri" w:hAnsi="Calibri"/>
          <w:color w:val="404040"/>
          <w:sz w:val="22"/>
          <w:szCs w:val="22"/>
        </w:rPr>
        <w:t xml:space="preserve">such </w:t>
      </w:r>
      <w:r>
        <w:rPr>
          <w:rFonts w:ascii="Calibri" w:hAnsi="Calibri"/>
          <w:color w:val="404040"/>
          <w:sz w:val="22"/>
          <w:szCs w:val="22"/>
        </w:rPr>
        <w:t xml:space="preserve">change but encourage sensitive interventions that support the vitality of the town centre </w:t>
      </w:r>
      <w:r w:rsidR="0032763C">
        <w:rPr>
          <w:rFonts w:ascii="Calibri" w:hAnsi="Calibri"/>
          <w:color w:val="404040"/>
          <w:sz w:val="22"/>
          <w:szCs w:val="22"/>
        </w:rPr>
        <w:t xml:space="preserve">whilst </w:t>
      </w:r>
      <w:r>
        <w:rPr>
          <w:rFonts w:ascii="Calibri" w:hAnsi="Calibri"/>
          <w:color w:val="404040"/>
          <w:sz w:val="22"/>
          <w:szCs w:val="22"/>
        </w:rPr>
        <w:t>respect</w:t>
      </w:r>
      <w:r w:rsidR="0032763C">
        <w:rPr>
          <w:rFonts w:ascii="Calibri" w:hAnsi="Calibri"/>
          <w:color w:val="404040"/>
          <w:sz w:val="22"/>
          <w:szCs w:val="22"/>
        </w:rPr>
        <w:t>ing</w:t>
      </w:r>
      <w:r>
        <w:rPr>
          <w:rFonts w:ascii="Calibri" w:hAnsi="Calibri"/>
          <w:color w:val="404040"/>
          <w:sz w:val="22"/>
          <w:szCs w:val="22"/>
        </w:rPr>
        <w:t xml:space="preserve"> the areas character and heritage.  Modern</w:t>
      </w:r>
      <w:r w:rsidR="0032763C">
        <w:rPr>
          <w:rFonts w:ascii="Calibri" w:hAnsi="Calibri"/>
          <w:color w:val="404040"/>
          <w:sz w:val="22"/>
          <w:szCs w:val="22"/>
        </w:rPr>
        <w:t xml:space="preserve"> i</w:t>
      </w:r>
      <w:r>
        <w:rPr>
          <w:rFonts w:ascii="Calibri" w:hAnsi="Calibri"/>
          <w:color w:val="404040"/>
          <w:sz w:val="22"/>
          <w:szCs w:val="22"/>
        </w:rPr>
        <w:t>nterventions within historic environments, such as rail and retail settings, do no harm the value and fabric of the building that contains them.</w:t>
      </w:r>
    </w:p>
    <w:p w14:paraId="358317B4" w14:textId="7E8EE017" w:rsidR="00347E67" w:rsidRDefault="000514AE" w:rsidP="00155357">
      <w:pPr>
        <w:spacing w:before="100" w:beforeAutospacing="1" w:after="180" w:line="276" w:lineRule="auto"/>
        <w:ind w:left="720"/>
        <w:jc w:val="center"/>
        <w:rPr>
          <w:rFonts w:ascii="Calibri" w:hAnsi="Calibri"/>
          <w:color w:val="404040"/>
          <w:sz w:val="22"/>
          <w:szCs w:val="22"/>
        </w:rPr>
      </w:pPr>
      <w:r>
        <w:rPr>
          <w:rFonts w:ascii="Calibri" w:hAnsi="Calibri"/>
          <w:noProof/>
          <w:color w:val="404040"/>
          <w:sz w:val="22"/>
          <w:szCs w:val="22"/>
          <w:lang w:eastAsia="en-GB"/>
        </w:rPr>
        <w:drawing>
          <wp:inline distT="0" distB="0" distL="0" distR="0" wp14:anchorId="7AECA0C1" wp14:editId="5D3CBF97">
            <wp:extent cx="4287520" cy="3252470"/>
            <wp:effectExtent l="0" t="0" r="0" b="0"/>
            <wp:docPr id="3" name="Picture 3" descr="IMG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0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87520" cy="3252470"/>
                    </a:xfrm>
                    <a:prstGeom prst="rect">
                      <a:avLst/>
                    </a:prstGeom>
                    <a:noFill/>
                    <a:ln>
                      <a:noFill/>
                    </a:ln>
                  </pic:spPr>
                </pic:pic>
              </a:graphicData>
            </a:graphic>
          </wp:inline>
        </w:drawing>
      </w:r>
    </w:p>
    <w:p w14:paraId="013121DF" w14:textId="77777777" w:rsidR="00347E67" w:rsidRDefault="00095346" w:rsidP="00155357">
      <w:pPr>
        <w:spacing w:before="100" w:beforeAutospacing="1" w:after="180" w:line="276" w:lineRule="auto"/>
        <w:ind w:left="720"/>
        <w:jc w:val="center"/>
        <w:rPr>
          <w:rFonts w:ascii="Calibri" w:hAnsi="Calibri"/>
          <w:color w:val="404040"/>
          <w:sz w:val="22"/>
          <w:szCs w:val="22"/>
        </w:rPr>
      </w:pPr>
      <w:r>
        <w:rPr>
          <w:rFonts w:ascii="Calibri" w:hAnsi="Calibri"/>
          <w:color w:val="404040"/>
          <w:sz w:val="22"/>
          <w:szCs w:val="22"/>
        </w:rPr>
        <w:t>Modern LCD display at Victoria Gate Leeds</w:t>
      </w:r>
      <w:r w:rsidR="00155357">
        <w:rPr>
          <w:rFonts w:ascii="Calibri" w:hAnsi="Calibri"/>
          <w:color w:val="404040"/>
          <w:sz w:val="22"/>
          <w:szCs w:val="22"/>
        </w:rPr>
        <w:t xml:space="preserve"> and below in St Pancras Station</w:t>
      </w:r>
    </w:p>
    <w:p w14:paraId="54ED1471" w14:textId="5A07894F" w:rsidR="00095346" w:rsidRDefault="000514AE" w:rsidP="00155357">
      <w:pPr>
        <w:spacing w:before="100" w:beforeAutospacing="1" w:after="180" w:line="276" w:lineRule="auto"/>
        <w:ind w:left="720"/>
        <w:jc w:val="center"/>
        <w:rPr>
          <w:rFonts w:ascii="Calibri" w:hAnsi="Calibri"/>
          <w:color w:val="404040"/>
          <w:sz w:val="22"/>
          <w:szCs w:val="22"/>
        </w:rPr>
      </w:pPr>
      <w:r>
        <w:rPr>
          <w:noProof/>
          <w:lang w:eastAsia="en-GB"/>
        </w:rPr>
        <w:drawing>
          <wp:inline distT="0" distB="0" distL="0" distR="0" wp14:anchorId="62E016E1" wp14:editId="7B28746E">
            <wp:extent cx="4537710" cy="3027680"/>
            <wp:effectExtent l="0" t="0" r="0" b="0"/>
            <wp:docPr id="4" name="Picture 7" descr="http://ukbnem01l:8080/entermedia/marketing/views/modules/asset/downloads/preview/extralarge/2016/06/BK128730/SF-SPC0007DG-01_13062016_BK128730_a.jpg/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kbnem01l:8080/entermedia/marketing/views/modules/asset/downloads/preview/extralarge/2016/06/BK128730/SF-SPC0007DG-01_13062016_BK128730_a.jpg/preview.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7710" cy="3027680"/>
                    </a:xfrm>
                    <a:prstGeom prst="rect">
                      <a:avLst/>
                    </a:prstGeom>
                    <a:noFill/>
                    <a:ln>
                      <a:noFill/>
                    </a:ln>
                  </pic:spPr>
                </pic:pic>
              </a:graphicData>
            </a:graphic>
          </wp:inline>
        </w:drawing>
      </w:r>
    </w:p>
    <w:p w14:paraId="2636283E" w14:textId="77777777" w:rsidR="00D145B4" w:rsidRPr="002F758A" w:rsidRDefault="0032763C" w:rsidP="00155357">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 xml:space="preserve">Both above images illustrate </w:t>
      </w:r>
      <w:r w:rsidR="00D145B4" w:rsidRPr="002F758A">
        <w:rPr>
          <w:rFonts w:ascii="Calibri" w:hAnsi="Calibri" w:cs="Calibri"/>
          <w:color w:val="404040"/>
          <w:sz w:val="22"/>
        </w:rPr>
        <w:t xml:space="preserve">how </w:t>
      </w:r>
      <w:r w:rsidRPr="002F758A">
        <w:rPr>
          <w:rFonts w:ascii="Calibri" w:hAnsi="Calibri" w:cs="Calibri"/>
          <w:color w:val="404040"/>
          <w:sz w:val="22"/>
        </w:rPr>
        <w:t>modern and old can coexist and complement each other with</w:t>
      </w:r>
      <w:r w:rsidR="00D145B4" w:rsidRPr="002F758A">
        <w:rPr>
          <w:rFonts w:ascii="Calibri" w:hAnsi="Calibri" w:cs="Calibri"/>
          <w:color w:val="404040"/>
          <w:sz w:val="22"/>
        </w:rPr>
        <w:t>out</w:t>
      </w:r>
      <w:r w:rsidRPr="002F758A">
        <w:rPr>
          <w:rFonts w:ascii="Calibri" w:hAnsi="Calibri" w:cs="Calibri"/>
          <w:color w:val="404040"/>
          <w:sz w:val="22"/>
        </w:rPr>
        <w:t xml:space="preserve"> harming the character of the former. The use of the best quality sustainable materials and simpl</w:t>
      </w:r>
      <w:r w:rsidR="00D145B4" w:rsidRPr="002F758A">
        <w:rPr>
          <w:rFonts w:ascii="Calibri" w:hAnsi="Calibri" w:cs="Calibri"/>
          <w:color w:val="404040"/>
          <w:sz w:val="22"/>
        </w:rPr>
        <w:t>e</w:t>
      </w:r>
      <w:r w:rsidRPr="002F758A">
        <w:rPr>
          <w:rFonts w:ascii="Calibri" w:hAnsi="Calibri" w:cs="Calibri"/>
          <w:color w:val="404040"/>
          <w:sz w:val="22"/>
        </w:rPr>
        <w:t xml:space="preserve"> designs </w:t>
      </w:r>
      <w:r w:rsidR="00D145B4" w:rsidRPr="002F758A">
        <w:rPr>
          <w:rFonts w:ascii="Calibri" w:hAnsi="Calibri" w:cs="Calibri"/>
          <w:color w:val="404040"/>
          <w:sz w:val="22"/>
        </w:rPr>
        <w:t xml:space="preserve">using </w:t>
      </w:r>
      <w:r w:rsidRPr="002F758A">
        <w:rPr>
          <w:rFonts w:ascii="Calibri" w:hAnsi="Calibri" w:cs="Calibri"/>
          <w:color w:val="404040"/>
          <w:sz w:val="22"/>
        </w:rPr>
        <w:t xml:space="preserve">a neutral palette can </w:t>
      </w:r>
      <w:r w:rsidR="00D145B4" w:rsidRPr="002F758A">
        <w:rPr>
          <w:rFonts w:ascii="Calibri" w:hAnsi="Calibri" w:cs="Calibri"/>
          <w:color w:val="404040"/>
          <w:sz w:val="22"/>
        </w:rPr>
        <w:t xml:space="preserve">ensure a seamless </w:t>
      </w:r>
      <w:r w:rsidR="00D145B4" w:rsidRPr="002F758A">
        <w:rPr>
          <w:rFonts w:ascii="Calibri" w:hAnsi="Calibri" w:cs="Calibri"/>
          <w:color w:val="404040"/>
          <w:sz w:val="22"/>
        </w:rPr>
        <w:lastRenderedPageBreak/>
        <w:t>conjoining of the two distinctly different built forms</w:t>
      </w:r>
      <w:r w:rsidRPr="002F758A">
        <w:rPr>
          <w:rFonts w:ascii="Calibri" w:hAnsi="Calibri" w:cs="Calibri"/>
          <w:color w:val="404040"/>
          <w:sz w:val="22"/>
        </w:rPr>
        <w:t xml:space="preserve">. In the case of the proposals for the two sites on Queen Victoria Street the addition of the units to the street would not overwhelm </w:t>
      </w:r>
      <w:r w:rsidR="00D145B4" w:rsidRPr="002F758A">
        <w:rPr>
          <w:rFonts w:ascii="Calibri" w:hAnsi="Calibri" w:cs="Calibri"/>
          <w:color w:val="404040"/>
          <w:sz w:val="22"/>
        </w:rPr>
        <w:t>or</w:t>
      </w:r>
      <w:r w:rsidRPr="002F758A">
        <w:rPr>
          <w:rFonts w:ascii="Calibri" w:hAnsi="Calibri" w:cs="Calibri"/>
          <w:color w:val="404040"/>
          <w:sz w:val="22"/>
        </w:rPr>
        <w:t xml:space="preserve"> appear alien to the street context and retail frontages. The character, the look and </w:t>
      </w:r>
      <w:r w:rsidR="00D145B4" w:rsidRPr="002F758A">
        <w:rPr>
          <w:rFonts w:ascii="Calibri" w:hAnsi="Calibri" w:cs="Calibri"/>
          <w:color w:val="404040"/>
          <w:sz w:val="22"/>
        </w:rPr>
        <w:t>architecture</w:t>
      </w:r>
      <w:r w:rsidRPr="002F758A">
        <w:rPr>
          <w:rFonts w:ascii="Calibri" w:hAnsi="Calibri" w:cs="Calibri"/>
          <w:color w:val="404040"/>
          <w:sz w:val="22"/>
        </w:rPr>
        <w:t xml:space="preserve"> at street level is very different to the upper floors of the building and yet neither visual jar with each other. </w:t>
      </w:r>
      <w:r w:rsidR="00D145B4" w:rsidRPr="002F758A">
        <w:rPr>
          <w:rFonts w:ascii="Calibri" w:hAnsi="Calibri" w:cs="Calibri"/>
          <w:color w:val="404040"/>
          <w:sz w:val="22"/>
        </w:rPr>
        <w:t>Therefore,</w:t>
      </w:r>
      <w:r w:rsidRPr="002F758A">
        <w:rPr>
          <w:rFonts w:ascii="Calibri" w:hAnsi="Calibri" w:cs="Calibri"/>
          <w:color w:val="404040"/>
          <w:sz w:val="22"/>
        </w:rPr>
        <w:t xml:space="preserve"> the </w:t>
      </w:r>
      <w:r w:rsidR="00BE6409" w:rsidRPr="002F758A">
        <w:rPr>
          <w:rFonts w:ascii="Calibri" w:hAnsi="Calibri" w:cs="Calibri"/>
          <w:color w:val="404040"/>
          <w:sz w:val="22"/>
        </w:rPr>
        <w:t>impact on setting, a setting which is already heavily influenced by the more modern additions and to the street</w:t>
      </w:r>
      <w:r w:rsidR="00D145B4" w:rsidRPr="002F758A">
        <w:rPr>
          <w:rFonts w:ascii="Calibri" w:hAnsi="Calibri" w:cs="Calibri"/>
          <w:color w:val="404040"/>
          <w:sz w:val="22"/>
        </w:rPr>
        <w:t>, will be negligible</w:t>
      </w:r>
      <w:r w:rsidR="00BE6409" w:rsidRPr="002F758A">
        <w:rPr>
          <w:rFonts w:ascii="Calibri" w:hAnsi="Calibri" w:cs="Calibri"/>
          <w:color w:val="404040"/>
          <w:sz w:val="22"/>
        </w:rPr>
        <w:t xml:space="preserve">. </w:t>
      </w:r>
    </w:p>
    <w:p w14:paraId="06B294C4" w14:textId="77777777" w:rsidR="006F3240" w:rsidRPr="002F758A" w:rsidRDefault="00D145B4" w:rsidP="006F3240">
      <w:pPr>
        <w:numPr>
          <w:ilvl w:val="1"/>
          <w:numId w:val="25"/>
        </w:numPr>
        <w:spacing w:before="100" w:beforeAutospacing="1" w:after="180" w:line="276" w:lineRule="auto"/>
        <w:ind w:left="720" w:hanging="720"/>
        <w:jc w:val="both"/>
        <w:rPr>
          <w:rFonts w:ascii="Calibri" w:hAnsi="Calibri" w:cs="Calibri"/>
          <w:color w:val="404040"/>
          <w:sz w:val="22"/>
        </w:rPr>
      </w:pPr>
      <w:r w:rsidRPr="002F758A">
        <w:rPr>
          <w:rFonts w:ascii="Calibri" w:hAnsi="Calibri" w:cs="Calibri"/>
          <w:color w:val="404040"/>
          <w:sz w:val="22"/>
        </w:rPr>
        <w:t xml:space="preserve">In response to the key points raise in the heritage comments </w:t>
      </w:r>
      <w:r w:rsidR="006F3240" w:rsidRPr="002F758A">
        <w:rPr>
          <w:rFonts w:ascii="Calibri" w:hAnsi="Calibri" w:cs="Calibri"/>
          <w:color w:val="404040"/>
          <w:sz w:val="22"/>
        </w:rPr>
        <w:t xml:space="preserve">relating to advert </w:t>
      </w:r>
      <w:r w:rsidRPr="002F758A">
        <w:rPr>
          <w:rFonts w:ascii="Calibri" w:hAnsi="Calibri" w:cs="Calibri"/>
          <w:color w:val="404040"/>
          <w:sz w:val="22"/>
        </w:rPr>
        <w:t xml:space="preserve">size, </w:t>
      </w:r>
      <w:r w:rsidR="006F3240" w:rsidRPr="002F758A">
        <w:rPr>
          <w:rFonts w:ascii="Calibri" w:hAnsi="Calibri" w:cs="Calibri"/>
          <w:color w:val="404040"/>
          <w:sz w:val="22"/>
        </w:rPr>
        <w:t xml:space="preserve">the </w:t>
      </w:r>
      <w:r w:rsidRPr="002F758A">
        <w:rPr>
          <w:rFonts w:ascii="Calibri" w:hAnsi="Calibri" w:cs="Calibri"/>
          <w:color w:val="404040"/>
          <w:sz w:val="22"/>
        </w:rPr>
        <w:t xml:space="preserve">materials and lighting </w:t>
      </w:r>
      <w:r w:rsidR="006F3240" w:rsidRPr="002F758A">
        <w:rPr>
          <w:rFonts w:ascii="Calibri" w:hAnsi="Calibri" w:cs="Calibri"/>
          <w:color w:val="404040"/>
          <w:sz w:val="22"/>
        </w:rPr>
        <w:t>levels, the following response are;</w:t>
      </w:r>
    </w:p>
    <w:p w14:paraId="0C01C633" w14:textId="77777777" w:rsidR="000B58A9" w:rsidRPr="002F758A" w:rsidRDefault="006F3240" w:rsidP="000B58A9">
      <w:pPr>
        <w:spacing w:before="100" w:beforeAutospacing="1" w:after="180" w:line="276" w:lineRule="auto"/>
        <w:ind w:left="1276" w:hanging="556"/>
        <w:jc w:val="both"/>
        <w:rPr>
          <w:rFonts w:ascii="Calibri" w:hAnsi="Calibri" w:cs="Calibri"/>
          <w:color w:val="404040"/>
          <w:sz w:val="22"/>
        </w:rPr>
      </w:pPr>
      <w:r w:rsidRPr="002F758A">
        <w:rPr>
          <w:rFonts w:ascii="Calibri" w:hAnsi="Calibri" w:cs="Calibri"/>
          <w:color w:val="404040"/>
          <w:sz w:val="22"/>
        </w:rPr>
        <w:t xml:space="preserve">Size – The advert panel is a standard six sheet display which is commonly found within pedestrianised location because it is of a human scale without being dominate. The overall height of the unit </w:t>
      </w:r>
      <w:r w:rsidR="00E9128D">
        <w:rPr>
          <w:rFonts w:ascii="Calibri" w:hAnsi="Calibri" w:cs="Calibri"/>
          <w:color w:val="404040"/>
          <w:sz w:val="22"/>
        </w:rPr>
        <w:t>is less than</w:t>
      </w:r>
      <w:r w:rsidR="000B58A9" w:rsidRPr="002F758A">
        <w:rPr>
          <w:rFonts w:ascii="Calibri" w:hAnsi="Calibri" w:cs="Calibri"/>
          <w:color w:val="404040"/>
          <w:sz w:val="22"/>
        </w:rPr>
        <w:t xml:space="preserve"> 2.</w:t>
      </w:r>
      <w:r w:rsidR="00E9128D">
        <w:rPr>
          <w:rFonts w:ascii="Calibri" w:hAnsi="Calibri" w:cs="Calibri"/>
          <w:color w:val="404040"/>
          <w:sz w:val="22"/>
        </w:rPr>
        <w:t>9</w:t>
      </w:r>
      <w:r w:rsidR="000B58A9" w:rsidRPr="002F758A">
        <w:rPr>
          <w:rFonts w:ascii="Calibri" w:hAnsi="Calibri" w:cs="Calibri"/>
          <w:color w:val="404040"/>
          <w:sz w:val="22"/>
        </w:rPr>
        <w:t>m to fit beneath the canopy of a bus shelter and significantly less than the height of shop fronts along the street. The shop fronts are characterised by deep fascias above a shop display and entrance of 3m in height. The display panels would remain subordinate in this context.</w:t>
      </w:r>
    </w:p>
    <w:p w14:paraId="3B1D3F56" w14:textId="77777777" w:rsidR="003715DD" w:rsidRPr="003715DD" w:rsidRDefault="000B58A9" w:rsidP="003715DD">
      <w:pPr>
        <w:ind w:left="1276" w:hanging="567"/>
        <w:jc w:val="both"/>
        <w:rPr>
          <w:rFonts w:ascii="Calibri" w:hAnsi="Calibri" w:cs="Calibri"/>
          <w:color w:val="404040"/>
          <w:sz w:val="22"/>
          <w:shd w:val="clear" w:color="auto" w:fill="FFFFFF"/>
        </w:rPr>
      </w:pPr>
      <w:r w:rsidRPr="002F758A">
        <w:rPr>
          <w:rFonts w:ascii="Calibri" w:hAnsi="Calibri" w:cs="Calibri"/>
          <w:color w:val="404040"/>
          <w:sz w:val="22"/>
        </w:rPr>
        <w:t xml:space="preserve">Materials – The display unit has been designed to appear simple in form and neutral in colour so as not to have an overt influence or command of the view. The unit clearly represents a modern intervention </w:t>
      </w:r>
      <w:r w:rsidR="003715DD" w:rsidRPr="002F758A">
        <w:rPr>
          <w:rFonts w:ascii="Calibri" w:hAnsi="Calibri" w:cs="Calibri"/>
          <w:color w:val="404040"/>
          <w:sz w:val="22"/>
        </w:rPr>
        <w:t xml:space="preserve">to the street but will be one of several interventions that mark the continual evolution and transformation of the retail presence in the centre. The shop fronts that provide the immediate backdrop for the displays are also modern alterations with many using the same materials and colour palette as the units being proposed. </w:t>
      </w:r>
      <w:r w:rsidR="003715DD" w:rsidRPr="003715DD">
        <w:rPr>
          <w:rFonts w:ascii="Calibri" w:hAnsi="Calibri" w:cs="Calibri"/>
          <w:color w:val="404040"/>
          <w:sz w:val="22"/>
        </w:rPr>
        <w:t>The overall look and design of the units is modern</w:t>
      </w:r>
      <w:r w:rsidR="003715DD">
        <w:rPr>
          <w:rFonts w:ascii="Calibri" w:hAnsi="Calibri" w:cs="Calibri"/>
          <w:color w:val="404040"/>
          <w:sz w:val="22"/>
        </w:rPr>
        <w:t xml:space="preserve">, </w:t>
      </w:r>
      <w:r w:rsidR="003715DD" w:rsidRPr="003715DD">
        <w:rPr>
          <w:rFonts w:ascii="Calibri" w:hAnsi="Calibri" w:cs="Calibri"/>
          <w:color w:val="404040"/>
          <w:sz w:val="22"/>
        </w:rPr>
        <w:t xml:space="preserve">clean and utilises durable, contemporary materials which </w:t>
      </w:r>
      <w:r w:rsidR="003715DD">
        <w:rPr>
          <w:rFonts w:ascii="Calibri" w:hAnsi="Calibri" w:cs="Calibri"/>
          <w:color w:val="404040"/>
          <w:sz w:val="22"/>
        </w:rPr>
        <w:t>complement rather than conflict with the surroundings.</w:t>
      </w:r>
    </w:p>
    <w:p w14:paraId="6C13918B" w14:textId="77777777" w:rsidR="006C7182" w:rsidRPr="002F758A" w:rsidRDefault="00291148" w:rsidP="00291148">
      <w:pPr>
        <w:spacing w:before="100" w:beforeAutospacing="1" w:after="180" w:line="276" w:lineRule="auto"/>
        <w:ind w:left="1276" w:hanging="556"/>
        <w:jc w:val="both"/>
        <w:rPr>
          <w:rFonts w:ascii="Calibri" w:hAnsi="Calibri" w:cs="Calibri"/>
          <w:color w:val="404040"/>
          <w:sz w:val="22"/>
        </w:rPr>
      </w:pPr>
      <w:r w:rsidRPr="002F758A">
        <w:rPr>
          <w:rFonts w:ascii="Calibri" w:hAnsi="Calibri" w:cs="Calibri"/>
          <w:color w:val="404040"/>
          <w:sz w:val="22"/>
        </w:rPr>
        <w:t>Glare</w:t>
      </w:r>
      <w:r w:rsidRPr="002F758A">
        <w:rPr>
          <w:rFonts w:ascii="Calibri" w:hAnsi="Calibri" w:cs="Calibri"/>
          <w:color w:val="404040"/>
          <w:sz w:val="22"/>
        </w:rPr>
        <w:tab/>
        <w:t>-</w:t>
      </w:r>
      <w:r w:rsidRPr="002F758A">
        <w:rPr>
          <w:rFonts w:ascii="Calibri" w:hAnsi="Calibri" w:cs="Calibri"/>
          <w:color w:val="404040"/>
          <w:sz w:val="22"/>
        </w:rPr>
        <w:tab/>
        <w:t xml:space="preserve">The suggestion that he advertisement are likely to cause glare is unfounded and not credible. The quality of the images being displayed is an important element of the proposal and the company purchases the best in class HD units to ensure the lighting levels are effectively controlled and the image quality remains crisp. As mentioned in 3.3 above, the luminance levels for the screens, which is the SI unit of measurement, is tightly controlled to avoid over exposure and glare. The applicant will follow the advice of the ILP and reduce the luminance levels at night time to ensure the output of the screens is enough to be visible but not overwhelm. If </w:t>
      </w:r>
      <w:r w:rsidR="00E9128D" w:rsidRPr="002F758A">
        <w:rPr>
          <w:rFonts w:ascii="Calibri" w:hAnsi="Calibri" w:cs="Calibri"/>
          <w:color w:val="404040"/>
          <w:sz w:val="22"/>
        </w:rPr>
        <w:t>necessary,</w:t>
      </w:r>
      <w:r w:rsidRPr="002F758A">
        <w:rPr>
          <w:rFonts w:ascii="Calibri" w:hAnsi="Calibri" w:cs="Calibri"/>
          <w:color w:val="404040"/>
          <w:sz w:val="22"/>
        </w:rPr>
        <w:t xml:space="preserve"> the lighting levels can be set by condition and monitored post install to confirm compliance.</w:t>
      </w:r>
    </w:p>
    <w:p w14:paraId="45C37064" w14:textId="77777777" w:rsidR="006C7182" w:rsidRPr="002F758A" w:rsidRDefault="00D574EF" w:rsidP="00113F40">
      <w:pPr>
        <w:ind w:left="720" w:hanging="720"/>
        <w:jc w:val="both"/>
        <w:rPr>
          <w:rFonts w:ascii="Calibri" w:hAnsi="Calibri" w:cs="Calibri"/>
          <w:color w:val="404040"/>
          <w:sz w:val="22"/>
        </w:rPr>
      </w:pPr>
      <w:r w:rsidRPr="002F758A">
        <w:rPr>
          <w:rFonts w:ascii="Calibri" w:hAnsi="Calibri" w:cs="Calibri"/>
          <w:color w:val="404040"/>
          <w:sz w:val="22"/>
        </w:rPr>
        <w:t>7</w:t>
      </w:r>
      <w:r w:rsidR="006C7182" w:rsidRPr="002F758A">
        <w:rPr>
          <w:rFonts w:ascii="Calibri" w:hAnsi="Calibri" w:cs="Calibri"/>
          <w:color w:val="404040"/>
          <w:sz w:val="22"/>
        </w:rPr>
        <w:t>.0</w:t>
      </w:r>
      <w:r w:rsidR="006C7182" w:rsidRPr="002F758A">
        <w:rPr>
          <w:rFonts w:ascii="Calibri" w:hAnsi="Calibri" w:cs="Calibri"/>
          <w:color w:val="404040"/>
          <w:sz w:val="22"/>
        </w:rPr>
        <w:tab/>
      </w:r>
      <w:r w:rsidR="0038505D" w:rsidRPr="002F758A">
        <w:rPr>
          <w:rFonts w:ascii="Calibri" w:hAnsi="Calibri" w:cs="Calibri"/>
          <w:color w:val="404040"/>
        </w:rPr>
        <w:t>Conclusion</w:t>
      </w:r>
    </w:p>
    <w:p w14:paraId="75BB7F92" w14:textId="77777777" w:rsidR="006C7182" w:rsidRPr="002F758A" w:rsidRDefault="006C7182" w:rsidP="003715DD">
      <w:pPr>
        <w:ind w:left="720" w:hanging="720"/>
        <w:jc w:val="both"/>
        <w:rPr>
          <w:rFonts w:ascii="Calibri" w:hAnsi="Calibri" w:cs="Calibri"/>
          <w:color w:val="404040"/>
          <w:sz w:val="22"/>
        </w:rPr>
      </w:pPr>
    </w:p>
    <w:p w14:paraId="3519FCAD" w14:textId="77777777" w:rsidR="003715DD" w:rsidRPr="003715DD" w:rsidRDefault="00D574EF" w:rsidP="003715DD">
      <w:pPr>
        <w:ind w:left="720" w:hanging="720"/>
        <w:jc w:val="both"/>
        <w:rPr>
          <w:rFonts w:ascii="Calibri" w:hAnsi="Calibri" w:cs="Calibri"/>
          <w:color w:val="404040"/>
          <w:sz w:val="22"/>
        </w:rPr>
      </w:pPr>
      <w:r w:rsidRPr="002F758A">
        <w:rPr>
          <w:rFonts w:ascii="Calibri" w:hAnsi="Calibri" w:cs="Calibri"/>
          <w:color w:val="404040"/>
          <w:sz w:val="22"/>
        </w:rPr>
        <w:t>7</w:t>
      </w:r>
      <w:r w:rsidR="006C7182" w:rsidRPr="002F758A">
        <w:rPr>
          <w:rFonts w:ascii="Calibri" w:hAnsi="Calibri" w:cs="Calibri"/>
          <w:color w:val="404040"/>
          <w:sz w:val="22"/>
        </w:rPr>
        <w:t>.1</w:t>
      </w:r>
      <w:r w:rsidR="006C7182" w:rsidRPr="002F758A">
        <w:rPr>
          <w:rFonts w:ascii="Calibri" w:hAnsi="Calibri" w:cs="Calibri"/>
          <w:color w:val="404040"/>
          <w:sz w:val="22"/>
        </w:rPr>
        <w:tab/>
      </w:r>
      <w:r w:rsidR="000B58A9" w:rsidRPr="00A002B9">
        <w:rPr>
          <w:rFonts w:ascii="Calibri" w:hAnsi="Calibri" w:cs="Calibri"/>
          <w:color w:val="404040"/>
          <w:kern w:val="24"/>
          <w:sz w:val="22"/>
          <w:szCs w:val="22"/>
          <w:lang w:val="en-US"/>
        </w:rPr>
        <w:t>The LCD screens are considered appropriate and complementary to the commercial character of the town centre and it is within such locations that this type of small scale advertising unit works best. The commercial messages displayed on the screens contribute and support the shoppers experience, being capable of showing localized information and promotions that reinforces the town centre retailing function and encourage</w:t>
      </w:r>
      <w:r w:rsidR="003715DD">
        <w:rPr>
          <w:rFonts w:ascii="Calibri" w:hAnsi="Calibri" w:cs="Calibri"/>
          <w:color w:val="404040"/>
          <w:kern w:val="24"/>
          <w:sz w:val="22"/>
          <w:szCs w:val="22"/>
          <w:lang w:val="en-US"/>
        </w:rPr>
        <w:t>s</w:t>
      </w:r>
      <w:r w:rsidR="000B58A9" w:rsidRPr="00A002B9">
        <w:rPr>
          <w:rFonts w:ascii="Calibri" w:hAnsi="Calibri" w:cs="Calibri"/>
          <w:color w:val="404040"/>
          <w:kern w:val="24"/>
          <w:sz w:val="22"/>
          <w:szCs w:val="22"/>
          <w:lang w:val="en-US"/>
        </w:rPr>
        <w:t xml:space="preserve"> consumer spending.</w:t>
      </w:r>
      <w:r w:rsidR="000B58A9" w:rsidRPr="000B58A9">
        <w:rPr>
          <w:rFonts w:ascii="Calibri" w:hAnsi="Calibri" w:cs="Calibri"/>
          <w:color w:val="404040"/>
          <w:kern w:val="24"/>
          <w:sz w:val="22"/>
          <w:szCs w:val="22"/>
        </w:rPr>
        <w:t xml:space="preserve"> </w:t>
      </w:r>
      <w:r w:rsidR="000B58A9" w:rsidRPr="00A002B9">
        <w:rPr>
          <w:rFonts w:ascii="Calibri" w:hAnsi="Calibri" w:cs="Calibri"/>
          <w:color w:val="404040"/>
          <w:kern w:val="24"/>
          <w:sz w:val="22"/>
          <w:szCs w:val="22"/>
          <w:lang w:val="en-US"/>
        </w:rPr>
        <w:t xml:space="preserve">Within Queen Victoria Street, where the character is unique and distinctive, the street level activity is as vibrant and active as the rest of the </w:t>
      </w:r>
      <w:r w:rsidR="000B58A9" w:rsidRPr="00A002B9">
        <w:rPr>
          <w:rFonts w:ascii="Calibri" w:hAnsi="Calibri" w:cs="Calibri"/>
          <w:color w:val="404040"/>
          <w:kern w:val="24"/>
          <w:sz w:val="22"/>
          <w:szCs w:val="22"/>
          <w:lang w:val="en-US"/>
        </w:rPr>
        <w:lastRenderedPageBreak/>
        <w:t>town centre. However, in recognition of this character, only two units</w:t>
      </w:r>
      <w:r w:rsidR="00291148">
        <w:rPr>
          <w:rFonts w:ascii="Calibri" w:hAnsi="Calibri" w:cs="Calibri"/>
          <w:color w:val="404040"/>
          <w:kern w:val="24"/>
          <w:sz w:val="22"/>
          <w:szCs w:val="22"/>
          <w:lang w:val="en-US"/>
        </w:rPr>
        <w:t xml:space="preserve"> are proposed on a frontage of over 130m </w:t>
      </w:r>
      <w:r w:rsidR="000B58A9" w:rsidRPr="00A002B9">
        <w:rPr>
          <w:rFonts w:ascii="Calibri" w:hAnsi="Calibri" w:cs="Calibri"/>
          <w:color w:val="404040"/>
          <w:kern w:val="24"/>
          <w:sz w:val="22"/>
          <w:szCs w:val="22"/>
          <w:lang w:val="en-US"/>
        </w:rPr>
        <w:t xml:space="preserve">so as not to dominate views or clutter the street. </w:t>
      </w:r>
      <w:r w:rsidR="003715DD">
        <w:rPr>
          <w:rFonts w:ascii="Calibri" w:hAnsi="Calibri" w:cs="Calibri"/>
          <w:color w:val="404040"/>
          <w:kern w:val="24"/>
          <w:sz w:val="22"/>
          <w:szCs w:val="22"/>
          <w:lang w:val="en-US"/>
        </w:rPr>
        <w:t>T</w:t>
      </w:r>
      <w:r w:rsidR="003715DD" w:rsidRPr="003715DD">
        <w:rPr>
          <w:rFonts w:ascii="Calibri" w:hAnsi="Calibri" w:cs="Calibri"/>
          <w:color w:val="404040"/>
          <w:sz w:val="22"/>
        </w:rPr>
        <w:t>he propos</w:t>
      </w:r>
      <w:r w:rsidR="003715DD">
        <w:rPr>
          <w:rFonts w:ascii="Calibri" w:hAnsi="Calibri" w:cs="Calibri"/>
          <w:color w:val="404040"/>
          <w:sz w:val="22"/>
        </w:rPr>
        <w:t xml:space="preserve">ed work is an </w:t>
      </w:r>
      <w:r w:rsidR="003715DD" w:rsidRPr="003715DD">
        <w:rPr>
          <w:rFonts w:ascii="Calibri" w:hAnsi="Calibri" w:cs="Calibri"/>
          <w:color w:val="404040"/>
          <w:sz w:val="22"/>
        </w:rPr>
        <w:t xml:space="preserve">entirely reversible intervention and </w:t>
      </w:r>
      <w:r w:rsidR="003715DD">
        <w:rPr>
          <w:rFonts w:ascii="Calibri" w:hAnsi="Calibri" w:cs="Calibri"/>
          <w:color w:val="404040"/>
          <w:sz w:val="22"/>
        </w:rPr>
        <w:t xml:space="preserve">can be removed without lasting harm to the area and is limited to </w:t>
      </w:r>
      <w:r w:rsidR="003715DD" w:rsidRPr="003715DD">
        <w:rPr>
          <w:rFonts w:ascii="Calibri" w:hAnsi="Calibri" w:cs="Calibri"/>
          <w:color w:val="404040"/>
          <w:sz w:val="22"/>
        </w:rPr>
        <w:t xml:space="preserve">five </w:t>
      </w:r>
      <w:r w:rsidR="00E9128D" w:rsidRPr="003715DD">
        <w:rPr>
          <w:rFonts w:ascii="Calibri" w:hAnsi="Calibri" w:cs="Calibri"/>
          <w:color w:val="404040"/>
          <w:sz w:val="22"/>
        </w:rPr>
        <w:t>years’</w:t>
      </w:r>
      <w:r w:rsidR="003715DD">
        <w:rPr>
          <w:rFonts w:ascii="Calibri" w:hAnsi="Calibri" w:cs="Calibri"/>
          <w:color w:val="404040"/>
          <w:sz w:val="22"/>
        </w:rPr>
        <w:t xml:space="preserve"> consent</w:t>
      </w:r>
      <w:r w:rsidR="003715DD" w:rsidRPr="003715DD">
        <w:rPr>
          <w:rFonts w:ascii="Calibri" w:hAnsi="Calibri" w:cs="Calibri"/>
          <w:color w:val="404040"/>
          <w:sz w:val="22"/>
        </w:rPr>
        <w:t xml:space="preserve">. Overall the proposal is considered to have a neutral impact on the area that will not undermine the integrity of the heritage asset. </w:t>
      </w:r>
    </w:p>
    <w:p w14:paraId="40FF3D68" w14:textId="77777777" w:rsidR="000B58A9" w:rsidRPr="00A002B9" w:rsidRDefault="000B58A9" w:rsidP="000B58A9">
      <w:pPr>
        <w:pStyle w:val="NormalWeb"/>
        <w:spacing w:before="0" w:beforeAutospacing="0" w:after="0" w:afterAutospacing="0"/>
        <w:ind w:left="709" w:hanging="709"/>
        <w:jc w:val="both"/>
        <w:rPr>
          <w:rFonts w:ascii="Calibri" w:hAnsi="Calibri" w:cs="Calibri"/>
          <w:color w:val="404040"/>
          <w:sz w:val="22"/>
          <w:szCs w:val="22"/>
        </w:rPr>
      </w:pPr>
    </w:p>
    <w:p w14:paraId="1AE3A057" w14:textId="77777777" w:rsidR="000B58A9" w:rsidRPr="002F758A" w:rsidRDefault="000B58A9" w:rsidP="000B58A9">
      <w:pPr>
        <w:pStyle w:val="NormalWeb"/>
        <w:spacing w:before="0" w:beforeAutospacing="0" w:after="0" w:afterAutospacing="0"/>
        <w:ind w:left="709" w:hanging="709"/>
        <w:jc w:val="both"/>
        <w:rPr>
          <w:rFonts w:ascii="Calibri" w:hAnsi="Calibri" w:cs="Calibri"/>
          <w:color w:val="404040"/>
          <w:sz w:val="22"/>
        </w:rPr>
      </w:pPr>
    </w:p>
    <w:p w14:paraId="298AF01D" w14:textId="77777777" w:rsidR="005E7A89" w:rsidRPr="002F758A" w:rsidRDefault="000B58A9" w:rsidP="000B58A9">
      <w:pPr>
        <w:pStyle w:val="NormalWeb"/>
        <w:spacing w:before="0" w:beforeAutospacing="0" w:after="0" w:afterAutospacing="0"/>
        <w:ind w:left="709" w:hanging="709"/>
        <w:jc w:val="both"/>
        <w:rPr>
          <w:rFonts w:ascii="Calibri" w:hAnsi="Calibri" w:cs="Calibri"/>
          <w:color w:val="404040"/>
          <w:sz w:val="22"/>
        </w:rPr>
      </w:pPr>
      <w:r w:rsidRPr="002F758A">
        <w:rPr>
          <w:rFonts w:ascii="Calibri" w:hAnsi="Calibri" w:cs="Calibri"/>
          <w:color w:val="404040"/>
          <w:sz w:val="22"/>
        </w:rPr>
        <w:t>7.2</w:t>
      </w:r>
      <w:r w:rsidRPr="002F758A">
        <w:rPr>
          <w:rFonts w:ascii="Calibri" w:hAnsi="Calibri" w:cs="Calibri"/>
          <w:color w:val="404040"/>
          <w:sz w:val="22"/>
        </w:rPr>
        <w:tab/>
      </w:r>
      <w:r w:rsidR="006C7182" w:rsidRPr="002F758A">
        <w:rPr>
          <w:rFonts w:ascii="Calibri" w:hAnsi="Calibri" w:cs="Calibri"/>
          <w:color w:val="404040"/>
          <w:sz w:val="22"/>
        </w:rPr>
        <w:t xml:space="preserve">The proposed development will </w:t>
      </w:r>
      <w:r w:rsidR="007846E5" w:rsidRPr="002F758A">
        <w:rPr>
          <w:rFonts w:ascii="Calibri" w:hAnsi="Calibri" w:cs="Calibri"/>
          <w:color w:val="404040"/>
          <w:sz w:val="22"/>
        </w:rPr>
        <w:t xml:space="preserve">not </w:t>
      </w:r>
      <w:r w:rsidR="006C7182" w:rsidRPr="002F758A">
        <w:rPr>
          <w:rFonts w:ascii="Calibri" w:hAnsi="Calibri" w:cs="Calibri"/>
          <w:color w:val="404040"/>
          <w:sz w:val="22"/>
        </w:rPr>
        <w:t xml:space="preserve">have </w:t>
      </w:r>
      <w:r w:rsidR="007846E5" w:rsidRPr="002F758A">
        <w:rPr>
          <w:rFonts w:ascii="Calibri" w:hAnsi="Calibri" w:cs="Calibri"/>
          <w:color w:val="404040"/>
          <w:sz w:val="22"/>
        </w:rPr>
        <w:t>a</w:t>
      </w:r>
      <w:r w:rsidRPr="002F758A">
        <w:rPr>
          <w:rFonts w:ascii="Calibri" w:hAnsi="Calibri" w:cs="Calibri"/>
          <w:color w:val="404040"/>
          <w:sz w:val="22"/>
        </w:rPr>
        <w:t xml:space="preserve"> </w:t>
      </w:r>
      <w:r w:rsidR="00D145B4" w:rsidRPr="002F758A">
        <w:rPr>
          <w:rFonts w:ascii="Calibri" w:hAnsi="Calibri" w:cs="Calibri"/>
          <w:color w:val="404040"/>
          <w:sz w:val="22"/>
        </w:rPr>
        <w:t xml:space="preserve">harmful </w:t>
      </w:r>
      <w:r w:rsidR="007846E5" w:rsidRPr="002F758A">
        <w:rPr>
          <w:rFonts w:ascii="Calibri" w:hAnsi="Calibri" w:cs="Calibri"/>
          <w:color w:val="404040"/>
          <w:sz w:val="22"/>
        </w:rPr>
        <w:t xml:space="preserve">effect </w:t>
      </w:r>
      <w:r w:rsidR="006C7182" w:rsidRPr="002F758A">
        <w:rPr>
          <w:rFonts w:ascii="Calibri" w:hAnsi="Calibri" w:cs="Calibri"/>
          <w:color w:val="404040"/>
          <w:sz w:val="22"/>
        </w:rPr>
        <w:t>on the</w:t>
      </w:r>
      <w:r w:rsidR="00A002B9" w:rsidRPr="002F758A">
        <w:rPr>
          <w:rFonts w:ascii="Calibri" w:hAnsi="Calibri" w:cs="Calibri"/>
          <w:color w:val="404040"/>
          <w:sz w:val="22"/>
        </w:rPr>
        <w:t xml:space="preserve"> setting of the listed buildings within the street. The visual association </w:t>
      </w:r>
      <w:r w:rsidR="00291148" w:rsidRPr="002F758A">
        <w:rPr>
          <w:rFonts w:ascii="Calibri" w:hAnsi="Calibri" w:cs="Calibri"/>
          <w:color w:val="404040"/>
          <w:sz w:val="22"/>
        </w:rPr>
        <w:t xml:space="preserve">of the displays </w:t>
      </w:r>
      <w:r w:rsidR="00A002B9" w:rsidRPr="002F758A">
        <w:rPr>
          <w:rFonts w:ascii="Calibri" w:hAnsi="Calibri" w:cs="Calibri"/>
          <w:color w:val="404040"/>
          <w:sz w:val="22"/>
        </w:rPr>
        <w:t xml:space="preserve">is more closely aligned to the active and constantly changing street </w:t>
      </w:r>
      <w:r w:rsidR="00291148" w:rsidRPr="002F758A">
        <w:rPr>
          <w:rFonts w:ascii="Calibri" w:hAnsi="Calibri" w:cs="Calibri"/>
          <w:color w:val="404040"/>
          <w:sz w:val="22"/>
        </w:rPr>
        <w:t>frontages</w:t>
      </w:r>
      <w:r w:rsidR="00A002B9" w:rsidRPr="002F758A">
        <w:rPr>
          <w:rFonts w:ascii="Calibri" w:hAnsi="Calibri" w:cs="Calibri"/>
          <w:color w:val="404040"/>
          <w:sz w:val="22"/>
        </w:rPr>
        <w:t xml:space="preserve"> and shop entrances rather than the upper floors of the buildings</w:t>
      </w:r>
      <w:r w:rsidR="00840683" w:rsidRPr="002F758A">
        <w:rPr>
          <w:rFonts w:ascii="Calibri" w:hAnsi="Calibri" w:cs="Calibri"/>
          <w:color w:val="404040"/>
          <w:sz w:val="22"/>
        </w:rPr>
        <w:t>.</w:t>
      </w:r>
      <w:r w:rsidR="006C7182" w:rsidRPr="002F758A">
        <w:rPr>
          <w:rFonts w:ascii="Calibri" w:hAnsi="Calibri" w:cs="Calibri"/>
          <w:color w:val="404040"/>
          <w:sz w:val="22"/>
        </w:rPr>
        <w:t xml:space="preserve"> </w:t>
      </w:r>
      <w:r w:rsidR="00D27A80" w:rsidRPr="002F758A">
        <w:rPr>
          <w:rFonts w:ascii="Calibri" w:hAnsi="Calibri" w:cs="Calibri"/>
          <w:color w:val="404040"/>
          <w:sz w:val="22"/>
        </w:rPr>
        <w:t xml:space="preserve"> </w:t>
      </w:r>
      <w:r w:rsidR="00A002B9" w:rsidRPr="00A002B9">
        <w:rPr>
          <w:rFonts w:ascii="Calibri" w:hAnsi="Calibri" w:cs="Calibri"/>
          <w:color w:val="404040"/>
          <w:kern w:val="24"/>
          <w:sz w:val="22"/>
          <w:szCs w:val="22"/>
        </w:rPr>
        <w:t>Within the context of the street, the advertisements represent relatively minor</w:t>
      </w:r>
      <w:r w:rsidR="00A002B9">
        <w:rPr>
          <w:rFonts w:ascii="Calibri" w:hAnsi="Calibri" w:cs="Calibri"/>
          <w:color w:val="404040"/>
          <w:kern w:val="24"/>
          <w:sz w:val="22"/>
          <w:szCs w:val="22"/>
        </w:rPr>
        <w:t xml:space="preserve"> intervention</w:t>
      </w:r>
      <w:r w:rsidR="00A002B9" w:rsidRPr="00A002B9">
        <w:rPr>
          <w:rFonts w:ascii="Calibri" w:hAnsi="Calibri" w:cs="Calibri"/>
          <w:color w:val="404040"/>
          <w:kern w:val="24"/>
          <w:sz w:val="22"/>
          <w:szCs w:val="22"/>
        </w:rPr>
        <w:t xml:space="preserve"> that will have a visually neutral effect upon the character and appearance of the heritage assets. </w:t>
      </w:r>
    </w:p>
    <w:p w14:paraId="522A5F74" w14:textId="77777777" w:rsidR="005E7A89" w:rsidRPr="002F758A" w:rsidRDefault="005E7A89" w:rsidP="001827FF">
      <w:pPr>
        <w:ind w:left="720" w:hanging="720"/>
        <w:jc w:val="both"/>
        <w:rPr>
          <w:rFonts w:ascii="Calibri" w:hAnsi="Calibri" w:cs="Calibri"/>
          <w:color w:val="404040"/>
          <w:sz w:val="22"/>
        </w:rPr>
      </w:pPr>
    </w:p>
    <w:p w14:paraId="3E9CB397" w14:textId="77777777" w:rsidR="005E7A89" w:rsidRPr="002F758A" w:rsidRDefault="005E7A89" w:rsidP="001827FF">
      <w:pPr>
        <w:ind w:left="720" w:hanging="720"/>
        <w:jc w:val="both"/>
        <w:rPr>
          <w:rFonts w:ascii="Calibri" w:hAnsi="Calibri" w:cs="Calibri"/>
          <w:color w:val="404040"/>
          <w:sz w:val="22"/>
        </w:rPr>
      </w:pPr>
    </w:p>
    <w:p w14:paraId="1CA28884" w14:textId="77777777" w:rsidR="00B42E20" w:rsidRPr="002F758A" w:rsidRDefault="00B42E20" w:rsidP="005E7A89">
      <w:pPr>
        <w:pStyle w:val="NormalWeb"/>
        <w:spacing w:before="0" w:beforeAutospacing="0" w:after="0" w:afterAutospacing="0"/>
        <w:rPr>
          <w:rFonts w:ascii="Calibri" w:hAnsi="Calibri" w:cs="Calibri"/>
          <w:color w:val="404040"/>
          <w:kern w:val="24"/>
          <w:sz w:val="22"/>
          <w:szCs w:val="22"/>
        </w:rPr>
      </w:pPr>
    </w:p>
    <w:p w14:paraId="225BEF92" w14:textId="77777777" w:rsidR="00114A5D" w:rsidRPr="002F758A" w:rsidRDefault="00114A5D" w:rsidP="001827FF">
      <w:pPr>
        <w:ind w:left="720" w:hanging="720"/>
        <w:jc w:val="both"/>
        <w:rPr>
          <w:rFonts w:ascii="Calibri" w:hAnsi="Calibri" w:cs="Calibri"/>
          <w:color w:val="404040"/>
          <w:sz w:val="22"/>
        </w:rPr>
      </w:pPr>
    </w:p>
    <w:sectPr w:rsidR="00114A5D" w:rsidRPr="002F758A" w:rsidSect="00291148">
      <w:footerReference w:type="even" r:id="rId14"/>
      <w:footerReference w:type="default" r:id="rId15"/>
      <w:pgSz w:w="12240" w:h="15840"/>
      <w:pgMar w:top="1135" w:right="1800" w:bottom="284"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34D15" w14:textId="77777777" w:rsidR="002F758A" w:rsidRDefault="002F758A">
      <w:r>
        <w:separator/>
      </w:r>
    </w:p>
  </w:endnote>
  <w:endnote w:type="continuationSeparator" w:id="0">
    <w:p w14:paraId="0D6B5F77" w14:textId="77777777" w:rsidR="002F758A" w:rsidRDefault="002F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2DAB3" w14:textId="77777777" w:rsidR="003715DD" w:rsidRDefault="003715DD" w:rsidP="002645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4CDCC6" w14:textId="77777777" w:rsidR="003715DD" w:rsidRDefault="00371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7DA3E" w14:textId="03489E03" w:rsidR="003715DD" w:rsidRDefault="003715DD" w:rsidP="002645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14AE">
      <w:rPr>
        <w:rStyle w:val="PageNumber"/>
        <w:noProof/>
      </w:rPr>
      <w:t>3</w:t>
    </w:r>
    <w:r>
      <w:rPr>
        <w:rStyle w:val="PageNumber"/>
      </w:rPr>
      <w:fldChar w:fldCharType="end"/>
    </w:r>
  </w:p>
  <w:p w14:paraId="366C4042" w14:textId="77777777" w:rsidR="003715DD" w:rsidRDefault="00371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7EDC6" w14:textId="77777777" w:rsidR="002F758A" w:rsidRDefault="002F758A">
      <w:r>
        <w:separator/>
      </w:r>
    </w:p>
  </w:footnote>
  <w:footnote w:type="continuationSeparator" w:id="0">
    <w:p w14:paraId="4033B1CD" w14:textId="77777777" w:rsidR="002F758A" w:rsidRDefault="002F758A">
      <w:r>
        <w:continuationSeparator/>
      </w:r>
    </w:p>
  </w:footnote>
  <w:footnote w:id="1">
    <w:p w14:paraId="477A27C0" w14:textId="77777777" w:rsidR="003715DD" w:rsidRPr="00B060A4" w:rsidRDefault="003715DD">
      <w:pPr>
        <w:pStyle w:val="FootnoteText"/>
        <w:rPr>
          <w:rFonts w:ascii="Calibri" w:hAnsi="Calibri" w:cs="Calibri"/>
          <w:lang w:val="en-GB"/>
        </w:rPr>
      </w:pPr>
      <w:r w:rsidRPr="00B060A4">
        <w:rPr>
          <w:rStyle w:val="FootnoteReference"/>
          <w:rFonts w:ascii="Calibri" w:hAnsi="Calibri" w:cs="Calibri"/>
        </w:rPr>
        <w:footnoteRef/>
      </w:r>
      <w:r w:rsidRPr="00B060A4">
        <w:rPr>
          <w:rFonts w:ascii="Calibri" w:hAnsi="Calibri" w:cs="Calibri"/>
        </w:rPr>
        <w:t xml:space="preserve"> </w:t>
      </w:r>
      <w:r w:rsidRPr="00B060A4">
        <w:rPr>
          <w:rFonts w:ascii="Calibri" w:hAnsi="Calibri" w:cs="Calibri"/>
          <w:lang w:val="en-GB"/>
        </w:rPr>
        <w:t>Town and Country Planning (Control of Advertisements) (England) Regulations 2007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14054"/>
    <w:multiLevelType w:val="multilevel"/>
    <w:tmpl w:val="50F071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F9C123C"/>
    <w:multiLevelType w:val="hybridMultilevel"/>
    <w:tmpl w:val="94FAB1E2"/>
    <w:lvl w:ilvl="0" w:tplc="39A835D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562770F"/>
    <w:multiLevelType w:val="multilevel"/>
    <w:tmpl w:val="EB5A716E"/>
    <w:lvl w:ilvl="0">
      <w:start w:val="5"/>
      <w:numFmt w:val="decimal"/>
      <w:lvlText w:val="%1.0"/>
      <w:lvlJc w:val="left"/>
      <w:pPr>
        <w:ind w:left="1069" w:hanging="360"/>
      </w:pPr>
      <w:rPr>
        <w:rFonts w:cs="Calibri" w:hint="default"/>
        <w:sz w:val="22"/>
      </w:rPr>
    </w:lvl>
    <w:lvl w:ilvl="1">
      <w:start w:val="1"/>
      <w:numFmt w:val="decimal"/>
      <w:lvlText w:val="%1.%2"/>
      <w:lvlJc w:val="left"/>
      <w:pPr>
        <w:ind w:left="1789" w:hanging="360"/>
      </w:pPr>
      <w:rPr>
        <w:rFonts w:cs="Calibri" w:hint="default"/>
      </w:rPr>
    </w:lvl>
    <w:lvl w:ilvl="2">
      <w:start w:val="1"/>
      <w:numFmt w:val="decimal"/>
      <w:lvlText w:val="%1.%2.%3"/>
      <w:lvlJc w:val="left"/>
      <w:pPr>
        <w:ind w:left="2869" w:hanging="720"/>
      </w:pPr>
      <w:rPr>
        <w:rFonts w:cs="Calibri" w:hint="default"/>
      </w:rPr>
    </w:lvl>
    <w:lvl w:ilvl="3">
      <w:start w:val="1"/>
      <w:numFmt w:val="decimal"/>
      <w:lvlText w:val="%1.%2.%3.%4"/>
      <w:lvlJc w:val="left"/>
      <w:pPr>
        <w:ind w:left="3589" w:hanging="720"/>
      </w:pPr>
      <w:rPr>
        <w:rFonts w:cs="Calibri" w:hint="default"/>
      </w:rPr>
    </w:lvl>
    <w:lvl w:ilvl="4">
      <w:start w:val="1"/>
      <w:numFmt w:val="decimal"/>
      <w:lvlText w:val="%1.%2.%3.%4.%5"/>
      <w:lvlJc w:val="left"/>
      <w:pPr>
        <w:ind w:left="4669" w:hanging="1080"/>
      </w:pPr>
      <w:rPr>
        <w:rFonts w:cs="Calibri" w:hint="default"/>
      </w:rPr>
    </w:lvl>
    <w:lvl w:ilvl="5">
      <w:start w:val="1"/>
      <w:numFmt w:val="decimal"/>
      <w:lvlText w:val="%1.%2.%3.%4.%5.%6"/>
      <w:lvlJc w:val="left"/>
      <w:pPr>
        <w:ind w:left="5389" w:hanging="1080"/>
      </w:pPr>
      <w:rPr>
        <w:rFonts w:cs="Calibri" w:hint="default"/>
      </w:rPr>
    </w:lvl>
    <w:lvl w:ilvl="6">
      <w:start w:val="1"/>
      <w:numFmt w:val="decimal"/>
      <w:lvlText w:val="%1.%2.%3.%4.%5.%6.%7"/>
      <w:lvlJc w:val="left"/>
      <w:pPr>
        <w:ind w:left="6469" w:hanging="1440"/>
      </w:pPr>
      <w:rPr>
        <w:rFonts w:cs="Calibri" w:hint="default"/>
      </w:rPr>
    </w:lvl>
    <w:lvl w:ilvl="7">
      <w:start w:val="1"/>
      <w:numFmt w:val="decimal"/>
      <w:lvlText w:val="%1.%2.%3.%4.%5.%6.%7.%8"/>
      <w:lvlJc w:val="left"/>
      <w:pPr>
        <w:ind w:left="7189" w:hanging="1440"/>
      </w:pPr>
      <w:rPr>
        <w:rFonts w:cs="Calibri" w:hint="default"/>
      </w:rPr>
    </w:lvl>
    <w:lvl w:ilvl="8">
      <w:start w:val="1"/>
      <w:numFmt w:val="decimal"/>
      <w:lvlText w:val="%1.%2.%3.%4.%5.%6.%7.%8.%9"/>
      <w:lvlJc w:val="left"/>
      <w:pPr>
        <w:ind w:left="8269" w:hanging="1800"/>
      </w:pPr>
      <w:rPr>
        <w:rFonts w:cs="Calibri" w:hint="default"/>
      </w:rPr>
    </w:lvl>
  </w:abstractNum>
  <w:abstractNum w:abstractNumId="3" w15:restartNumberingAfterBreak="0">
    <w:nsid w:val="1995280A"/>
    <w:multiLevelType w:val="multilevel"/>
    <w:tmpl w:val="91C4B50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Candara" w:hAnsi="Candara"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A0A26DA"/>
    <w:multiLevelType w:val="hybridMultilevel"/>
    <w:tmpl w:val="89B219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E6725B"/>
    <w:multiLevelType w:val="hybridMultilevel"/>
    <w:tmpl w:val="A634C660"/>
    <w:lvl w:ilvl="0" w:tplc="E0802D2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1C134C59"/>
    <w:multiLevelType w:val="hybridMultilevel"/>
    <w:tmpl w:val="8BC6D4C8"/>
    <w:lvl w:ilvl="0" w:tplc="7E74930C">
      <w:start w:val="1"/>
      <w:numFmt w:val="bullet"/>
      <w:lvlText w:val="•"/>
      <w:lvlJc w:val="left"/>
      <w:pPr>
        <w:tabs>
          <w:tab w:val="num" w:pos="720"/>
        </w:tabs>
        <w:ind w:left="720" w:hanging="360"/>
      </w:pPr>
      <w:rPr>
        <w:rFonts w:ascii="Arial" w:hAnsi="Arial" w:hint="default"/>
      </w:rPr>
    </w:lvl>
    <w:lvl w:ilvl="1" w:tplc="DD045C86">
      <w:start w:val="1"/>
      <w:numFmt w:val="bullet"/>
      <w:lvlText w:val="•"/>
      <w:lvlJc w:val="left"/>
      <w:pPr>
        <w:tabs>
          <w:tab w:val="num" w:pos="1440"/>
        </w:tabs>
        <w:ind w:left="1440" w:hanging="360"/>
      </w:pPr>
      <w:rPr>
        <w:rFonts w:ascii="Arial" w:hAnsi="Arial" w:hint="default"/>
      </w:rPr>
    </w:lvl>
    <w:lvl w:ilvl="2" w:tplc="FAD443E6" w:tentative="1">
      <w:start w:val="1"/>
      <w:numFmt w:val="bullet"/>
      <w:lvlText w:val="•"/>
      <w:lvlJc w:val="left"/>
      <w:pPr>
        <w:tabs>
          <w:tab w:val="num" w:pos="2160"/>
        </w:tabs>
        <w:ind w:left="2160" w:hanging="360"/>
      </w:pPr>
      <w:rPr>
        <w:rFonts w:ascii="Arial" w:hAnsi="Arial" w:hint="default"/>
      </w:rPr>
    </w:lvl>
    <w:lvl w:ilvl="3" w:tplc="53068B98" w:tentative="1">
      <w:start w:val="1"/>
      <w:numFmt w:val="bullet"/>
      <w:lvlText w:val="•"/>
      <w:lvlJc w:val="left"/>
      <w:pPr>
        <w:tabs>
          <w:tab w:val="num" w:pos="2880"/>
        </w:tabs>
        <w:ind w:left="2880" w:hanging="360"/>
      </w:pPr>
      <w:rPr>
        <w:rFonts w:ascii="Arial" w:hAnsi="Arial" w:hint="default"/>
      </w:rPr>
    </w:lvl>
    <w:lvl w:ilvl="4" w:tplc="F176FB48" w:tentative="1">
      <w:start w:val="1"/>
      <w:numFmt w:val="bullet"/>
      <w:lvlText w:val="•"/>
      <w:lvlJc w:val="left"/>
      <w:pPr>
        <w:tabs>
          <w:tab w:val="num" w:pos="3600"/>
        </w:tabs>
        <w:ind w:left="3600" w:hanging="360"/>
      </w:pPr>
      <w:rPr>
        <w:rFonts w:ascii="Arial" w:hAnsi="Arial" w:hint="default"/>
      </w:rPr>
    </w:lvl>
    <w:lvl w:ilvl="5" w:tplc="B1AEDFF8" w:tentative="1">
      <w:start w:val="1"/>
      <w:numFmt w:val="bullet"/>
      <w:lvlText w:val="•"/>
      <w:lvlJc w:val="left"/>
      <w:pPr>
        <w:tabs>
          <w:tab w:val="num" w:pos="4320"/>
        </w:tabs>
        <w:ind w:left="4320" w:hanging="360"/>
      </w:pPr>
      <w:rPr>
        <w:rFonts w:ascii="Arial" w:hAnsi="Arial" w:hint="default"/>
      </w:rPr>
    </w:lvl>
    <w:lvl w:ilvl="6" w:tplc="E4DE9C60" w:tentative="1">
      <w:start w:val="1"/>
      <w:numFmt w:val="bullet"/>
      <w:lvlText w:val="•"/>
      <w:lvlJc w:val="left"/>
      <w:pPr>
        <w:tabs>
          <w:tab w:val="num" w:pos="5040"/>
        </w:tabs>
        <w:ind w:left="5040" w:hanging="360"/>
      </w:pPr>
      <w:rPr>
        <w:rFonts w:ascii="Arial" w:hAnsi="Arial" w:hint="default"/>
      </w:rPr>
    </w:lvl>
    <w:lvl w:ilvl="7" w:tplc="B20E52EE" w:tentative="1">
      <w:start w:val="1"/>
      <w:numFmt w:val="bullet"/>
      <w:lvlText w:val="•"/>
      <w:lvlJc w:val="left"/>
      <w:pPr>
        <w:tabs>
          <w:tab w:val="num" w:pos="5760"/>
        </w:tabs>
        <w:ind w:left="5760" w:hanging="360"/>
      </w:pPr>
      <w:rPr>
        <w:rFonts w:ascii="Arial" w:hAnsi="Arial" w:hint="default"/>
      </w:rPr>
    </w:lvl>
    <w:lvl w:ilvl="8" w:tplc="0A42E85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DD1AA5"/>
    <w:multiLevelType w:val="multilevel"/>
    <w:tmpl w:val="D7E4CA68"/>
    <w:lvl w:ilvl="0">
      <w:start w:val="3"/>
      <w:numFmt w:val="decimal"/>
      <w:lvlText w:val="%1"/>
      <w:lvlJc w:val="left"/>
      <w:pPr>
        <w:ind w:left="360" w:hanging="360"/>
      </w:pPr>
      <w:rPr>
        <w:rFonts w:hint="default"/>
        <w:sz w:val="22"/>
      </w:rPr>
    </w:lvl>
    <w:lvl w:ilv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8" w15:restartNumberingAfterBreak="0">
    <w:nsid w:val="483270E1"/>
    <w:multiLevelType w:val="multilevel"/>
    <w:tmpl w:val="975408B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E24E30"/>
    <w:multiLevelType w:val="multilevel"/>
    <w:tmpl w:val="C214F124"/>
    <w:lvl w:ilvl="0">
      <w:start w:val="2"/>
      <w:numFmt w:val="decimal"/>
      <w:lvlText w:val="%1.0"/>
      <w:lvlJc w:val="left"/>
      <w:pPr>
        <w:tabs>
          <w:tab w:val="num" w:pos="720"/>
        </w:tabs>
        <w:ind w:left="720" w:hanging="720"/>
      </w:pPr>
      <w:rPr>
        <w:rFonts w:hint="default"/>
        <w:b w:val="0"/>
      </w:rPr>
    </w:lvl>
    <w:lvl w:ilv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10" w15:restartNumberingAfterBreak="0">
    <w:nsid w:val="4D840CEC"/>
    <w:multiLevelType w:val="multilevel"/>
    <w:tmpl w:val="B3403E4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F343778"/>
    <w:multiLevelType w:val="hybridMultilevel"/>
    <w:tmpl w:val="8E3E67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FA23D6B"/>
    <w:multiLevelType w:val="multilevel"/>
    <w:tmpl w:val="D7E4CA68"/>
    <w:lvl w:ilvl="0">
      <w:start w:val="3"/>
      <w:numFmt w:val="decimal"/>
      <w:lvlText w:val="%1"/>
      <w:lvlJc w:val="left"/>
      <w:pPr>
        <w:ind w:left="360" w:hanging="360"/>
      </w:pPr>
      <w:rPr>
        <w:rFonts w:hint="default"/>
        <w:sz w:val="22"/>
      </w:rPr>
    </w:lvl>
    <w:lvl w:ilv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3" w15:restartNumberingAfterBreak="0">
    <w:nsid w:val="52B952EC"/>
    <w:multiLevelType w:val="multilevel"/>
    <w:tmpl w:val="CF081FAE"/>
    <w:lvl w:ilvl="0">
      <w:start w:val="3"/>
      <w:numFmt w:val="decimal"/>
      <w:lvlText w:val="%1"/>
      <w:lvlJc w:val="left"/>
      <w:pPr>
        <w:tabs>
          <w:tab w:val="num" w:pos="360"/>
        </w:tabs>
        <w:ind w:left="360" w:hanging="360"/>
      </w:pPr>
      <w:rPr>
        <w:rFonts w:cs="Times New Roman" w:hint="default"/>
        <w:b w:val="0"/>
        <w:color w:val="auto"/>
      </w:rPr>
    </w:lvl>
    <w:lvl w:ilvl="1">
      <w:start w:val="2"/>
      <w:numFmt w:val="decimal"/>
      <w:lvlText w:val="%1.%2"/>
      <w:lvlJc w:val="left"/>
      <w:pPr>
        <w:tabs>
          <w:tab w:val="num" w:pos="360"/>
        </w:tabs>
        <w:ind w:left="360" w:hanging="36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b w:val="0"/>
        <w:color w:val="auto"/>
      </w:rPr>
    </w:lvl>
    <w:lvl w:ilvl="4">
      <w:start w:val="1"/>
      <w:numFmt w:val="decimal"/>
      <w:lvlText w:val="%1.%2.%3.%4.%5"/>
      <w:lvlJc w:val="left"/>
      <w:pPr>
        <w:tabs>
          <w:tab w:val="num" w:pos="1080"/>
        </w:tabs>
        <w:ind w:left="1080" w:hanging="1080"/>
      </w:pPr>
      <w:rPr>
        <w:rFonts w:cs="Times New Roman" w:hint="default"/>
        <w:b w:val="0"/>
        <w:color w:val="auto"/>
      </w:rPr>
    </w:lvl>
    <w:lvl w:ilvl="5">
      <w:start w:val="1"/>
      <w:numFmt w:val="decimal"/>
      <w:lvlText w:val="%1.%2.%3.%4.%5.%6"/>
      <w:lvlJc w:val="left"/>
      <w:pPr>
        <w:tabs>
          <w:tab w:val="num" w:pos="1080"/>
        </w:tabs>
        <w:ind w:left="1080" w:hanging="1080"/>
      </w:pPr>
      <w:rPr>
        <w:rFonts w:cs="Times New Roman" w:hint="default"/>
        <w:b w:val="0"/>
        <w:color w:val="auto"/>
      </w:rPr>
    </w:lvl>
    <w:lvl w:ilvl="6">
      <w:start w:val="1"/>
      <w:numFmt w:val="decimal"/>
      <w:lvlText w:val="%1.%2.%3.%4.%5.%6.%7"/>
      <w:lvlJc w:val="left"/>
      <w:pPr>
        <w:tabs>
          <w:tab w:val="num" w:pos="1440"/>
        </w:tabs>
        <w:ind w:left="1440" w:hanging="1440"/>
      </w:pPr>
      <w:rPr>
        <w:rFonts w:cs="Times New Roman" w:hint="default"/>
        <w:b w:val="0"/>
        <w:color w:val="auto"/>
      </w:rPr>
    </w:lvl>
    <w:lvl w:ilvl="7">
      <w:start w:val="1"/>
      <w:numFmt w:val="decimal"/>
      <w:lvlText w:val="%1.%2.%3.%4.%5.%6.%7.%8"/>
      <w:lvlJc w:val="left"/>
      <w:pPr>
        <w:tabs>
          <w:tab w:val="num" w:pos="1440"/>
        </w:tabs>
        <w:ind w:left="1440" w:hanging="1440"/>
      </w:pPr>
      <w:rPr>
        <w:rFonts w:cs="Times New Roman" w:hint="default"/>
        <w:b w:val="0"/>
        <w:color w:val="auto"/>
      </w:rPr>
    </w:lvl>
    <w:lvl w:ilvl="8">
      <w:start w:val="1"/>
      <w:numFmt w:val="decimal"/>
      <w:lvlText w:val="%1.%2.%3.%4.%5.%6.%7.%8.%9"/>
      <w:lvlJc w:val="left"/>
      <w:pPr>
        <w:tabs>
          <w:tab w:val="num" w:pos="1800"/>
        </w:tabs>
        <w:ind w:left="1800" w:hanging="1800"/>
      </w:pPr>
      <w:rPr>
        <w:rFonts w:cs="Times New Roman" w:hint="default"/>
        <w:b w:val="0"/>
        <w:color w:val="auto"/>
      </w:rPr>
    </w:lvl>
  </w:abstractNum>
  <w:abstractNum w:abstractNumId="14" w15:restartNumberingAfterBreak="0">
    <w:nsid w:val="55FF626A"/>
    <w:multiLevelType w:val="hybridMultilevel"/>
    <w:tmpl w:val="A8926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F721B"/>
    <w:multiLevelType w:val="hybridMultilevel"/>
    <w:tmpl w:val="B8C01E8E"/>
    <w:lvl w:ilvl="0" w:tplc="733AD7C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D8A4261"/>
    <w:multiLevelType w:val="hybridMultilevel"/>
    <w:tmpl w:val="A962C4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5DE02467"/>
    <w:multiLevelType w:val="hybridMultilevel"/>
    <w:tmpl w:val="725A7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372968"/>
    <w:multiLevelType w:val="hybridMultilevel"/>
    <w:tmpl w:val="51C207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8C802D0"/>
    <w:multiLevelType w:val="multilevel"/>
    <w:tmpl w:val="BD20F1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EB14D59"/>
    <w:multiLevelType w:val="multilevel"/>
    <w:tmpl w:val="4094EBF4"/>
    <w:lvl w:ilvl="0">
      <w:start w:val="5"/>
      <w:numFmt w:val="decimal"/>
      <w:lvlText w:val="%1.0"/>
      <w:lvlJc w:val="left"/>
      <w:pPr>
        <w:ind w:left="502" w:hanging="360"/>
      </w:pPr>
      <w:rPr>
        <w:rFonts w:cs="Calibri" w:hint="default"/>
        <w:sz w:val="22"/>
      </w:rPr>
    </w:lvl>
    <w:lvl w:ilvl="1">
      <w:start w:val="1"/>
      <w:numFmt w:val="decimal"/>
      <w:lvlText w:val="%1.%2"/>
      <w:lvlJc w:val="left"/>
      <w:pPr>
        <w:ind w:left="1222" w:hanging="360"/>
      </w:pPr>
      <w:rPr>
        <w:rFonts w:cs="Calibri" w:hint="default"/>
        <w:sz w:val="22"/>
        <w:szCs w:val="22"/>
      </w:rPr>
    </w:lvl>
    <w:lvl w:ilvl="2">
      <w:start w:val="1"/>
      <w:numFmt w:val="decimal"/>
      <w:lvlText w:val="%1.%2.%3"/>
      <w:lvlJc w:val="left"/>
      <w:pPr>
        <w:ind w:left="2302" w:hanging="720"/>
      </w:pPr>
      <w:rPr>
        <w:rFonts w:cs="Calibri" w:hint="default"/>
        <w:sz w:val="24"/>
      </w:rPr>
    </w:lvl>
    <w:lvl w:ilvl="3">
      <w:start w:val="1"/>
      <w:numFmt w:val="decimal"/>
      <w:lvlText w:val="%1.%2.%3.%4"/>
      <w:lvlJc w:val="left"/>
      <w:pPr>
        <w:ind w:left="3022" w:hanging="720"/>
      </w:pPr>
      <w:rPr>
        <w:rFonts w:cs="Calibri" w:hint="default"/>
        <w:sz w:val="24"/>
      </w:rPr>
    </w:lvl>
    <w:lvl w:ilvl="4">
      <w:start w:val="1"/>
      <w:numFmt w:val="decimal"/>
      <w:lvlText w:val="%1.%2.%3.%4.%5"/>
      <w:lvlJc w:val="left"/>
      <w:pPr>
        <w:ind w:left="4102" w:hanging="1080"/>
      </w:pPr>
      <w:rPr>
        <w:rFonts w:cs="Calibri" w:hint="default"/>
        <w:sz w:val="24"/>
      </w:rPr>
    </w:lvl>
    <w:lvl w:ilvl="5">
      <w:start w:val="1"/>
      <w:numFmt w:val="decimal"/>
      <w:lvlText w:val="%1.%2.%3.%4.%5.%6"/>
      <w:lvlJc w:val="left"/>
      <w:pPr>
        <w:ind w:left="4822" w:hanging="1080"/>
      </w:pPr>
      <w:rPr>
        <w:rFonts w:cs="Calibri" w:hint="default"/>
        <w:sz w:val="24"/>
      </w:rPr>
    </w:lvl>
    <w:lvl w:ilvl="6">
      <w:start w:val="1"/>
      <w:numFmt w:val="decimal"/>
      <w:lvlText w:val="%1.%2.%3.%4.%5.%6.%7"/>
      <w:lvlJc w:val="left"/>
      <w:pPr>
        <w:ind w:left="5902" w:hanging="1440"/>
      </w:pPr>
      <w:rPr>
        <w:rFonts w:cs="Calibri" w:hint="default"/>
        <w:sz w:val="24"/>
      </w:rPr>
    </w:lvl>
    <w:lvl w:ilvl="7">
      <w:start w:val="1"/>
      <w:numFmt w:val="decimal"/>
      <w:lvlText w:val="%1.%2.%3.%4.%5.%6.%7.%8"/>
      <w:lvlJc w:val="left"/>
      <w:pPr>
        <w:ind w:left="6622" w:hanging="1440"/>
      </w:pPr>
      <w:rPr>
        <w:rFonts w:cs="Calibri" w:hint="default"/>
        <w:sz w:val="24"/>
      </w:rPr>
    </w:lvl>
    <w:lvl w:ilvl="8">
      <w:start w:val="1"/>
      <w:numFmt w:val="decimal"/>
      <w:lvlText w:val="%1.%2.%3.%4.%5.%6.%7.%8.%9"/>
      <w:lvlJc w:val="left"/>
      <w:pPr>
        <w:ind w:left="7342" w:hanging="1440"/>
      </w:pPr>
      <w:rPr>
        <w:rFonts w:cs="Calibri" w:hint="default"/>
        <w:sz w:val="24"/>
      </w:rPr>
    </w:lvl>
  </w:abstractNum>
  <w:abstractNum w:abstractNumId="21" w15:restartNumberingAfterBreak="0">
    <w:nsid w:val="75FF1495"/>
    <w:multiLevelType w:val="multilevel"/>
    <w:tmpl w:val="94E47B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DCC5A4F"/>
    <w:multiLevelType w:val="multilevel"/>
    <w:tmpl w:val="91C4B50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Candara" w:hAnsi="Candara"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EE731B1"/>
    <w:multiLevelType w:val="multilevel"/>
    <w:tmpl w:val="1990F7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F024E3B"/>
    <w:multiLevelType w:val="multilevel"/>
    <w:tmpl w:val="7B841458"/>
    <w:lvl w:ilvl="0">
      <w:start w:val="1"/>
      <w:numFmt w:val="decimal"/>
      <w:pStyle w:val="Heading1"/>
      <w:lvlText w:val="%1."/>
      <w:lvlJc w:val="left"/>
      <w:pPr>
        <w:ind w:left="0" w:hanging="1134"/>
      </w:pPr>
      <w:rPr>
        <w:rFonts w:ascii="Arial Bold" w:hAnsi="Arial Bold"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pStyle w:val="BodyText"/>
      <w:lvlText w:val="%1.%2"/>
      <w:lvlJc w:val="left"/>
      <w:pPr>
        <w:tabs>
          <w:tab w:val="num" w:pos="1985"/>
        </w:tabs>
        <w:ind w:left="1985" w:hanging="1134"/>
      </w:pPr>
      <w:rPr>
        <w:rFonts w:hint="default"/>
        <w:b w:val="0"/>
      </w:rPr>
    </w:lvl>
    <w:lvl w:ilvl="2">
      <w:start w:val="1"/>
      <w:numFmt w:val="decimal"/>
      <w:lvlRestart w:val="1"/>
      <w:pStyle w:val="Heading4"/>
      <w:lvlText w:val="Table %1.%3"/>
      <w:lvlJc w:val="left"/>
      <w:pPr>
        <w:ind w:left="0" w:hanging="1134"/>
      </w:pPr>
      <w:rPr>
        <w:rFonts w:hint="default"/>
      </w:rPr>
    </w:lvl>
    <w:lvl w:ilvl="3">
      <w:start w:val="1"/>
      <w:numFmt w:val="decimal"/>
      <w:lvlRestart w:val="1"/>
      <w:pStyle w:val="HeadingAppendices"/>
      <w:lvlText w:val="A%4."/>
      <w:lvlJc w:val="left"/>
      <w:pPr>
        <w:ind w:left="993" w:firstLine="0"/>
      </w:pPr>
      <w:rPr>
        <w:rFonts w:hint="default"/>
      </w:rPr>
    </w:lvl>
    <w:lvl w:ilvl="4">
      <w:start w:val="1"/>
      <w:numFmt w:val="decimal"/>
      <w:pStyle w:val="BodytextAppendices"/>
      <w:lvlText w:val="A%4.%5"/>
      <w:lvlJc w:val="left"/>
      <w:pPr>
        <w:ind w:left="0" w:firstLine="0"/>
      </w:pPr>
      <w:rPr>
        <w:rFonts w:hint="default"/>
      </w:rPr>
    </w:lvl>
    <w:lvl w:ilvl="5">
      <w:start w:val="1"/>
      <w:numFmt w:val="decimal"/>
      <w:lvlRestart w:val="4"/>
      <w:pStyle w:val="Heading5"/>
      <w:lvlText w:val="Table A%4.%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7FEC44AF"/>
    <w:multiLevelType w:val="multilevel"/>
    <w:tmpl w:val="4C049B20"/>
    <w:lvl w:ilvl="0">
      <w:start w:val="2"/>
      <w:numFmt w:val="decimal"/>
      <w:lvlText w:val="%1.0"/>
      <w:lvlJc w:val="left"/>
      <w:pPr>
        <w:tabs>
          <w:tab w:val="num" w:pos="720"/>
        </w:tabs>
        <w:ind w:left="720" w:hanging="720"/>
      </w:pPr>
      <w:rPr>
        <w:rFonts w:hint="default"/>
        <w:b w:val="0"/>
      </w:rPr>
    </w:lvl>
    <w:lvl w:ilvl="1">
      <w:start w:val="1"/>
      <w:numFmt w:val="bullet"/>
      <w:lvlText w:val=""/>
      <w:lvlJc w:val="left"/>
      <w:pPr>
        <w:tabs>
          <w:tab w:val="num" w:pos="1080"/>
        </w:tabs>
        <w:ind w:left="1080" w:hanging="360"/>
      </w:pPr>
      <w:rPr>
        <w:rFonts w:ascii="Symbol" w:hAnsi="Symbol"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num w:numId="1">
    <w:abstractNumId w:val="19"/>
  </w:num>
  <w:num w:numId="2">
    <w:abstractNumId w:val="9"/>
  </w:num>
  <w:num w:numId="3">
    <w:abstractNumId w:val="1"/>
  </w:num>
  <w:num w:numId="4">
    <w:abstractNumId w:val="25"/>
  </w:num>
  <w:num w:numId="5">
    <w:abstractNumId w:val="18"/>
  </w:num>
  <w:num w:numId="6">
    <w:abstractNumId w:val="22"/>
  </w:num>
  <w:num w:numId="7">
    <w:abstractNumId w:val="3"/>
  </w:num>
  <w:num w:numId="8">
    <w:abstractNumId w:val="0"/>
  </w:num>
  <w:num w:numId="9">
    <w:abstractNumId w:val="11"/>
  </w:num>
  <w:num w:numId="10">
    <w:abstractNumId w:val="13"/>
  </w:num>
  <w:num w:numId="11">
    <w:abstractNumId w:val="4"/>
  </w:num>
  <w:num w:numId="12">
    <w:abstractNumId w:val="23"/>
  </w:num>
  <w:num w:numId="13">
    <w:abstractNumId w:val="17"/>
  </w:num>
  <w:num w:numId="14">
    <w:abstractNumId w:val="16"/>
  </w:num>
  <w:num w:numId="15">
    <w:abstractNumId w:val="24"/>
  </w:num>
  <w:num w:numId="16">
    <w:abstractNumId w:val="8"/>
  </w:num>
  <w:num w:numId="17">
    <w:abstractNumId w:val="5"/>
  </w:num>
  <w:num w:numId="18">
    <w:abstractNumId w:val="15"/>
  </w:num>
  <w:num w:numId="19">
    <w:abstractNumId w:val="10"/>
  </w:num>
  <w:num w:numId="20">
    <w:abstractNumId w:val="7"/>
  </w:num>
  <w:num w:numId="21">
    <w:abstractNumId w:val="21"/>
  </w:num>
  <w:num w:numId="22">
    <w:abstractNumId w:val="12"/>
  </w:num>
  <w:num w:numId="23">
    <w:abstractNumId w:val="6"/>
  </w:num>
  <w:num w:numId="24">
    <w:abstractNumId w:val="14"/>
  </w:num>
  <w:num w:numId="25">
    <w:abstractNumId w:val="2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D9A"/>
    <w:rsid w:val="00000F7B"/>
    <w:rsid w:val="00001D0C"/>
    <w:rsid w:val="00012A97"/>
    <w:rsid w:val="00021900"/>
    <w:rsid w:val="00025FEB"/>
    <w:rsid w:val="0003242A"/>
    <w:rsid w:val="00036BEF"/>
    <w:rsid w:val="000412BC"/>
    <w:rsid w:val="00045B88"/>
    <w:rsid w:val="000514AE"/>
    <w:rsid w:val="00051652"/>
    <w:rsid w:val="00054218"/>
    <w:rsid w:val="000542B7"/>
    <w:rsid w:val="00055091"/>
    <w:rsid w:val="00065F1B"/>
    <w:rsid w:val="0007085C"/>
    <w:rsid w:val="00095346"/>
    <w:rsid w:val="000A6BCF"/>
    <w:rsid w:val="000B0296"/>
    <w:rsid w:val="000B4D6A"/>
    <w:rsid w:val="000B58A9"/>
    <w:rsid w:val="000B7E64"/>
    <w:rsid w:val="000C4625"/>
    <w:rsid w:val="000D1FA0"/>
    <w:rsid w:val="000D48CF"/>
    <w:rsid w:val="000D7B14"/>
    <w:rsid w:val="000F06D9"/>
    <w:rsid w:val="000F6238"/>
    <w:rsid w:val="001006CA"/>
    <w:rsid w:val="00107D5B"/>
    <w:rsid w:val="00111652"/>
    <w:rsid w:val="00113F40"/>
    <w:rsid w:val="00114A5D"/>
    <w:rsid w:val="00125275"/>
    <w:rsid w:val="001323F4"/>
    <w:rsid w:val="001419C7"/>
    <w:rsid w:val="001552AB"/>
    <w:rsid w:val="00155357"/>
    <w:rsid w:val="00157EDC"/>
    <w:rsid w:val="00160BDD"/>
    <w:rsid w:val="0018128E"/>
    <w:rsid w:val="001827FF"/>
    <w:rsid w:val="00185606"/>
    <w:rsid w:val="00193BD2"/>
    <w:rsid w:val="0019578F"/>
    <w:rsid w:val="001A3976"/>
    <w:rsid w:val="001A57DF"/>
    <w:rsid w:val="001B193E"/>
    <w:rsid w:val="001B3FA0"/>
    <w:rsid w:val="001C5233"/>
    <w:rsid w:val="002028A3"/>
    <w:rsid w:val="00203691"/>
    <w:rsid w:val="00210F8A"/>
    <w:rsid w:val="002154F0"/>
    <w:rsid w:val="00226503"/>
    <w:rsid w:val="0023317B"/>
    <w:rsid w:val="0024559D"/>
    <w:rsid w:val="00257D9A"/>
    <w:rsid w:val="00264582"/>
    <w:rsid w:val="00276EDA"/>
    <w:rsid w:val="0028177E"/>
    <w:rsid w:val="00285EC2"/>
    <w:rsid w:val="00286F88"/>
    <w:rsid w:val="00290061"/>
    <w:rsid w:val="00291148"/>
    <w:rsid w:val="00292FE6"/>
    <w:rsid w:val="002A6249"/>
    <w:rsid w:val="002B5198"/>
    <w:rsid w:val="002C30D0"/>
    <w:rsid w:val="002D55A2"/>
    <w:rsid w:val="002E251F"/>
    <w:rsid w:val="002F758A"/>
    <w:rsid w:val="003147BE"/>
    <w:rsid w:val="003165F4"/>
    <w:rsid w:val="0032304F"/>
    <w:rsid w:val="003242B1"/>
    <w:rsid w:val="00325470"/>
    <w:rsid w:val="0032763C"/>
    <w:rsid w:val="0032781E"/>
    <w:rsid w:val="00330D5F"/>
    <w:rsid w:val="00334EDE"/>
    <w:rsid w:val="00334F81"/>
    <w:rsid w:val="00340123"/>
    <w:rsid w:val="00342C78"/>
    <w:rsid w:val="00347E67"/>
    <w:rsid w:val="003521BC"/>
    <w:rsid w:val="003570D5"/>
    <w:rsid w:val="00360D18"/>
    <w:rsid w:val="003679B1"/>
    <w:rsid w:val="003715DD"/>
    <w:rsid w:val="003733B5"/>
    <w:rsid w:val="003807AB"/>
    <w:rsid w:val="0038505D"/>
    <w:rsid w:val="00387407"/>
    <w:rsid w:val="00394E06"/>
    <w:rsid w:val="003C0B06"/>
    <w:rsid w:val="003C0D29"/>
    <w:rsid w:val="003C7DF5"/>
    <w:rsid w:val="003D7310"/>
    <w:rsid w:val="003E14B0"/>
    <w:rsid w:val="003E7642"/>
    <w:rsid w:val="003E7AA2"/>
    <w:rsid w:val="0040308A"/>
    <w:rsid w:val="00430591"/>
    <w:rsid w:val="004327BC"/>
    <w:rsid w:val="0044716F"/>
    <w:rsid w:val="004556F3"/>
    <w:rsid w:val="00470947"/>
    <w:rsid w:val="004730E9"/>
    <w:rsid w:val="004738E1"/>
    <w:rsid w:val="00473B56"/>
    <w:rsid w:val="00473B90"/>
    <w:rsid w:val="004816AC"/>
    <w:rsid w:val="004839C1"/>
    <w:rsid w:val="004A3681"/>
    <w:rsid w:val="004B51DB"/>
    <w:rsid w:val="004C65E6"/>
    <w:rsid w:val="004D1DB8"/>
    <w:rsid w:val="004D6A93"/>
    <w:rsid w:val="004E02D1"/>
    <w:rsid w:val="004E091C"/>
    <w:rsid w:val="004E41B3"/>
    <w:rsid w:val="004E699C"/>
    <w:rsid w:val="004F1305"/>
    <w:rsid w:val="00510B59"/>
    <w:rsid w:val="0052092D"/>
    <w:rsid w:val="00540818"/>
    <w:rsid w:val="00555BBA"/>
    <w:rsid w:val="005621D0"/>
    <w:rsid w:val="00570637"/>
    <w:rsid w:val="00580C7E"/>
    <w:rsid w:val="005A3C62"/>
    <w:rsid w:val="005C0F70"/>
    <w:rsid w:val="005D15DB"/>
    <w:rsid w:val="005D2730"/>
    <w:rsid w:val="005E0EC9"/>
    <w:rsid w:val="005E116E"/>
    <w:rsid w:val="005E5ADA"/>
    <w:rsid w:val="005E7A89"/>
    <w:rsid w:val="005F46E5"/>
    <w:rsid w:val="0061222A"/>
    <w:rsid w:val="0062028C"/>
    <w:rsid w:val="00637E07"/>
    <w:rsid w:val="0064217D"/>
    <w:rsid w:val="0065479D"/>
    <w:rsid w:val="0066119C"/>
    <w:rsid w:val="00685639"/>
    <w:rsid w:val="006A3371"/>
    <w:rsid w:val="006B10B4"/>
    <w:rsid w:val="006B3D0F"/>
    <w:rsid w:val="006B7655"/>
    <w:rsid w:val="006C334F"/>
    <w:rsid w:val="006C5612"/>
    <w:rsid w:val="006C7182"/>
    <w:rsid w:val="006E00E3"/>
    <w:rsid w:val="006F3240"/>
    <w:rsid w:val="006F3368"/>
    <w:rsid w:val="006F7B93"/>
    <w:rsid w:val="007008F3"/>
    <w:rsid w:val="00700C37"/>
    <w:rsid w:val="00707EE2"/>
    <w:rsid w:val="00710370"/>
    <w:rsid w:val="00710703"/>
    <w:rsid w:val="00717C0C"/>
    <w:rsid w:val="0072715D"/>
    <w:rsid w:val="007328FD"/>
    <w:rsid w:val="007331BF"/>
    <w:rsid w:val="007559C7"/>
    <w:rsid w:val="007615C5"/>
    <w:rsid w:val="00764054"/>
    <w:rsid w:val="00776685"/>
    <w:rsid w:val="00781EB2"/>
    <w:rsid w:val="007846E5"/>
    <w:rsid w:val="0078618B"/>
    <w:rsid w:val="00786BE6"/>
    <w:rsid w:val="0079172F"/>
    <w:rsid w:val="00794F46"/>
    <w:rsid w:val="007A0CF1"/>
    <w:rsid w:val="007C3680"/>
    <w:rsid w:val="007D22AF"/>
    <w:rsid w:val="0080281C"/>
    <w:rsid w:val="00816F41"/>
    <w:rsid w:val="00823888"/>
    <w:rsid w:val="00836DCC"/>
    <w:rsid w:val="00837BFC"/>
    <w:rsid w:val="00840683"/>
    <w:rsid w:val="0084400F"/>
    <w:rsid w:val="00846687"/>
    <w:rsid w:val="00853763"/>
    <w:rsid w:val="00855E85"/>
    <w:rsid w:val="00867A5D"/>
    <w:rsid w:val="00876C87"/>
    <w:rsid w:val="0088033D"/>
    <w:rsid w:val="00884D0F"/>
    <w:rsid w:val="00887F29"/>
    <w:rsid w:val="00890F3E"/>
    <w:rsid w:val="008A00A7"/>
    <w:rsid w:val="008A0E24"/>
    <w:rsid w:val="008A74C6"/>
    <w:rsid w:val="008B1124"/>
    <w:rsid w:val="008B4671"/>
    <w:rsid w:val="008B53EF"/>
    <w:rsid w:val="008C379B"/>
    <w:rsid w:val="008D3199"/>
    <w:rsid w:val="008D3B5A"/>
    <w:rsid w:val="008F00CA"/>
    <w:rsid w:val="008F0BF8"/>
    <w:rsid w:val="00905812"/>
    <w:rsid w:val="00923B15"/>
    <w:rsid w:val="009259E2"/>
    <w:rsid w:val="00925B76"/>
    <w:rsid w:val="00937692"/>
    <w:rsid w:val="00946C2A"/>
    <w:rsid w:val="0095221E"/>
    <w:rsid w:val="00953658"/>
    <w:rsid w:val="00962A00"/>
    <w:rsid w:val="00966944"/>
    <w:rsid w:val="0098278C"/>
    <w:rsid w:val="00985BE8"/>
    <w:rsid w:val="0099037B"/>
    <w:rsid w:val="0099156A"/>
    <w:rsid w:val="00993E50"/>
    <w:rsid w:val="009B2359"/>
    <w:rsid w:val="009C473A"/>
    <w:rsid w:val="009D4CF8"/>
    <w:rsid w:val="009D5FFF"/>
    <w:rsid w:val="009D7DFB"/>
    <w:rsid w:val="009E0643"/>
    <w:rsid w:val="009F1735"/>
    <w:rsid w:val="00A002B9"/>
    <w:rsid w:val="00A03493"/>
    <w:rsid w:val="00A13EEE"/>
    <w:rsid w:val="00A41C09"/>
    <w:rsid w:val="00A54636"/>
    <w:rsid w:val="00A566E4"/>
    <w:rsid w:val="00A622DB"/>
    <w:rsid w:val="00A6376D"/>
    <w:rsid w:val="00A70CEF"/>
    <w:rsid w:val="00A73167"/>
    <w:rsid w:val="00A8654B"/>
    <w:rsid w:val="00A95155"/>
    <w:rsid w:val="00AA5A58"/>
    <w:rsid w:val="00AC1D43"/>
    <w:rsid w:val="00AC5CC2"/>
    <w:rsid w:val="00AD26CC"/>
    <w:rsid w:val="00AE03A0"/>
    <w:rsid w:val="00AE3011"/>
    <w:rsid w:val="00AF2435"/>
    <w:rsid w:val="00AF4E12"/>
    <w:rsid w:val="00B01546"/>
    <w:rsid w:val="00B060A4"/>
    <w:rsid w:val="00B108B1"/>
    <w:rsid w:val="00B21CAF"/>
    <w:rsid w:val="00B334B0"/>
    <w:rsid w:val="00B34467"/>
    <w:rsid w:val="00B36077"/>
    <w:rsid w:val="00B361CA"/>
    <w:rsid w:val="00B42E20"/>
    <w:rsid w:val="00B444D0"/>
    <w:rsid w:val="00B523E6"/>
    <w:rsid w:val="00B53305"/>
    <w:rsid w:val="00B60498"/>
    <w:rsid w:val="00B81F11"/>
    <w:rsid w:val="00B82AE9"/>
    <w:rsid w:val="00B845BE"/>
    <w:rsid w:val="00B87B5A"/>
    <w:rsid w:val="00B93722"/>
    <w:rsid w:val="00BA4F39"/>
    <w:rsid w:val="00BA5CF2"/>
    <w:rsid w:val="00BB0C5B"/>
    <w:rsid w:val="00BB2395"/>
    <w:rsid w:val="00BC4289"/>
    <w:rsid w:val="00BC58A8"/>
    <w:rsid w:val="00BD0A03"/>
    <w:rsid w:val="00BD174B"/>
    <w:rsid w:val="00BE0EF6"/>
    <w:rsid w:val="00BE366A"/>
    <w:rsid w:val="00BE6409"/>
    <w:rsid w:val="00C018A3"/>
    <w:rsid w:val="00C040BA"/>
    <w:rsid w:val="00C065A7"/>
    <w:rsid w:val="00C111C1"/>
    <w:rsid w:val="00C112F6"/>
    <w:rsid w:val="00C11609"/>
    <w:rsid w:val="00C14B6A"/>
    <w:rsid w:val="00C15447"/>
    <w:rsid w:val="00C16363"/>
    <w:rsid w:val="00C25F17"/>
    <w:rsid w:val="00C32D2D"/>
    <w:rsid w:val="00C3661E"/>
    <w:rsid w:val="00C368EC"/>
    <w:rsid w:val="00C4068D"/>
    <w:rsid w:val="00C457D1"/>
    <w:rsid w:val="00C47DFB"/>
    <w:rsid w:val="00C51EFC"/>
    <w:rsid w:val="00C61484"/>
    <w:rsid w:val="00C95298"/>
    <w:rsid w:val="00CA3A4A"/>
    <w:rsid w:val="00CB29A7"/>
    <w:rsid w:val="00CB346F"/>
    <w:rsid w:val="00CB4A26"/>
    <w:rsid w:val="00CC692B"/>
    <w:rsid w:val="00CD3E3C"/>
    <w:rsid w:val="00CE2101"/>
    <w:rsid w:val="00CF0E2E"/>
    <w:rsid w:val="00D145B4"/>
    <w:rsid w:val="00D27A80"/>
    <w:rsid w:val="00D52590"/>
    <w:rsid w:val="00D574EF"/>
    <w:rsid w:val="00D60A00"/>
    <w:rsid w:val="00D73476"/>
    <w:rsid w:val="00D82213"/>
    <w:rsid w:val="00D8321C"/>
    <w:rsid w:val="00D919C6"/>
    <w:rsid w:val="00DA7228"/>
    <w:rsid w:val="00DC2126"/>
    <w:rsid w:val="00DC59F0"/>
    <w:rsid w:val="00DD2A2C"/>
    <w:rsid w:val="00DD6CEA"/>
    <w:rsid w:val="00DD78B8"/>
    <w:rsid w:val="00DE6300"/>
    <w:rsid w:val="00DF491B"/>
    <w:rsid w:val="00E12BB9"/>
    <w:rsid w:val="00E30AEE"/>
    <w:rsid w:val="00E341E6"/>
    <w:rsid w:val="00E34DC5"/>
    <w:rsid w:val="00E42222"/>
    <w:rsid w:val="00E47FDA"/>
    <w:rsid w:val="00E62816"/>
    <w:rsid w:val="00E7147A"/>
    <w:rsid w:val="00E745D1"/>
    <w:rsid w:val="00E7534E"/>
    <w:rsid w:val="00E8045E"/>
    <w:rsid w:val="00E9128D"/>
    <w:rsid w:val="00E969C2"/>
    <w:rsid w:val="00E97E89"/>
    <w:rsid w:val="00EB2242"/>
    <w:rsid w:val="00EB6B5F"/>
    <w:rsid w:val="00ED1A72"/>
    <w:rsid w:val="00ED66EC"/>
    <w:rsid w:val="00F101A0"/>
    <w:rsid w:val="00F178F0"/>
    <w:rsid w:val="00F2258C"/>
    <w:rsid w:val="00F25A94"/>
    <w:rsid w:val="00F55CC6"/>
    <w:rsid w:val="00F60FC1"/>
    <w:rsid w:val="00F6157F"/>
    <w:rsid w:val="00F617BA"/>
    <w:rsid w:val="00F6200B"/>
    <w:rsid w:val="00F76109"/>
    <w:rsid w:val="00F771CE"/>
    <w:rsid w:val="00F86244"/>
    <w:rsid w:val="00F90EB6"/>
    <w:rsid w:val="00FA06E4"/>
    <w:rsid w:val="00FA1172"/>
    <w:rsid w:val="00FA4D58"/>
    <w:rsid w:val="00FA5DFA"/>
    <w:rsid w:val="00FE2517"/>
    <w:rsid w:val="00FF7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2E933A2B"/>
  <w15:chartTrackingRefBased/>
  <w15:docId w15:val="{DE0D92E0-CC82-403A-99BF-C486A807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2">
    <w:lsdException w:name="Normal" w:qFormat="1"/>
    <w:lsdException w:name="heading 1" w:uiPriority="2" w:qFormat="1"/>
    <w:lsdException w:name="heading 2" w:semiHidden="1" w:uiPriority="2" w:unhideWhenUsed="1" w:qFormat="1"/>
    <w:lsdException w:name="heading 3" w:semiHidden="1" w:unhideWhenUsed="1" w:qFormat="1"/>
    <w:lsdException w:name="heading 4" w:semiHidden="1" w:uiPriority="2" w:unhideWhenUsed="1" w:qFormat="1"/>
    <w:lsdException w:name="heading 5" w:semiHidden="1" w:uiPriority="2"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BodyText"/>
    <w:link w:val="Heading1Char"/>
    <w:uiPriority w:val="2"/>
    <w:qFormat/>
    <w:rsid w:val="00054218"/>
    <w:pPr>
      <w:keepNext/>
      <w:keepLines/>
      <w:pageBreakBefore/>
      <w:numPr>
        <w:numId w:val="15"/>
      </w:numPr>
      <w:spacing w:after="600" w:line="360" w:lineRule="auto"/>
      <w:jc w:val="both"/>
      <w:outlineLvl w:val="0"/>
    </w:pPr>
    <w:rPr>
      <w:rFonts w:ascii="Arial" w:hAnsi="Arial"/>
      <w:b/>
      <w:bCs/>
      <w:caps/>
      <w:color w:val="000000"/>
      <w:sz w:val="28"/>
      <w:szCs w:val="28"/>
      <w:lang w:eastAsia="en-GB"/>
    </w:rPr>
  </w:style>
  <w:style w:type="paragraph" w:styleId="Heading2">
    <w:name w:val="heading 2"/>
    <w:basedOn w:val="Normal"/>
    <w:next w:val="BodyText"/>
    <w:link w:val="Heading2Char"/>
    <w:uiPriority w:val="2"/>
    <w:qFormat/>
    <w:rsid w:val="00054218"/>
    <w:pPr>
      <w:keepNext/>
      <w:keepLines/>
      <w:pBdr>
        <w:bottom w:val="single" w:sz="4" w:space="1" w:color="000000"/>
      </w:pBdr>
      <w:spacing w:before="360" w:after="240" w:line="360" w:lineRule="auto"/>
      <w:jc w:val="both"/>
      <w:outlineLvl w:val="1"/>
    </w:pPr>
    <w:rPr>
      <w:rFonts w:ascii="Arial" w:hAnsi="Arial"/>
      <w:b/>
      <w:color w:val="000000"/>
      <w:sz w:val="20"/>
      <w:szCs w:val="20"/>
      <w:lang w:eastAsia="en-GB"/>
    </w:rPr>
  </w:style>
  <w:style w:type="paragraph" w:styleId="Heading3">
    <w:name w:val="heading 3"/>
    <w:basedOn w:val="Normal"/>
    <w:next w:val="Normal"/>
    <w:link w:val="Heading3Char"/>
    <w:semiHidden/>
    <w:unhideWhenUsed/>
    <w:qFormat/>
    <w:rsid w:val="00054218"/>
    <w:pPr>
      <w:keepNext/>
      <w:spacing w:before="240" w:after="60"/>
      <w:outlineLvl w:val="2"/>
    </w:pPr>
    <w:rPr>
      <w:rFonts w:ascii="Calibri Light" w:hAnsi="Calibri Light"/>
      <w:b/>
      <w:bCs/>
      <w:sz w:val="26"/>
      <w:szCs w:val="26"/>
    </w:rPr>
  </w:style>
  <w:style w:type="paragraph" w:styleId="Heading4">
    <w:name w:val="heading 4"/>
    <w:aliases w:val="Table"/>
    <w:basedOn w:val="Normal"/>
    <w:next w:val="Normal"/>
    <w:link w:val="Heading4Char"/>
    <w:uiPriority w:val="2"/>
    <w:qFormat/>
    <w:rsid w:val="00054218"/>
    <w:pPr>
      <w:keepNext/>
      <w:numPr>
        <w:ilvl w:val="2"/>
        <w:numId w:val="15"/>
      </w:numPr>
      <w:tabs>
        <w:tab w:val="left" w:pos="1134"/>
      </w:tabs>
      <w:spacing w:before="200" w:line="360" w:lineRule="auto"/>
      <w:jc w:val="both"/>
      <w:outlineLvl w:val="3"/>
    </w:pPr>
    <w:rPr>
      <w:rFonts w:ascii="Arial" w:hAnsi="Arial"/>
      <w:b/>
      <w:color w:val="646464"/>
      <w:sz w:val="20"/>
      <w:szCs w:val="20"/>
      <w:lang w:eastAsia="en-GB"/>
    </w:rPr>
  </w:style>
  <w:style w:type="paragraph" w:styleId="Heading5">
    <w:name w:val="heading 5"/>
    <w:aliases w:val="Table Appendices"/>
    <w:basedOn w:val="Normal"/>
    <w:next w:val="Normal"/>
    <w:link w:val="Heading5Char"/>
    <w:uiPriority w:val="2"/>
    <w:qFormat/>
    <w:rsid w:val="00054218"/>
    <w:pPr>
      <w:keepNext/>
      <w:numPr>
        <w:ilvl w:val="5"/>
        <w:numId w:val="15"/>
      </w:numPr>
      <w:tabs>
        <w:tab w:val="left" w:pos="1418"/>
      </w:tabs>
      <w:spacing w:before="200" w:line="360" w:lineRule="auto"/>
      <w:jc w:val="both"/>
      <w:outlineLvl w:val="4"/>
    </w:pPr>
    <w:rPr>
      <w:rFonts w:ascii="Arial" w:hAnsi="Arial"/>
      <w:b/>
      <w:color w:val="646464"/>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7D9A"/>
    <w:pPr>
      <w:tabs>
        <w:tab w:val="center" w:pos="4320"/>
        <w:tab w:val="right" w:pos="8640"/>
      </w:tabs>
    </w:pPr>
  </w:style>
  <w:style w:type="character" w:styleId="PageNumber">
    <w:name w:val="page number"/>
    <w:basedOn w:val="DefaultParagraphFont"/>
    <w:rsid w:val="00257D9A"/>
  </w:style>
  <w:style w:type="paragraph" w:styleId="Footer">
    <w:name w:val="footer"/>
    <w:basedOn w:val="Normal"/>
    <w:rsid w:val="00257D9A"/>
    <w:pPr>
      <w:tabs>
        <w:tab w:val="center" w:pos="4320"/>
        <w:tab w:val="right" w:pos="8640"/>
      </w:tabs>
    </w:pPr>
  </w:style>
  <w:style w:type="character" w:customStyle="1" w:styleId="listingtext">
    <w:name w:val="listingtext"/>
    <w:basedOn w:val="DefaultParagraphFont"/>
    <w:rsid w:val="00776685"/>
  </w:style>
  <w:style w:type="paragraph" w:styleId="NormalWeb">
    <w:name w:val="Normal (Web)"/>
    <w:basedOn w:val="Normal"/>
    <w:uiPriority w:val="99"/>
    <w:rsid w:val="00185606"/>
    <w:pPr>
      <w:spacing w:before="100" w:beforeAutospacing="1" w:after="100" w:afterAutospacing="1"/>
    </w:pPr>
    <w:rPr>
      <w:lang w:val="en-US"/>
    </w:rPr>
  </w:style>
  <w:style w:type="character" w:customStyle="1" w:styleId="apple-converted-space">
    <w:name w:val="apple-converted-space"/>
    <w:basedOn w:val="DefaultParagraphFont"/>
    <w:rsid w:val="00185606"/>
  </w:style>
  <w:style w:type="character" w:styleId="Hyperlink">
    <w:name w:val="Hyperlink"/>
    <w:uiPriority w:val="99"/>
    <w:rsid w:val="00185606"/>
    <w:rPr>
      <w:color w:val="0000FF"/>
      <w:u w:val="single"/>
    </w:rPr>
  </w:style>
  <w:style w:type="character" w:styleId="Strong">
    <w:name w:val="Strong"/>
    <w:uiPriority w:val="22"/>
    <w:qFormat/>
    <w:rsid w:val="00C11609"/>
    <w:rPr>
      <w:b/>
      <w:bCs/>
    </w:rPr>
  </w:style>
  <w:style w:type="character" w:customStyle="1" w:styleId="apple-style-span">
    <w:name w:val="apple-style-span"/>
    <w:basedOn w:val="DefaultParagraphFont"/>
    <w:rsid w:val="006C5612"/>
  </w:style>
  <w:style w:type="paragraph" w:styleId="BalloonText">
    <w:name w:val="Balloon Text"/>
    <w:basedOn w:val="Normal"/>
    <w:semiHidden/>
    <w:rsid w:val="00BE0EF6"/>
    <w:rPr>
      <w:rFonts w:ascii="Tahoma" w:hAnsi="Tahoma" w:cs="Tahoma"/>
      <w:sz w:val="16"/>
      <w:szCs w:val="16"/>
    </w:rPr>
  </w:style>
  <w:style w:type="paragraph" w:styleId="ListParagraph">
    <w:name w:val="List Paragraph"/>
    <w:basedOn w:val="Normal"/>
    <w:uiPriority w:val="34"/>
    <w:qFormat/>
    <w:rsid w:val="009D4CF8"/>
    <w:pPr>
      <w:ind w:left="720"/>
    </w:pPr>
  </w:style>
  <w:style w:type="paragraph" w:styleId="FootnoteText">
    <w:name w:val="footnote text"/>
    <w:basedOn w:val="Normal"/>
    <w:link w:val="FootnoteTextChar"/>
    <w:rsid w:val="00B53305"/>
    <w:rPr>
      <w:sz w:val="20"/>
      <w:szCs w:val="20"/>
      <w:lang w:val="en-US"/>
    </w:rPr>
  </w:style>
  <w:style w:type="character" w:customStyle="1" w:styleId="FootnoteTextChar">
    <w:name w:val="Footnote Text Char"/>
    <w:link w:val="FootnoteText"/>
    <w:rsid w:val="00B53305"/>
    <w:rPr>
      <w:lang w:val="en-US" w:eastAsia="en-US"/>
    </w:rPr>
  </w:style>
  <w:style w:type="character" w:styleId="FootnoteReference">
    <w:name w:val="footnote reference"/>
    <w:rsid w:val="00B53305"/>
    <w:rPr>
      <w:vertAlign w:val="superscript"/>
    </w:rPr>
  </w:style>
  <w:style w:type="character" w:customStyle="1" w:styleId="Heading1Char">
    <w:name w:val="Heading 1 Char"/>
    <w:link w:val="Heading1"/>
    <w:uiPriority w:val="2"/>
    <w:rsid w:val="00054218"/>
    <w:rPr>
      <w:rFonts w:ascii="Arial" w:hAnsi="Arial"/>
      <w:b/>
      <w:bCs/>
      <w:caps/>
      <w:color w:val="000000"/>
      <w:sz w:val="28"/>
      <w:szCs w:val="28"/>
    </w:rPr>
  </w:style>
  <w:style w:type="character" w:customStyle="1" w:styleId="Heading2Char">
    <w:name w:val="Heading 2 Char"/>
    <w:link w:val="Heading2"/>
    <w:uiPriority w:val="2"/>
    <w:rsid w:val="00054218"/>
    <w:rPr>
      <w:rFonts w:ascii="Arial" w:hAnsi="Arial"/>
      <w:b/>
      <w:color w:val="000000"/>
    </w:rPr>
  </w:style>
  <w:style w:type="character" w:customStyle="1" w:styleId="Heading3Char">
    <w:name w:val="Heading 3 Char"/>
    <w:link w:val="Heading3"/>
    <w:semiHidden/>
    <w:rsid w:val="00054218"/>
    <w:rPr>
      <w:rFonts w:ascii="Calibri Light" w:hAnsi="Calibri Light"/>
      <w:b/>
      <w:bCs/>
      <w:sz w:val="26"/>
      <w:szCs w:val="26"/>
      <w:lang w:eastAsia="en-US"/>
    </w:rPr>
  </w:style>
  <w:style w:type="character" w:customStyle="1" w:styleId="Heading4Char">
    <w:name w:val="Heading 4 Char"/>
    <w:aliases w:val="Table Char"/>
    <w:link w:val="Heading4"/>
    <w:uiPriority w:val="2"/>
    <w:rsid w:val="00054218"/>
    <w:rPr>
      <w:rFonts w:ascii="Arial" w:hAnsi="Arial"/>
      <w:b/>
      <w:color w:val="646464"/>
    </w:rPr>
  </w:style>
  <w:style w:type="character" w:customStyle="1" w:styleId="Heading5Char">
    <w:name w:val="Heading 5 Char"/>
    <w:aliases w:val="Table Appendices Char"/>
    <w:link w:val="Heading5"/>
    <w:uiPriority w:val="2"/>
    <w:rsid w:val="00054218"/>
    <w:rPr>
      <w:rFonts w:ascii="Arial" w:hAnsi="Arial"/>
      <w:b/>
      <w:color w:val="646464"/>
    </w:rPr>
  </w:style>
  <w:style w:type="paragraph" w:styleId="BodyText">
    <w:name w:val="Body Text"/>
    <w:basedOn w:val="Normal"/>
    <w:link w:val="BodyTextChar"/>
    <w:uiPriority w:val="1"/>
    <w:qFormat/>
    <w:rsid w:val="00054218"/>
    <w:pPr>
      <w:numPr>
        <w:ilvl w:val="1"/>
        <w:numId w:val="15"/>
      </w:numPr>
      <w:tabs>
        <w:tab w:val="clear" w:pos="1985"/>
        <w:tab w:val="num" w:pos="1134"/>
      </w:tabs>
      <w:spacing w:after="360" w:line="360" w:lineRule="auto"/>
      <w:ind w:left="1134"/>
      <w:jc w:val="both"/>
    </w:pPr>
    <w:rPr>
      <w:rFonts w:ascii="Arial" w:hAnsi="Arial"/>
      <w:sz w:val="20"/>
      <w:szCs w:val="20"/>
      <w:lang w:eastAsia="en-GB"/>
    </w:rPr>
  </w:style>
  <w:style w:type="character" w:customStyle="1" w:styleId="BodyTextChar">
    <w:name w:val="Body Text Char"/>
    <w:link w:val="BodyText"/>
    <w:uiPriority w:val="1"/>
    <w:rsid w:val="00054218"/>
    <w:rPr>
      <w:rFonts w:ascii="Arial" w:hAnsi="Arial"/>
    </w:rPr>
  </w:style>
  <w:style w:type="paragraph" w:customStyle="1" w:styleId="BodytextAppendices">
    <w:name w:val="Body text_Appendices"/>
    <w:basedOn w:val="Normal"/>
    <w:uiPriority w:val="1"/>
    <w:qFormat/>
    <w:rsid w:val="00054218"/>
    <w:pPr>
      <w:numPr>
        <w:ilvl w:val="4"/>
        <w:numId w:val="15"/>
      </w:numPr>
      <w:tabs>
        <w:tab w:val="left" w:pos="0"/>
      </w:tabs>
      <w:spacing w:after="360" w:line="360" w:lineRule="auto"/>
      <w:jc w:val="both"/>
    </w:pPr>
    <w:rPr>
      <w:rFonts w:ascii="Arial" w:hAnsi="Arial"/>
      <w:sz w:val="20"/>
      <w:szCs w:val="20"/>
      <w:lang w:eastAsia="en-GB"/>
    </w:rPr>
  </w:style>
  <w:style w:type="paragraph" w:customStyle="1" w:styleId="HeadingAppendices">
    <w:name w:val="Heading Appendices"/>
    <w:basedOn w:val="Normal"/>
    <w:next w:val="BodytextAppendices"/>
    <w:uiPriority w:val="2"/>
    <w:qFormat/>
    <w:rsid w:val="00054218"/>
    <w:pPr>
      <w:keepNext/>
      <w:keepLines/>
      <w:pageBreakBefore/>
      <w:numPr>
        <w:ilvl w:val="3"/>
        <w:numId w:val="15"/>
      </w:numPr>
      <w:spacing w:after="600" w:line="360" w:lineRule="auto"/>
      <w:jc w:val="both"/>
    </w:pPr>
    <w:rPr>
      <w:rFonts w:ascii="Arial" w:hAnsi="Arial"/>
      <w:b/>
      <w:caps/>
      <w:sz w:val="28"/>
      <w:szCs w:val="20"/>
      <w:lang w:eastAsia="en-GB"/>
    </w:rPr>
  </w:style>
  <w:style w:type="character" w:styleId="Emphasis">
    <w:name w:val="Emphasis"/>
    <w:qFormat/>
    <w:rsid w:val="00394E06"/>
    <w:rPr>
      <w:i/>
      <w:iCs/>
    </w:rPr>
  </w:style>
  <w:style w:type="table" w:styleId="TableGrid">
    <w:name w:val="Table Grid"/>
    <w:basedOn w:val="TableNormal"/>
    <w:uiPriority w:val="59"/>
    <w:rsid w:val="00946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898514">
      <w:bodyDiv w:val="1"/>
      <w:marLeft w:val="0"/>
      <w:marRight w:val="0"/>
      <w:marTop w:val="0"/>
      <w:marBottom w:val="0"/>
      <w:divBdr>
        <w:top w:val="none" w:sz="0" w:space="0" w:color="auto"/>
        <w:left w:val="none" w:sz="0" w:space="0" w:color="auto"/>
        <w:bottom w:val="none" w:sz="0" w:space="0" w:color="auto"/>
        <w:right w:val="none" w:sz="0" w:space="0" w:color="auto"/>
      </w:divBdr>
    </w:div>
    <w:div w:id="631323999">
      <w:bodyDiv w:val="1"/>
      <w:marLeft w:val="0"/>
      <w:marRight w:val="0"/>
      <w:marTop w:val="0"/>
      <w:marBottom w:val="0"/>
      <w:divBdr>
        <w:top w:val="none" w:sz="0" w:space="0" w:color="auto"/>
        <w:left w:val="none" w:sz="0" w:space="0" w:color="auto"/>
        <w:bottom w:val="none" w:sz="0" w:space="0" w:color="auto"/>
        <w:right w:val="none" w:sz="0" w:space="0" w:color="auto"/>
      </w:divBdr>
      <w:divsChild>
        <w:div w:id="472405079">
          <w:marLeft w:val="0"/>
          <w:marRight w:val="336"/>
          <w:marTop w:val="120"/>
          <w:marBottom w:val="312"/>
          <w:divBdr>
            <w:top w:val="none" w:sz="0" w:space="0" w:color="auto"/>
            <w:left w:val="none" w:sz="0" w:space="0" w:color="auto"/>
            <w:bottom w:val="none" w:sz="0" w:space="0" w:color="auto"/>
            <w:right w:val="none" w:sz="0" w:space="0" w:color="auto"/>
          </w:divBdr>
          <w:divsChild>
            <w:div w:id="828667509">
              <w:marLeft w:val="0"/>
              <w:marRight w:val="0"/>
              <w:marTop w:val="0"/>
              <w:marBottom w:val="0"/>
              <w:divBdr>
                <w:top w:val="single" w:sz="6" w:space="0" w:color="CCCCCC"/>
                <w:left w:val="single" w:sz="6" w:space="0" w:color="CCCCCC"/>
                <w:bottom w:val="single" w:sz="6" w:space="0" w:color="CCCCCC"/>
                <w:right w:val="single" w:sz="6" w:space="0" w:color="CCCCCC"/>
              </w:divBdr>
              <w:divsChild>
                <w:div w:id="15401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51882">
      <w:bodyDiv w:val="1"/>
      <w:marLeft w:val="0"/>
      <w:marRight w:val="0"/>
      <w:marTop w:val="0"/>
      <w:marBottom w:val="0"/>
      <w:divBdr>
        <w:top w:val="none" w:sz="0" w:space="0" w:color="auto"/>
        <w:left w:val="none" w:sz="0" w:space="0" w:color="auto"/>
        <w:bottom w:val="none" w:sz="0" w:space="0" w:color="auto"/>
        <w:right w:val="none" w:sz="0" w:space="0" w:color="auto"/>
      </w:divBdr>
    </w:div>
    <w:div w:id="1084036696">
      <w:bodyDiv w:val="1"/>
      <w:marLeft w:val="0"/>
      <w:marRight w:val="0"/>
      <w:marTop w:val="0"/>
      <w:marBottom w:val="0"/>
      <w:divBdr>
        <w:top w:val="none" w:sz="0" w:space="0" w:color="auto"/>
        <w:left w:val="none" w:sz="0" w:space="0" w:color="auto"/>
        <w:bottom w:val="none" w:sz="0" w:space="0" w:color="auto"/>
        <w:right w:val="none" w:sz="0" w:space="0" w:color="auto"/>
      </w:divBdr>
      <w:divsChild>
        <w:div w:id="578490294">
          <w:marLeft w:val="15"/>
          <w:marRight w:val="15"/>
          <w:marTop w:val="0"/>
          <w:marBottom w:val="0"/>
          <w:divBdr>
            <w:top w:val="none" w:sz="0" w:space="0" w:color="auto"/>
            <w:left w:val="none" w:sz="0" w:space="0" w:color="auto"/>
            <w:bottom w:val="none" w:sz="0" w:space="0" w:color="auto"/>
            <w:right w:val="none" w:sz="0" w:space="0" w:color="auto"/>
          </w:divBdr>
          <w:divsChild>
            <w:div w:id="1023677422">
              <w:marLeft w:val="4500"/>
              <w:marRight w:val="0"/>
              <w:marTop w:val="0"/>
              <w:marBottom w:val="0"/>
              <w:divBdr>
                <w:top w:val="single" w:sz="12" w:space="0" w:color="FF0000"/>
                <w:left w:val="single" w:sz="12" w:space="0" w:color="FF0000"/>
                <w:bottom w:val="single" w:sz="12" w:space="0" w:color="FF0000"/>
                <w:right w:val="single" w:sz="12" w:space="0" w:color="FF0000"/>
              </w:divBdr>
            </w:div>
          </w:divsChild>
        </w:div>
      </w:divsChild>
    </w:div>
    <w:div w:id="1228371240">
      <w:bodyDiv w:val="1"/>
      <w:marLeft w:val="0"/>
      <w:marRight w:val="0"/>
      <w:marTop w:val="0"/>
      <w:marBottom w:val="0"/>
      <w:divBdr>
        <w:top w:val="none" w:sz="0" w:space="0" w:color="auto"/>
        <w:left w:val="none" w:sz="0" w:space="0" w:color="auto"/>
        <w:bottom w:val="none" w:sz="0" w:space="0" w:color="auto"/>
        <w:right w:val="none" w:sz="0" w:space="0" w:color="auto"/>
      </w:divBdr>
    </w:div>
    <w:div w:id="2054302558">
      <w:bodyDiv w:val="1"/>
      <w:marLeft w:val="0"/>
      <w:marRight w:val="0"/>
      <w:marTop w:val="0"/>
      <w:marBottom w:val="0"/>
      <w:divBdr>
        <w:top w:val="none" w:sz="0" w:space="0" w:color="auto"/>
        <w:left w:val="none" w:sz="0" w:space="0" w:color="auto"/>
        <w:bottom w:val="none" w:sz="0" w:space="0" w:color="auto"/>
        <w:right w:val="none" w:sz="0" w:space="0" w:color="auto"/>
      </w:divBdr>
      <w:divsChild>
        <w:div w:id="380177443">
          <w:marLeft w:val="1166"/>
          <w:marRight w:val="0"/>
          <w:marTop w:val="0"/>
          <w:marBottom w:val="0"/>
          <w:divBdr>
            <w:top w:val="none" w:sz="0" w:space="0" w:color="auto"/>
            <w:left w:val="none" w:sz="0" w:space="0" w:color="auto"/>
            <w:bottom w:val="none" w:sz="0" w:space="0" w:color="auto"/>
            <w:right w:val="none" w:sz="0" w:space="0" w:color="auto"/>
          </w:divBdr>
        </w:div>
        <w:div w:id="802817567">
          <w:marLeft w:val="1166"/>
          <w:marRight w:val="0"/>
          <w:marTop w:val="0"/>
          <w:marBottom w:val="0"/>
          <w:divBdr>
            <w:top w:val="none" w:sz="0" w:space="0" w:color="auto"/>
            <w:left w:val="none" w:sz="0" w:space="0" w:color="auto"/>
            <w:bottom w:val="none" w:sz="0" w:space="0" w:color="auto"/>
            <w:right w:val="none" w:sz="0" w:space="0" w:color="auto"/>
          </w:divBdr>
        </w:div>
        <w:div w:id="965627372">
          <w:marLeft w:val="1166"/>
          <w:marRight w:val="0"/>
          <w:marTop w:val="0"/>
          <w:marBottom w:val="0"/>
          <w:divBdr>
            <w:top w:val="none" w:sz="0" w:space="0" w:color="auto"/>
            <w:left w:val="none" w:sz="0" w:space="0" w:color="auto"/>
            <w:bottom w:val="none" w:sz="0" w:space="0" w:color="auto"/>
            <w:right w:val="none" w:sz="0" w:space="0" w:color="auto"/>
          </w:divBdr>
        </w:div>
        <w:div w:id="1355108871">
          <w:marLeft w:val="1166"/>
          <w:marRight w:val="0"/>
          <w:marTop w:val="0"/>
          <w:marBottom w:val="0"/>
          <w:divBdr>
            <w:top w:val="none" w:sz="0" w:space="0" w:color="auto"/>
            <w:left w:val="none" w:sz="0" w:space="0" w:color="auto"/>
            <w:bottom w:val="none" w:sz="0" w:space="0" w:color="auto"/>
            <w:right w:val="none" w:sz="0" w:space="0" w:color="auto"/>
          </w:divBdr>
        </w:div>
        <w:div w:id="1737896723">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408A-07B5-475B-973A-36A2B9B52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3465</Words>
  <Characters>19752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lpstr>
    </vt:vector>
  </TitlesOfParts>
  <Company>JCDecaux</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Stephens</dc:creator>
  <cp:keywords/>
  <cp:lastModifiedBy>Ellerton, Dominic</cp:lastModifiedBy>
  <cp:revision>2</cp:revision>
  <cp:lastPrinted>2018-12-11T14:10:00Z</cp:lastPrinted>
  <dcterms:created xsi:type="dcterms:W3CDTF">2019-02-07T13:18:00Z</dcterms:created>
  <dcterms:modified xsi:type="dcterms:W3CDTF">2019-02-07T13:18:00Z</dcterms:modified>
</cp:coreProperties>
</file>