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C421F" w:rsidRDefault="003104EB" w:rsidP="003104EB">
      <w:pPr>
        <w:rPr>
          <w:rFonts w:cs="Courier New"/>
          <w:b/>
          <w:color w:val="000000"/>
          <w:sz w:val="22"/>
          <w:szCs w:val="24"/>
          <w:lang w:eastAsia="en-GB"/>
        </w:rPr>
      </w:pPr>
      <w:r w:rsidRPr="004C421F">
        <w:rPr>
          <w:rFonts w:cs="Courier New"/>
          <w:b/>
          <w:color w:val="000000"/>
          <w:sz w:val="22"/>
          <w:szCs w:val="24"/>
          <w:lang w:eastAsia="en-GB"/>
        </w:rPr>
        <w:t xml:space="preserve">DELEGATED APPLICATION REPORT </w:t>
      </w:r>
      <w:r w:rsidRPr="004C421F">
        <w:rPr>
          <w:rFonts w:cs="Courier New"/>
          <w:b/>
          <w:color w:val="000000"/>
          <w:sz w:val="22"/>
          <w:szCs w:val="24"/>
          <w:lang w:eastAsia="en-GB"/>
        </w:rPr>
        <w:tab/>
      </w:r>
      <w:r w:rsidRPr="004C421F">
        <w:rPr>
          <w:rFonts w:cs="Courier New"/>
          <w:b/>
          <w:color w:val="000000"/>
          <w:sz w:val="22"/>
          <w:szCs w:val="24"/>
          <w:lang w:eastAsia="en-GB"/>
        </w:rPr>
        <w:tab/>
      </w:r>
      <w:r w:rsidRPr="004C421F">
        <w:rPr>
          <w:rFonts w:cs="Courier New"/>
          <w:b/>
          <w:color w:val="000000"/>
          <w:sz w:val="22"/>
          <w:szCs w:val="24"/>
          <w:lang w:eastAsia="en-GB"/>
        </w:rPr>
        <w:tab/>
      </w:r>
      <w:r w:rsidR="00490997" w:rsidRPr="004C421F">
        <w:rPr>
          <w:rFonts w:cs="Courier New"/>
          <w:b/>
          <w:color w:val="000000"/>
          <w:sz w:val="22"/>
          <w:szCs w:val="24"/>
          <w:lang w:eastAsia="en-GB"/>
        </w:rPr>
        <w:t xml:space="preserve">            </w:t>
      </w:r>
      <w:r w:rsidR="004C421F">
        <w:rPr>
          <w:rFonts w:cs="Courier New"/>
          <w:b/>
          <w:color w:val="000000"/>
          <w:sz w:val="22"/>
          <w:szCs w:val="24"/>
          <w:lang w:eastAsia="en-GB"/>
        </w:rPr>
        <w:tab/>
      </w:r>
      <w:r w:rsidR="00920384">
        <w:rPr>
          <w:rFonts w:cs="Courier New"/>
          <w:b/>
          <w:color w:val="000000"/>
          <w:sz w:val="22"/>
          <w:szCs w:val="24"/>
          <w:lang w:eastAsia="en-GB"/>
        </w:rPr>
        <w:t xml:space="preserve">       </w:t>
      </w:r>
      <w:r w:rsidRPr="004C421F">
        <w:rPr>
          <w:rFonts w:cs="Courier New"/>
          <w:b/>
          <w:color w:val="000000"/>
          <w:sz w:val="22"/>
          <w:szCs w:val="24"/>
          <w:lang w:eastAsia="en-GB"/>
        </w:rPr>
        <w:t>Target Date:</w:t>
      </w:r>
      <w:r w:rsidR="00695489">
        <w:rPr>
          <w:rFonts w:cs="Courier New"/>
          <w:b/>
          <w:color w:val="000000"/>
          <w:sz w:val="22"/>
          <w:szCs w:val="24"/>
          <w:lang w:eastAsia="en-GB"/>
        </w:rPr>
        <w:t xml:space="preserve"> </w:t>
      </w:r>
      <w:r w:rsidR="00695489">
        <w:rPr>
          <w:rFonts w:cs="Courier New"/>
          <w:color w:val="000000"/>
          <w:sz w:val="22"/>
          <w:szCs w:val="24"/>
          <w:lang w:eastAsia="en-GB"/>
        </w:rPr>
        <w:t>3</w:t>
      </w:r>
      <w:r w:rsidR="00695489" w:rsidRPr="00695489">
        <w:rPr>
          <w:rFonts w:cs="Courier New"/>
          <w:color w:val="000000"/>
          <w:sz w:val="22"/>
          <w:szCs w:val="24"/>
          <w:lang w:eastAsia="en-GB"/>
        </w:rPr>
        <w:t>1/10/19</w:t>
      </w:r>
      <w:r w:rsidRPr="004C421F">
        <w:rPr>
          <w:rFonts w:cs="Courier New"/>
          <w:color w:val="000000"/>
          <w:sz w:val="22"/>
          <w:szCs w:val="24"/>
          <w:lang w:eastAsia="en-GB"/>
        </w:rPr>
        <w:tab/>
      </w:r>
      <w:r w:rsidRPr="004C421F">
        <w:rPr>
          <w:rFonts w:cs="Courier New"/>
          <w:color w:val="000000"/>
          <w:sz w:val="22"/>
          <w:szCs w:val="24"/>
          <w:lang w:eastAsia="en-GB"/>
        </w:rPr>
        <w:tab/>
      </w:r>
      <w:r w:rsidRPr="004C421F">
        <w:rPr>
          <w:rFonts w:cs="Courier New"/>
          <w:color w:val="000000"/>
          <w:sz w:val="22"/>
          <w:szCs w:val="24"/>
          <w:lang w:eastAsia="en-GB"/>
        </w:rPr>
        <w:tab/>
      </w:r>
    </w:p>
    <w:p w:rsidR="003104EB" w:rsidRPr="004C421F" w:rsidRDefault="003104EB" w:rsidP="003104EB">
      <w:pPr>
        <w:rPr>
          <w:rFonts w:cs="Courier New"/>
          <w:color w:val="000000"/>
          <w:sz w:val="22"/>
          <w:szCs w:val="24"/>
          <w:lang w:eastAsia="en-GB"/>
        </w:rPr>
      </w:pPr>
      <w:r w:rsidRPr="004C421F">
        <w:rPr>
          <w:rFonts w:cs="Courier New"/>
          <w:b/>
          <w:color w:val="000000"/>
          <w:sz w:val="22"/>
          <w:szCs w:val="24"/>
          <w:lang w:eastAsia="en-GB"/>
        </w:rPr>
        <w:t>Application No:</w:t>
      </w:r>
      <w:r w:rsidR="00695489">
        <w:rPr>
          <w:rFonts w:cs="Courier New"/>
          <w:b/>
          <w:color w:val="000000"/>
          <w:sz w:val="22"/>
          <w:szCs w:val="24"/>
          <w:lang w:eastAsia="en-GB"/>
        </w:rPr>
        <w:t xml:space="preserve"> </w:t>
      </w:r>
      <w:r w:rsidR="00695489">
        <w:rPr>
          <w:rFonts w:cs="Courier New"/>
          <w:color w:val="000000"/>
          <w:sz w:val="22"/>
          <w:szCs w:val="24"/>
          <w:lang w:eastAsia="en-GB"/>
        </w:rPr>
        <w:t>191446/OPA</w:t>
      </w:r>
      <w:r w:rsidRPr="004C421F">
        <w:rPr>
          <w:rFonts w:cs="Courier New"/>
          <w:color w:val="000000"/>
          <w:sz w:val="22"/>
          <w:szCs w:val="24"/>
          <w:lang w:eastAsia="en-GB"/>
        </w:rPr>
        <w:tab/>
      </w:r>
      <w:r w:rsidRPr="004C421F">
        <w:rPr>
          <w:rFonts w:cs="Courier New"/>
          <w:color w:val="000000"/>
          <w:sz w:val="22"/>
          <w:szCs w:val="24"/>
          <w:lang w:eastAsia="en-GB"/>
        </w:rPr>
        <w:tab/>
      </w:r>
      <w:r w:rsidRPr="004C421F">
        <w:rPr>
          <w:rFonts w:cs="Courier New"/>
          <w:color w:val="000000"/>
          <w:sz w:val="22"/>
          <w:szCs w:val="24"/>
          <w:lang w:eastAsia="en-GB"/>
        </w:rPr>
        <w:tab/>
      </w:r>
    </w:p>
    <w:p w:rsidR="003104EB" w:rsidRPr="00695489"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Address: </w:t>
      </w:r>
      <w:r w:rsidR="00695489">
        <w:rPr>
          <w:rFonts w:cs="Courier New"/>
          <w:color w:val="000000"/>
          <w:sz w:val="22"/>
          <w:szCs w:val="24"/>
          <w:lang w:eastAsia="en-GB"/>
        </w:rPr>
        <w:t>1 Station Road &amp; 22 Friar Street</w:t>
      </w:r>
    </w:p>
    <w:p w:rsidR="003104EB" w:rsidRPr="00920384"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Proposal: </w:t>
      </w:r>
      <w:r w:rsidR="006B1519">
        <w:rPr>
          <w:rFonts w:cs="Courier New"/>
          <w:color w:val="000000"/>
          <w:sz w:val="22"/>
          <w:szCs w:val="24"/>
          <w:lang w:eastAsia="en-GB"/>
        </w:rPr>
        <w:t xml:space="preserve">Change of use of </w:t>
      </w:r>
      <w:r w:rsidR="00695489">
        <w:rPr>
          <w:rFonts w:cs="Courier New"/>
          <w:color w:val="000000"/>
          <w:sz w:val="22"/>
          <w:szCs w:val="24"/>
          <w:lang w:eastAsia="en-GB"/>
        </w:rPr>
        <w:t>1</w:t>
      </w:r>
      <w:r w:rsidR="00695489" w:rsidRPr="00695489">
        <w:rPr>
          <w:rFonts w:cs="Courier New"/>
          <w:color w:val="000000"/>
          <w:sz w:val="22"/>
          <w:szCs w:val="24"/>
          <w:vertAlign w:val="superscript"/>
          <w:lang w:eastAsia="en-GB"/>
        </w:rPr>
        <w:t>st</w:t>
      </w:r>
      <w:r w:rsidR="00695489">
        <w:rPr>
          <w:rFonts w:cs="Courier New"/>
          <w:color w:val="000000"/>
          <w:sz w:val="22"/>
          <w:szCs w:val="24"/>
          <w:lang w:eastAsia="en-GB"/>
        </w:rPr>
        <w:t>, 2</w:t>
      </w:r>
      <w:r w:rsidR="00695489" w:rsidRPr="00695489">
        <w:rPr>
          <w:rFonts w:cs="Courier New"/>
          <w:color w:val="000000"/>
          <w:sz w:val="22"/>
          <w:szCs w:val="24"/>
          <w:vertAlign w:val="superscript"/>
          <w:lang w:eastAsia="en-GB"/>
        </w:rPr>
        <w:t>nd</w:t>
      </w:r>
      <w:r w:rsidR="00695489">
        <w:rPr>
          <w:rFonts w:cs="Courier New"/>
          <w:color w:val="000000"/>
          <w:sz w:val="22"/>
          <w:szCs w:val="24"/>
          <w:lang w:eastAsia="en-GB"/>
        </w:rPr>
        <w:t xml:space="preserve"> and 3</w:t>
      </w:r>
      <w:r w:rsidR="00695489" w:rsidRPr="00695489">
        <w:rPr>
          <w:rFonts w:cs="Courier New"/>
          <w:color w:val="000000"/>
          <w:sz w:val="22"/>
          <w:szCs w:val="24"/>
          <w:vertAlign w:val="superscript"/>
          <w:lang w:eastAsia="en-GB"/>
        </w:rPr>
        <w:t>rd</w:t>
      </w:r>
      <w:r w:rsidR="00695489">
        <w:rPr>
          <w:rFonts w:cs="Courier New"/>
          <w:color w:val="000000"/>
          <w:sz w:val="22"/>
          <w:szCs w:val="24"/>
          <w:lang w:eastAsia="en-GB"/>
        </w:rPr>
        <w:t xml:space="preserve"> floors of </w:t>
      </w:r>
      <w:r w:rsidR="006B1519">
        <w:rPr>
          <w:rFonts w:cs="Courier New"/>
          <w:color w:val="000000"/>
          <w:sz w:val="22"/>
          <w:szCs w:val="24"/>
          <w:lang w:eastAsia="en-GB"/>
        </w:rPr>
        <w:t>existing building from Class B1(a) (offices) to Class C3</w:t>
      </w:r>
      <w:r w:rsidR="00695489">
        <w:rPr>
          <w:rFonts w:cs="Courier New"/>
          <w:color w:val="000000"/>
          <w:sz w:val="22"/>
          <w:szCs w:val="24"/>
          <w:lang w:eastAsia="en-GB"/>
        </w:rPr>
        <w:t xml:space="preserve"> (dwellinghouses) to comprise 12</w:t>
      </w:r>
      <w:r w:rsidR="006B1519">
        <w:rPr>
          <w:rFonts w:cs="Courier New"/>
          <w:color w:val="000000"/>
          <w:sz w:val="22"/>
          <w:szCs w:val="24"/>
          <w:lang w:eastAsia="en-GB"/>
        </w:rPr>
        <w:t xml:space="preserve"> residential units. Prior Notification under Class O, Part 3 of Schedule 2 of </w:t>
      </w:r>
      <w:proofErr w:type="gramStart"/>
      <w:r w:rsidR="006B1519">
        <w:rPr>
          <w:rFonts w:cs="Courier New"/>
          <w:color w:val="000000"/>
          <w:sz w:val="22"/>
          <w:szCs w:val="24"/>
          <w:lang w:eastAsia="en-GB"/>
        </w:rPr>
        <w:t>The</w:t>
      </w:r>
      <w:proofErr w:type="gramEnd"/>
      <w:r w:rsidR="006B1519">
        <w:rPr>
          <w:rFonts w:cs="Courier New"/>
          <w:color w:val="000000"/>
          <w:sz w:val="22"/>
          <w:szCs w:val="24"/>
          <w:lang w:eastAsia="en-GB"/>
        </w:rPr>
        <w:t xml:space="preserve"> Town and Country Planning (General Permitted Development) Order 2015 </w:t>
      </w:r>
    </w:p>
    <w:p w:rsidR="003104EB" w:rsidRPr="004C421F"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Case officer: </w:t>
      </w:r>
      <w:r w:rsidRPr="004C421F">
        <w:rPr>
          <w:rFonts w:cs="Courier New"/>
          <w:color w:val="000000"/>
          <w:sz w:val="22"/>
          <w:szCs w:val="24"/>
          <w:lang w:eastAsia="en-GB"/>
        </w:rPr>
        <w:t>Tom Hughes</w:t>
      </w:r>
    </w:p>
    <w:p w:rsidR="003104EB" w:rsidRPr="004C421F" w:rsidRDefault="003104EB" w:rsidP="003104EB">
      <w:pPr>
        <w:rPr>
          <w:color w:val="000000"/>
          <w:sz w:val="22"/>
          <w:szCs w:val="24"/>
        </w:rPr>
      </w:pPr>
    </w:p>
    <w:p w:rsidR="003104EB" w:rsidRDefault="0094414F" w:rsidP="003104EB">
      <w:pPr>
        <w:pStyle w:val="Heading3"/>
        <w:rPr>
          <w:color w:val="000000"/>
          <w:szCs w:val="24"/>
        </w:rPr>
      </w:pPr>
      <w:r w:rsidRPr="004C421F">
        <w:rPr>
          <w:color w:val="000000"/>
          <w:szCs w:val="24"/>
        </w:rPr>
        <w:t>Introduction</w:t>
      </w:r>
    </w:p>
    <w:p w:rsidR="00695489" w:rsidRPr="00695489" w:rsidRDefault="00695489" w:rsidP="00695489">
      <w:pPr>
        <w:pStyle w:val="Heading3"/>
        <w:rPr>
          <w:b w:val="0"/>
        </w:rPr>
      </w:pPr>
      <w:r>
        <w:rPr>
          <w:b w:val="0"/>
        </w:rPr>
        <w:t>The application site comprises a four storey building at the junction of Station Road and Friar Street. The application relates to the first, second and third floors of the building, which are in office use. T</w:t>
      </w:r>
      <w:bookmarkStart w:id="0" w:name="_GoBack"/>
      <w:bookmarkEnd w:id="0"/>
      <w:r>
        <w:rPr>
          <w:b w:val="0"/>
        </w:rPr>
        <w:t xml:space="preserve">he lawful use of the ground floor is Class A2. The site is located on a major pedestrian route, with the surrounding area comprising a mix of town centre uses. </w:t>
      </w:r>
    </w:p>
    <w:p w:rsidR="003104EB" w:rsidRPr="006B1519" w:rsidRDefault="003104EB" w:rsidP="003104EB">
      <w:pPr>
        <w:jc w:val="both"/>
        <w:rPr>
          <w:color w:val="000000"/>
          <w:sz w:val="20"/>
          <w:szCs w:val="24"/>
        </w:rPr>
      </w:pPr>
    </w:p>
    <w:p w:rsidR="003104EB" w:rsidRPr="004C421F" w:rsidRDefault="0094414F" w:rsidP="003104EB">
      <w:pPr>
        <w:pStyle w:val="Heading3"/>
        <w:rPr>
          <w:color w:val="000000"/>
          <w:szCs w:val="24"/>
        </w:rPr>
      </w:pPr>
      <w:r w:rsidRPr="004C421F">
        <w:rPr>
          <w:color w:val="000000"/>
          <w:szCs w:val="24"/>
        </w:rPr>
        <w:t>Proposal</w:t>
      </w:r>
    </w:p>
    <w:p w:rsidR="00CB13E6" w:rsidRDefault="006B1519" w:rsidP="0094414F">
      <w:pPr>
        <w:rPr>
          <w:color w:val="000000"/>
          <w:sz w:val="22"/>
        </w:rPr>
      </w:pPr>
      <w:r>
        <w:rPr>
          <w:color w:val="000000"/>
          <w:sz w:val="22"/>
        </w:rPr>
        <w:t>Prior Approval, under Class O,</w:t>
      </w:r>
      <w:r w:rsidR="004C421F">
        <w:rPr>
          <w:color w:val="000000"/>
          <w:sz w:val="22"/>
        </w:rPr>
        <w:t xml:space="preserve"> Part 3 of Schedule 2 to The Town and Country Planning (General Permitted Development) (England) Order 2015 (as amended), is sought for the change of use </w:t>
      </w:r>
      <w:r w:rsidR="00D76DD6">
        <w:rPr>
          <w:color w:val="000000"/>
          <w:sz w:val="22"/>
        </w:rPr>
        <w:t>o</w:t>
      </w:r>
      <w:r w:rsidR="004C421F">
        <w:rPr>
          <w:color w:val="000000"/>
          <w:sz w:val="22"/>
        </w:rPr>
        <w:t xml:space="preserve">f the </w:t>
      </w:r>
      <w:r w:rsidR="00D76DD6">
        <w:rPr>
          <w:color w:val="000000"/>
          <w:sz w:val="22"/>
        </w:rPr>
        <w:t xml:space="preserve">first, second and third floors of the </w:t>
      </w:r>
      <w:r w:rsidR="004C421F">
        <w:rPr>
          <w:color w:val="000000"/>
          <w:sz w:val="22"/>
        </w:rPr>
        <w:t xml:space="preserve">building from offices to </w:t>
      </w:r>
      <w:r w:rsidR="00D76DD6">
        <w:rPr>
          <w:color w:val="000000"/>
          <w:sz w:val="22"/>
        </w:rPr>
        <w:t>12</w:t>
      </w:r>
      <w:r>
        <w:rPr>
          <w:color w:val="000000"/>
          <w:sz w:val="22"/>
        </w:rPr>
        <w:t xml:space="preserve"> residential units.</w:t>
      </w:r>
    </w:p>
    <w:p w:rsidR="004C421F" w:rsidRPr="004C421F" w:rsidRDefault="004C421F" w:rsidP="0094414F">
      <w:pPr>
        <w:rPr>
          <w:sz w:val="22"/>
        </w:rPr>
      </w:pPr>
    </w:p>
    <w:p w:rsidR="003104EB" w:rsidRPr="004C421F" w:rsidRDefault="0094414F" w:rsidP="00FA3D5D">
      <w:pPr>
        <w:rPr>
          <w:sz w:val="22"/>
        </w:rPr>
      </w:pPr>
      <w:r w:rsidRPr="004C421F">
        <w:rPr>
          <w:b/>
          <w:color w:val="000000"/>
          <w:sz w:val="22"/>
          <w:szCs w:val="24"/>
        </w:rPr>
        <w:t>Plans Submitted</w:t>
      </w:r>
    </w:p>
    <w:p w:rsidR="006B1519" w:rsidRDefault="004C421F" w:rsidP="00774824">
      <w:pPr>
        <w:jc w:val="both"/>
        <w:rPr>
          <w:color w:val="000000"/>
          <w:sz w:val="22"/>
          <w:szCs w:val="24"/>
        </w:rPr>
      </w:pPr>
      <w:r>
        <w:rPr>
          <w:color w:val="000000"/>
          <w:sz w:val="22"/>
          <w:szCs w:val="24"/>
        </w:rPr>
        <w:t>The agent supplied</w:t>
      </w:r>
      <w:r w:rsidR="003104EB" w:rsidRPr="004C421F">
        <w:rPr>
          <w:color w:val="000000"/>
          <w:sz w:val="22"/>
          <w:szCs w:val="24"/>
        </w:rPr>
        <w:t xml:space="preserve"> the f</w:t>
      </w:r>
      <w:r w:rsidR="00196750" w:rsidRPr="004C421F">
        <w:rPr>
          <w:color w:val="000000"/>
          <w:sz w:val="22"/>
          <w:szCs w:val="24"/>
        </w:rPr>
        <w:t>ollowing</w:t>
      </w:r>
      <w:r w:rsidR="003D26F8" w:rsidRPr="004C421F">
        <w:rPr>
          <w:color w:val="000000"/>
          <w:sz w:val="22"/>
          <w:szCs w:val="24"/>
        </w:rPr>
        <w:t>, received on</w:t>
      </w:r>
      <w:r w:rsidR="005B6966" w:rsidRPr="004C421F">
        <w:rPr>
          <w:color w:val="000000"/>
          <w:sz w:val="22"/>
          <w:szCs w:val="24"/>
        </w:rPr>
        <w:t xml:space="preserve"> </w:t>
      </w:r>
      <w:r w:rsidR="00D76DD6">
        <w:rPr>
          <w:color w:val="000000"/>
          <w:sz w:val="22"/>
          <w:szCs w:val="24"/>
        </w:rPr>
        <w:t>04/09/19:</w:t>
      </w:r>
    </w:p>
    <w:p w:rsidR="00D76DD6" w:rsidRDefault="00D76DD6" w:rsidP="00774824">
      <w:pPr>
        <w:jc w:val="both"/>
        <w:rPr>
          <w:color w:val="000000"/>
          <w:sz w:val="22"/>
          <w:szCs w:val="24"/>
        </w:rPr>
      </w:pPr>
      <w:r>
        <w:rPr>
          <w:color w:val="000000"/>
          <w:sz w:val="22"/>
          <w:szCs w:val="24"/>
        </w:rPr>
        <w:t>Planning Statement</w:t>
      </w:r>
    </w:p>
    <w:p w:rsidR="00D76DD6" w:rsidRDefault="00D76DD6" w:rsidP="00774824">
      <w:pPr>
        <w:jc w:val="both"/>
        <w:rPr>
          <w:color w:val="000000"/>
          <w:sz w:val="22"/>
          <w:szCs w:val="24"/>
        </w:rPr>
      </w:pPr>
      <w:r>
        <w:rPr>
          <w:color w:val="000000"/>
          <w:sz w:val="22"/>
          <w:szCs w:val="24"/>
        </w:rPr>
        <w:t>Drawing No: GA.1200 – Site Location and Block Plan</w:t>
      </w:r>
    </w:p>
    <w:p w:rsidR="00D76DD6" w:rsidRDefault="00D76DD6" w:rsidP="00774824">
      <w:pPr>
        <w:jc w:val="both"/>
        <w:rPr>
          <w:color w:val="000000"/>
          <w:sz w:val="22"/>
          <w:szCs w:val="24"/>
        </w:rPr>
      </w:pPr>
      <w:r>
        <w:rPr>
          <w:color w:val="000000"/>
          <w:sz w:val="22"/>
          <w:szCs w:val="24"/>
        </w:rPr>
        <w:t>Drawing No: PL.1300 – Existing Basement Floor Plan</w:t>
      </w:r>
    </w:p>
    <w:p w:rsidR="00D76DD6" w:rsidRDefault="00D76DD6" w:rsidP="00774824">
      <w:pPr>
        <w:jc w:val="both"/>
        <w:rPr>
          <w:color w:val="000000"/>
          <w:sz w:val="22"/>
          <w:szCs w:val="24"/>
        </w:rPr>
      </w:pPr>
      <w:r>
        <w:rPr>
          <w:color w:val="000000"/>
          <w:sz w:val="22"/>
          <w:szCs w:val="24"/>
        </w:rPr>
        <w:t>Drawing No: PL.1301 – Existing Ground and First Floor Plans</w:t>
      </w:r>
    </w:p>
    <w:p w:rsidR="00D76DD6" w:rsidRDefault="00D76DD6" w:rsidP="00774824">
      <w:pPr>
        <w:jc w:val="both"/>
        <w:rPr>
          <w:color w:val="000000"/>
          <w:sz w:val="22"/>
          <w:szCs w:val="24"/>
        </w:rPr>
      </w:pPr>
      <w:r>
        <w:rPr>
          <w:color w:val="000000"/>
          <w:sz w:val="22"/>
          <w:szCs w:val="24"/>
        </w:rPr>
        <w:t>Drawing No: PL.1302 – Existing Second and Third Floor Plans</w:t>
      </w:r>
    </w:p>
    <w:p w:rsidR="00D76DD6" w:rsidRDefault="00D76DD6" w:rsidP="00774824">
      <w:pPr>
        <w:jc w:val="both"/>
        <w:rPr>
          <w:color w:val="000000"/>
          <w:sz w:val="22"/>
          <w:szCs w:val="24"/>
        </w:rPr>
      </w:pPr>
      <w:r>
        <w:rPr>
          <w:color w:val="000000"/>
          <w:sz w:val="22"/>
          <w:szCs w:val="24"/>
        </w:rPr>
        <w:t>Drawing No: PL.1310 – Proposed Basement Floor Plan</w:t>
      </w:r>
    </w:p>
    <w:p w:rsidR="00D76DD6" w:rsidRDefault="00D76DD6" w:rsidP="00774824">
      <w:pPr>
        <w:jc w:val="both"/>
        <w:rPr>
          <w:color w:val="000000"/>
          <w:sz w:val="22"/>
          <w:szCs w:val="24"/>
        </w:rPr>
      </w:pPr>
      <w:r>
        <w:rPr>
          <w:color w:val="000000"/>
          <w:sz w:val="22"/>
          <w:szCs w:val="24"/>
        </w:rPr>
        <w:t>Drawing No: PL.1311 – Proposed Ground and First Floor Plans</w:t>
      </w:r>
    </w:p>
    <w:p w:rsidR="00D76DD6" w:rsidRDefault="00D76DD6" w:rsidP="00774824">
      <w:pPr>
        <w:jc w:val="both"/>
        <w:rPr>
          <w:color w:val="000000"/>
          <w:sz w:val="22"/>
          <w:szCs w:val="24"/>
        </w:rPr>
      </w:pPr>
      <w:r>
        <w:rPr>
          <w:color w:val="000000"/>
          <w:sz w:val="22"/>
          <w:szCs w:val="24"/>
        </w:rPr>
        <w:t>Drawing No: PL.1312 – Proposed Second and Third Floor Plans</w:t>
      </w:r>
    </w:p>
    <w:p w:rsidR="00D76DD6" w:rsidRPr="004C421F" w:rsidRDefault="00D76DD6" w:rsidP="00774824">
      <w:pPr>
        <w:jc w:val="both"/>
        <w:rPr>
          <w:color w:val="000000"/>
          <w:sz w:val="22"/>
          <w:szCs w:val="24"/>
        </w:rPr>
      </w:pPr>
      <w:proofErr w:type="gramStart"/>
      <w:r>
        <w:rPr>
          <w:color w:val="000000"/>
          <w:sz w:val="22"/>
          <w:szCs w:val="24"/>
        </w:rPr>
        <w:t>Noise Exposure Assessment ref: 13003-NEA-01-Rev.</w:t>
      </w:r>
      <w:proofErr w:type="gramEnd"/>
      <w:r>
        <w:rPr>
          <w:color w:val="000000"/>
          <w:sz w:val="22"/>
          <w:szCs w:val="24"/>
        </w:rPr>
        <w:t xml:space="preserve"> A, dated 20/11/18 by Clement Acoustics</w:t>
      </w:r>
    </w:p>
    <w:p w:rsidR="004C421F" w:rsidRPr="004C421F" w:rsidRDefault="004C421F" w:rsidP="003104EB">
      <w:pPr>
        <w:rPr>
          <w:rFonts w:cs="Courier New"/>
          <w:color w:val="000000"/>
          <w:sz w:val="22"/>
          <w:szCs w:val="24"/>
          <w:lang w:eastAsia="en-GB"/>
        </w:rPr>
      </w:pPr>
    </w:p>
    <w:p w:rsidR="00CB13E6" w:rsidRDefault="00D772CB" w:rsidP="00CB13E6">
      <w:pPr>
        <w:jc w:val="both"/>
        <w:rPr>
          <w:b/>
          <w:color w:val="000000"/>
          <w:sz w:val="22"/>
          <w:szCs w:val="24"/>
        </w:rPr>
      </w:pPr>
      <w:r>
        <w:rPr>
          <w:b/>
          <w:color w:val="000000"/>
          <w:sz w:val="22"/>
          <w:szCs w:val="24"/>
        </w:rPr>
        <w:t>Relevant Policies and Supplementary Planning Guidance</w:t>
      </w:r>
    </w:p>
    <w:p w:rsidR="00D772CB" w:rsidRPr="00D772CB" w:rsidRDefault="00D772CB" w:rsidP="00CB13E6">
      <w:pPr>
        <w:jc w:val="both"/>
        <w:rPr>
          <w:color w:val="000000"/>
          <w:sz w:val="22"/>
          <w:szCs w:val="24"/>
          <w:u w:val="single"/>
        </w:rPr>
      </w:pPr>
      <w:r w:rsidRPr="00D772CB">
        <w:rPr>
          <w:color w:val="000000"/>
          <w:sz w:val="22"/>
          <w:szCs w:val="24"/>
          <w:u w:val="single"/>
        </w:rPr>
        <w:t>Legal Context</w:t>
      </w:r>
    </w:p>
    <w:p w:rsidR="00D772CB" w:rsidRDefault="00D772CB" w:rsidP="00CB13E6">
      <w:pPr>
        <w:jc w:val="both"/>
        <w:rPr>
          <w:color w:val="000000"/>
          <w:sz w:val="22"/>
          <w:szCs w:val="24"/>
        </w:rPr>
      </w:pPr>
      <w:r>
        <w:rPr>
          <w:color w:val="000000"/>
          <w:sz w:val="22"/>
          <w:szCs w:val="24"/>
        </w:rPr>
        <w:t xml:space="preserve">Class O allows development consisting of a change of use of a building and any land within its curtilage to Class C3 dwellinghouses (houses or flats) from a Class </w:t>
      </w:r>
      <w:proofErr w:type="gramStart"/>
      <w:r>
        <w:rPr>
          <w:color w:val="000000"/>
          <w:sz w:val="22"/>
          <w:szCs w:val="24"/>
        </w:rPr>
        <w:t>B1(</w:t>
      </w:r>
      <w:proofErr w:type="gramEnd"/>
      <w:r>
        <w:rPr>
          <w:color w:val="000000"/>
          <w:sz w:val="22"/>
          <w:szCs w:val="24"/>
        </w:rPr>
        <w:t xml:space="preserve">a) office use. </w:t>
      </w:r>
    </w:p>
    <w:p w:rsidR="00D772CB" w:rsidRDefault="00D772CB" w:rsidP="00CB13E6">
      <w:pPr>
        <w:jc w:val="both"/>
        <w:rPr>
          <w:color w:val="000000"/>
          <w:sz w:val="22"/>
          <w:szCs w:val="24"/>
        </w:rPr>
      </w:pPr>
    </w:p>
    <w:p w:rsidR="00D772CB" w:rsidRDefault="00D772CB" w:rsidP="00CB13E6">
      <w:pPr>
        <w:jc w:val="both"/>
        <w:rPr>
          <w:color w:val="000000"/>
          <w:sz w:val="22"/>
          <w:szCs w:val="24"/>
        </w:rPr>
      </w:pPr>
      <w:r>
        <w:rPr>
          <w:color w:val="000000"/>
          <w:sz w:val="22"/>
          <w:szCs w:val="24"/>
        </w:rPr>
        <w:t>As set out in para 0.2 of Class O (as amended), development is permitted subject to the condition that before beginning the development, the development shall apply to the Local Planning Authority for a determination as to whether the prior approval of the Local Planning Authority will be required as to:</w:t>
      </w:r>
    </w:p>
    <w:p w:rsidR="00D772CB" w:rsidRDefault="00D772CB" w:rsidP="00D772CB">
      <w:pPr>
        <w:pStyle w:val="ListParagraph"/>
        <w:numPr>
          <w:ilvl w:val="0"/>
          <w:numId w:val="10"/>
        </w:numPr>
        <w:jc w:val="both"/>
        <w:rPr>
          <w:color w:val="000000"/>
          <w:sz w:val="22"/>
          <w:szCs w:val="24"/>
        </w:rPr>
      </w:pPr>
      <w:r>
        <w:rPr>
          <w:color w:val="000000"/>
          <w:sz w:val="22"/>
          <w:szCs w:val="24"/>
        </w:rPr>
        <w:t>Transport and highways impacts of the development</w:t>
      </w:r>
    </w:p>
    <w:p w:rsidR="00D772CB" w:rsidRDefault="00D772CB" w:rsidP="00D772CB">
      <w:pPr>
        <w:pStyle w:val="ListParagraph"/>
        <w:numPr>
          <w:ilvl w:val="0"/>
          <w:numId w:val="10"/>
        </w:numPr>
        <w:jc w:val="both"/>
        <w:rPr>
          <w:color w:val="000000"/>
          <w:sz w:val="22"/>
          <w:szCs w:val="24"/>
        </w:rPr>
      </w:pPr>
      <w:r>
        <w:rPr>
          <w:color w:val="000000"/>
          <w:sz w:val="22"/>
          <w:szCs w:val="24"/>
        </w:rPr>
        <w:t>Contamination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Flooding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Impacts of noise from commercial premises on the intended occupiers of the development</w:t>
      </w:r>
    </w:p>
    <w:p w:rsidR="00D772CB" w:rsidRDefault="00D772CB" w:rsidP="00D772CB">
      <w:pPr>
        <w:jc w:val="both"/>
        <w:rPr>
          <w:color w:val="000000"/>
          <w:sz w:val="22"/>
          <w:szCs w:val="24"/>
        </w:rPr>
      </w:pPr>
    </w:p>
    <w:p w:rsidR="000D3630" w:rsidRDefault="000D3630" w:rsidP="00D772CB">
      <w:pPr>
        <w:jc w:val="both"/>
        <w:rPr>
          <w:color w:val="000000"/>
          <w:sz w:val="22"/>
          <w:szCs w:val="24"/>
        </w:rPr>
      </w:pPr>
      <w:r>
        <w:rPr>
          <w:color w:val="000000"/>
          <w:sz w:val="22"/>
          <w:szCs w:val="24"/>
        </w:rPr>
        <w:t xml:space="preserve">In assessing these issues, officers must have regard to the National Planning Policy Framework (NPPF) as if the application were a planning application, and also must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weight that may be given). </w:t>
      </w:r>
    </w:p>
    <w:p w:rsidR="000D3630" w:rsidRDefault="000D3630" w:rsidP="00D772CB">
      <w:pPr>
        <w:jc w:val="both"/>
        <w:rPr>
          <w:color w:val="000000"/>
          <w:sz w:val="22"/>
          <w:szCs w:val="24"/>
        </w:rPr>
      </w:pPr>
    </w:p>
    <w:p w:rsidR="000D3630" w:rsidRDefault="000D3630" w:rsidP="00D772CB">
      <w:pPr>
        <w:jc w:val="both"/>
        <w:rPr>
          <w:color w:val="000000"/>
          <w:sz w:val="22"/>
          <w:szCs w:val="24"/>
          <w:u w:val="single"/>
        </w:rPr>
      </w:pPr>
      <w:r>
        <w:rPr>
          <w:color w:val="000000"/>
          <w:sz w:val="22"/>
          <w:szCs w:val="24"/>
          <w:u w:val="single"/>
        </w:rPr>
        <w:t>Reading Borough Local Development Framework Core Strategy (2008)</w:t>
      </w:r>
    </w:p>
    <w:p w:rsidR="000D3630" w:rsidRDefault="000D3630" w:rsidP="00D772CB">
      <w:pPr>
        <w:jc w:val="both"/>
        <w:rPr>
          <w:color w:val="000000"/>
          <w:sz w:val="22"/>
          <w:szCs w:val="24"/>
        </w:rPr>
      </w:pPr>
      <w:r>
        <w:rPr>
          <w:color w:val="000000"/>
          <w:sz w:val="22"/>
          <w:szCs w:val="24"/>
        </w:rPr>
        <w:t>Policy CS34 – Pollution and Water Resources</w:t>
      </w:r>
    </w:p>
    <w:p w:rsidR="000D3630" w:rsidRDefault="000D3630" w:rsidP="00D772CB">
      <w:pPr>
        <w:jc w:val="both"/>
        <w:rPr>
          <w:color w:val="000000"/>
          <w:sz w:val="22"/>
          <w:szCs w:val="24"/>
        </w:rPr>
      </w:pPr>
      <w:r>
        <w:rPr>
          <w:color w:val="000000"/>
          <w:sz w:val="22"/>
          <w:szCs w:val="24"/>
        </w:rPr>
        <w:t>Policy CS35 – Flooding</w:t>
      </w:r>
    </w:p>
    <w:p w:rsidR="000D3630" w:rsidRDefault="000D3630" w:rsidP="00D772CB">
      <w:pPr>
        <w:jc w:val="both"/>
        <w:rPr>
          <w:color w:val="000000"/>
          <w:sz w:val="22"/>
          <w:szCs w:val="24"/>
        </w:rPr>
      </w:pPr>
    </w:p>
    <w:p w:rsidR="000D3630" w:rsidRDefault="000D3630" w:rsidP="00D772CB">
      <w:pPr>
        <w:jc w:val="both"/>
        <w:rPr>
          <w:color w:val="000000"/>
          <w:sz w:val="22"/>
          <w:szCs w:val="24"/>
          <w:u w:val="single"/>
        </w:rPr>
      </w:pPr>
      <w:r>
        <w:rPr>
          <w:color w:val="000000"/>
          <w:sz w:val="22"/>
          <w:szCs w:val="24"/>
          <w:u w:val="single"/>
        </w:rPr>
        <w:t>Reading Borough Local Development Framework Sites and Detailed Policies Document (2012)</w:t>
      </w:r>
    </w:p>
    <w:p w:rsidR="000D3630" w:rsidRDefault="000D3630" w:rsidP="00D772CB">
      <w:pPr>
        <w:jc w:val="both"/>
        <w:rPr>
          <w:color w:val="000000"/>
          <w:sz w:val="22"/>
          <w:szCs w:val="24"/>
        </w:rPr>
      </w:pPr>
      <w:r>
        <w:rPr>
          <w:color w:val="000000"/>
          <w:sz w:val="22"/>
          <w:szCs w:val="24"/>
        </w:rPr>
        <w:t>Policy DM12 – Access, Traffic and Highway Related Matters</w:t>
      </w:r>
    </w:p>
    <w:p w:rsidR="00933F49" w:rsidRDefault="00933F49" w:rsidP="00D772CB">
      <w:pPr>
        <w:jc w:val="both"/>
        <w:rPr>
          <w:color w:val="000000"/>
          <w:sz w:val="22"/>
          <w:szCs w:val="24"/>
        </w:rPr>
      </w:pPr>
    </w:p>
    <w:p w:rsidR="00933F49" w:rsidRDefault="00933F49" w:rsidP="00D772CB">
      <w:pPr>
        <w:jc w:val="both"/>
        <w:rPr>
          <w:color w:val="000000"/>
          <w:sz w:val="22"/>
          <w:szCs w:val="24"/>
          <w:u w:val="single"/>
        </w:rPr>
      </w:pPr>
      <w:r>
        <w:rPr>
          <w:color w:val="000000"/>
          <w:sz w:val="22"/>
          <w:szCs w:val="24"/>
          <w:u w:val="single"/>
        </w:rPr>
        <w:t>Reading Central Area Action Plan (2009)</w:t>
      </w:r>
    </w:p>
    <w:p w:rsidR="00933F49" w:rsidRPr="00933F49" w:rsidRDefault="00933F49" w:rsidP="00D772CB">
      <w:pPr>
        <w:jc w:val="both"/>
        <w:rPr>
          <w:color w:val="000000"/>
          <w:sz w:val="22"/>
          <w:szCs w:val="24"/>
        </w:rPr>
      </w:pPr>
      <w:r>
        <w:rPr>
          <w:color w:val="000000"/>
          <w:sz w:val="22"/>
          <w:szCs w:val="24"/>
        </w:rPr>
        <w:t>Policy RC9 – Living in the Centre</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Planning History</w:t>
      </w:r>
    </w:p>
    <w:p w:rsidR="00933F49" w:rsidRDefault="00933F49" w:rsidP="00D772CB">
      <w:pPr>
        <w:jc w:val="both"/>
        <w:rPr>
          <w:color w:val="000000"/>
          <w:sz w:val="22"/>
          <w:szCs w:val="24"/>
        </w:rPr>
      </w:pPr>
      <w:r>
        <w:rPr>
          <w:color w:val="000000"/>
          <w:sz w:val="22"/>
          <w:szCs w:val="24"/>
        </w:rPr>
        <w:t>890025/FUL – Alteration, renovation and extension of building – Permitted 22/03/89</w:t>
      </w:r>
    </w:p>
    <w:p w:rsidR="00933F49" w:rsidRDefault="00933F49" w:rsidP="00D772CB">
      <w:pPr>
        <w:jc w:val="both"/>
        <w:rPr>
          <w:color w:val="000000"/>
          <w:sz w:val="22"/>
          <w:szCs w:val="24"/>
        </w:rPr>
      </w:pPr>
      <w:r>
        <w:rPr>
          <w:color w:val="000000"/>
          <w:sz w:val="22"/>
          <w:szCs w:val="24"/>
        </w:rPr>
        <w:t>901187/FUL – Alteration, renovation and extension of building – Permitted 12/09/90</w:t>
      </w:r>
    </w:p>
    <w:p w:rsidR="00933F49" w:rsidRDefault="00933F49" w:rsidP="00D772CB">
      <w:pPr>
        <w:jc w:val="both"/>
        <w:rPr>
          <w:color w:val="000000"/>
          <w:sz w:val="22"/>
          <w:szCs w:val="24"/>
        </w:rPr>
      </w:pPr>
      <w:r>
        <w:rPr>
          <w:color w:val="000000"/>
          <w:sz w:val="22"/>
          <w:szCs w:val="24"/>
        </w:rPr>
        <w:t>180139/OPA – Change of use of 1</w:t>
      </w:r>
      <w:r w:rsidRPr="00933F49">
        <w:rPr>
          <w:color w:val="000000"/>
          <w:sz w:val="22"/>
          <w:szCs w:val="24"/>
          <w:vertAlign w:val="superscript"/>
        </w:rPr>
        <w:t>st</w:t>
      </w:r>
      <w:r>
        <w:rPr>
          <w:color w:val="000000"/>
          <w:sz w:val="22"/>
          <w:szCs w:val="24"/>
        </w:rPr>
        <w:t>, 2</w:t>
      </w:r>
      <w:r w:rsidRPr="00933F49">
        <w:rPr>
          <w:color w:val="000000"/>
          <w:sz w:val="22"/>
          <w:szCs w:val="24"/>
          <w:vertAlign w:val="superscript"/>
        </w:rPr>
        <w:t>nd</w:t>
      </w:r>
      <w:r>
        <w:rPr>
          <w:color w:val="000000"/>
          <w:sz w:val="22"/>
          <w:szCs w:val="24"/>
        </w:rPr>
        <w:t xml:space="preserve"> and 3</w:t>
      </w:r>
      <w:r w:rsidRPr="00933F49">
        <w:rPr>
          <w:color w:val="000000"/>
          <w:sz w:val="22"/>
          <w:szCs w:val="24"/>
          <w:vertAlign w:val="superscript"/>
        </w:rPr>
        <w:t>rd</w:t>
      </w:r>
      <w:r>
        <w:rPr>
          <w:color w:val="000000"/>
          <w:sz w:val="22"/>
          <w:szCs w:val="24"/>
        </w:rPr>
        <w:t xml:space="preserve"> floors from offices (Class </w:t>
      </w:r>
      <w:proofErr w:type="gramStart"/>
      <w:r>
        <w:rPr>
          <w:color w:val="000000"/>
          <w:sz w:val="22"/>
          <w:szCs w:val="24"/>
        </w:rPr>
        <w:t>B1(</w:t>
      </w:r>
      <w:proofErr w:type="gramEnd"/>
      <w:r>
        <w:rPr>
          <w:color w:val="000000"/>
          <w:sz w:val="22"/>
          <w:szCs w:val="24"/>
        </w:rPr>
        <w:t>a)) to 11 dwellings (Class C3) – Prior Approval Notification – Approval 23/03/18</w:t>
      </w:r>
    </w:p>
    <w:p w:rsidR="00933F49" w:rsidRDefault="00933F49" w:rsidP="00D772CB">
      <w:pPr>
        <w:jc w:val="both"/>
        <w:rPr>
          <w:color w:val="000000"/>
          <w:sz w:val="22"/>
          <w:szCs w:val="24"/>
        </w:rPr>
      </w:pPr>
      <w:r>
        <w:rPr>
          <w:color w:val="000000"/>
          <w:sz w:val="22"/>
          <w:szCs w:val="24"/>
        </w:rPr>
        <w:t>182109/OPA – Change of use of 1</w:t>
      </w:r>
      <w:r w:rsidRPr="00933F49">
        <w:rPr>
          <w:color w:val="000000"/>
          <w:sz w:val="22"/>
          <w:szCs w:val="24"/>
          <w:vertAlign w:val="superscript"/>
        </w:rPr>
        <w:t>st</w:t>
      </w:r>
      <w:r>
        <w:rPr>
          <w:color w:val="000000"/>
          <w:sz w:val="22"/>
          <w:szCs w:val="24"/>
        </w:rPr>
        <w:t>, 2</w:t>
      </w:r>
      <w:r w:rsidRPr="00933F49">
        <w:rPr>
          <w:color w:val="000000"/>
          <w:sz w:val="22"/>
          <w:szCs w:val="24"/>
          <w:vertAlign w:val="superscript"/>
        </w:rPr>
        <w:t>nd</w:t>
      </w:r>
      <w:r>
        <w:rPr>
          <w:color w:val="000000"/>
          <w:sz w:val="22"/>
          <w:szCs w:val="24"/>
        </w:rPr>
        <w:t xml:space="preserve"> and 3</w:t>
      </w:r>
      <w:r w:rsidRPr="00933F49">
        <w:rPr>
          <w:color w:val="000000"/>
          <w:sz w:val="22"/>
          <w:szCs w:val="24"/>
          <w:vertAlign w:val="superscript"/>
        </w:rPr>
        <w:t>rd</w:t>
      </w:r>
      <w:r>
        <w:rPr>
          <w:color w:val="000000"/>
          <w:sz w:val="22"/>
          <w:szCs w:val="24"/>
        </w:rPr>
        <w:t xml:space="preserve"> floors from offices (Class </w:t>
      </w:r>
      <w:proofErr w:type="gramStart"/>
      <w:r>
        <w:rPr>
          <w:color w:val="000000"/>
          <w:sz w:val="22"/>
          <w:szCs w:val="24"/>
        </w:rPr>
        <w:t>B1(</w:t>
      </w:r>
      <w:proofErr w:type="gramEnd"/>
      <w:r>
        <w:rPr>
          <w:color w:val="000000"/>
          <w:sz w:val="22"/>
          <w:szCs w:val="24"/>
        </w:rPr>
        <w:t>a)) to 15 dwellings (Class C3) – Prior Approval Notification – Approval 28/01/19</w:t>
      </w:r>
    </w:p>
    <w:p w:rsidR="00933F49" w:rsidRDefault="00933F49" w:rsidP="00D772CB">
      <w:pPr>
        <w:jc w:val="both"/>
        <w:rPr>
          <w:color w:val="000000"/>
          <w:sz w:val="22"/>
          <w:szCs w:val="24"/>
        </w:rPr>
      </w:pPr>
      <w:r>
        <w:rPr>
          <w:color w:val="000000"/>
          <w:sz w:val="22"/>
          <w:szCs w:val="24"/>
        </w:rPr>
        <w:t>191588/FUL – Erection of 2</w:t>
      </w:r>
      <w:r w:rsidRPr="00933F49">
        <w:rPr>
          <w:color w:val="000000"/>
          <w:sz w:val="22"/>
          <w:szCs w:val="24"/>
          <w:vertAlign w:val="superscript"/>
        </w:rPr>
        <w:t>nd</w:t>
      </w:r>
      <w:r>
        <w:rPr>
          <w:color w:val="000000"/>
          <w:sz w:val="22"/>
          <w:szCs w:val="24"/>
        </w:rPr>
        <w:t xml:space="preserve"> and 3</w:t>
      </w:r>
      <w:r w:rsidRPr="00933F49">
        <w:rPr>
          <w:color w:val="000000"/>
          <w:sz w:val="22"/>
          <w:szCs w:val="24"/>
          <w:vertAlign w:val="superscript"/>
        </w:rPr>
        <w:t>rd</w:t>
      </w:r>
      <w:r>
        <w:rPr>
          <w:color w:val="000000"/>
          <w:sz w:val="22"/>
          <w:szCs w:val="24"/>
        </w:rPr>
        <w:t xml:space="preserve"> floor rear extension to create 3 additional dwellings – to be determined</w:t>
      </w:r>
    </w:p>
    <w:p w:rsidR="00933F49" w:rsidRPr="00933F49" w:rsidRDefault="00933F49" w:rsidP="00D772CB">
      <w:pPr>
        <w:jc w:val="both"/>
        <w:rPr>
          <w:color w:val="000000"/>
          <w:sz w:val="22"/>
          <w:szCs w:val="24"/>
        </w:rPr>
      </w:pPr>
      <w:r>
        <w:rPr>
          <w:color w:val="000000"/>
          <w:sz w:val="22"/>
          <w:szCs w:val="24"/>
        </w:rPr>
        <w:t xml:space="preserve">191589/FUL – Installation of windows to rear and erection of front dormer window – to be determined </w:t>
      </w:r>
    </w:p>
    <w:p w:rsidR="000D3630" w:rsidRDefault="000D3630" w:rsidP="00D772CB">
      <w:pPr>
        <w:jc w:val="both"/>
        <w:rPr>
          <w:b/>
          <w:color w:val="000000"/>
          <w:sz w:val="22"/>
          <w:szCs w:val="24"/>
        </w:rPr>
      </w:pPr>
    </w:p>
    <w:p w:rsidR="000D3630" w:rsidRDefault="000D3630" w:rsidP="00D772CB">
      <w:pPr>
        <w:jc w:val="both"/>
        <w:rPr>
          <w:b/>
          <w:color w:val="000000"/>
          <w:sz w:val="22"/>
          <w:szCs w:val="24"/>
        </w:rPr>
      </w:pPr>
      <w:r>
        <w:rPr>
          <w:b/>
          <w:color w:val="000000"/>
          <w:sz w:val="22"/>
          <w:szCs w:val="24"/>
        </w:rPr>
        <w:t>Response to Publicity</w:t>
      </w:r>
    </w:p>
    <w:p w:rsidR="000D3630" w:rsidRDefault="000D3630" w:rsidP="00D772CB">
      <w:pPr>
        <w:jc w:val="both"/>
        <w:rPr>
          <w:color w:val="000000"/>
          <w:sz w:val="22"/>
          <w:szCs w:val="24"/>
        </w:rPr>
      </w:pPr>
      <w:r>
        <w:rPr>
          <w:color w:val="000000"/>
          <w:sz w:val="22"/>
          <w:szCs w:val="24"/>
        </w:rPr>
        <w:t xml:space="preserve">A site notice was erected </w:t>
      </w:r>
      <w:r w:rsidR="00933F49">
        <w:rPr>
          <w:color w:val="000000"/>
          <w:sz w:val="22"/>
          <w:szCs w:val="24"/>
        </w:rPr>
        <w:t>by the case officer</w:t>
      </w:r>
      <w:r>
        <w:rPr>
          <w:color w:val="000000"/>
          <w:sz w:val="22"/>
          <w:szCs w:val="24"/>
        </w:rPr>
        <w:t xml:space="preserve">. No letters of representation were received. </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Consultation Responses</w:t>
      </w:r>
    </w:p>
    <w:p w:rsidR="009A5F1F" w:rsidRDefault="009A5F1F" w:rsidP="00D772CB">
      <w:pPr>
        <w:jc w:val="both"/>
        <w:rPr>
          <w:color w:val="000000"/>
          <w:sz w:val="22"/>
          <w:szCs w:val="24"/>
          <w:u w:val="single"/>
        </w:rPr>
      </w:pPr>
      <w:r>
        <w:rPr>
          <w:color w:val="000000"/>
          <w:sz w:val="22"/>
          <w:szCs w:val="24"/>
          <w:u w:val="single"/>
        </w:rPr>
        <w:t>Transport Development Control</w:t>
      </w:r>
    </w:p>
    <w:p w:rsidR="009A5F1F" w:rsidRDefault="009A5F1F" w:rsidP="00D772CB">
      <w:pPr>
        <w:jc w:val="both"/>
        <w:rPr>
          <w:color w:val="000000"/>
          <w:sz w:val="22"/>
          <w:szCs w:val="24"/>
        </w:rPr>
      </w:pPr>
      <w:r>
        <w:rPr>
          <w:color w:val="000000"/>
          <w:sz w:val="22"/>
          <w:szCs w:val="24"/>
        </w:rPr>
        <w:t xml:space="preserve">The application site is located within the Reading Central Area, within Reading’s primary shopping area and Zone 1 of the adopted Parking Standards and Design SPD. This area is at the heart of Reading Borough, consisting primarily of retail and commercial developments. The area is well served by rail and bus links, also containing the largest proportion of public car parking spaces. </w:t>
      </w:r>
    </w:p>
    <w:p w:rsidR="009A5F1F" w:rsidRDefault="009A5F1F" w:rsidP="00D772CB">
      <w:pPr>
        <w:jc w:val="both"/>
        <w:rPr>
          <w:color w:val="000000"/>
          <w:sz w:val="22"/>
          <w:szCs w:val="24"/>
        </w:rPr>
      </w:pPr>
    </w:p>
    <w:p w:rsidR="009A5F1F" w:rsidRDefault="009A5F1F" w:rsidP="00D772CB">
      <w:pPr>
        <w:jc w:val="both"/>
        <w:rPr>
          <w:color w:val="000000"/>
          <w:sz w:val="22"/>
          <w:szCs w:val="24"/>
        </w:rPr>
      </w:pPr>
      <w:r>
        <w:rPr>
          <w:color w:val="000000"/>
          <w:sz w:val="22"/>
          <w:szCs w:val="24"/>
        </w:rPr>
        <w:t xml:space="preserve">The submitted documents do not state that any off-road parking is to be provided. Given the location of the development it is assumed that this would be a car-free development. Friar Street, Broad Street and the surrounding road network all have parking restrictions preventing on-street parking. Therefore, any overflow parking would not affect </w:t>
      </w:r>
      <w:r w:rsidR="003E3FD7">
        <w:rPr>
          <w:color w:val="000000"/>
          <w:sz w:val="22"/>
          <w:szCs w:val="24"/>
        </w:rPr>
        <w:t xml:space="preserve">the flow of traffic on the classified road network. Friar Street and Broad Street do not fall within a Resident’s Permit Zone, so the future occupants would not be eligible to apply </w:t>
      </w:r>
      <w:r w:rsidR="00CB6270">
        <w:rPr>
          <w:color w:val="000000"/>
          <w:sz w:val="22"/>
          <w:szCs w:val="24"/>
        </w:rPr>
        <w:t xml:space="preserve">for a Residents Parking Permit. In principle, Transport </w:t>
      </w:r>
      <w:proofErr w:type="gramStart"/>
      <w:r w:rsidR="00CB6270">
        <w:rPr>
          <w:color w:val="000000"/>
          <w:sz w:val="22"/>
          <w:szCs w:val="24"/>
        </w:rPr>
        <w:t>do</w:t>
      </w:r>
      <w:proofErr w:type="gramEnd"/>
      <w:r w:rsidR="00CB6270">
        <w:rPr>
          <w:color w:val="000000"/>
          <w:sz w:val="22"/>
          <w:szCs w:val="24"/>
        </w:rPr>
        <w:t xml:space="preserve"> not have any objections to prior approval being given as the change of use would not have a material impact on the character of the traffic in the vicinity of the site.</w:t>
      </w:r>
    </w:p>
    <w:p w:rsidR="00CB6270" w:rsidRDefault="00CB6270" w:rsidP="00D772CB">
      <w:pPr>
        <w:jc w:val="both"/>
        <w:rPr>
          <w:color w:val="000000"/>
          <w:sz w:val="22"/>
          <w:szCs w:val="24"/>
        </w:rPr>
      </w:pPr>
    </w:p>
    <w:p w:rsidR="00CB6270" w:rsidRDefault="00CB6270" w:rsidP="00D772CB">
      <w:pPr>
        <w:jc w:val="both"/>
        <w:rPr>
          <w:color w:val="000000"/>
          <w:sz w:val="22"/>
          <w:szCs w:val="24"/>
          <w:u w:val="single"/>
        </w:rPr>
      </w:pPr>
      <w:r>
        <w:rPr>
          <w:color w:val="000000"/>
          <w:sz w:val="22"/>
          <w:szCs w:val="24"/>
          <w:u w:val="single"/>
        </w:rPr>
        <w:t>Environmental Protection</w:t>
      </w:r>
    </w:p>
    <w:p w:rsidR="00CB6270" w:rsidRDefault="00CB6270" w:rsidP="00D772CB">
      <w:pPr>
        <w:jc w:val="both"/>
        <w:rPr>
          <w:color w:val="000000"/>
          <w:sz w:val="22"/>
          <w:szCs w:val="24"/>
        </w:rPr>
      </w:pPr>
      <w:r>
        <w:rPr>
          <w:color w:val="000000"/>
          <w:sz w:val="22"/>
          <w:szCs w:val="24"/>
        </w:rPr>
        <w:t>The development is located in a busy town centre location, close to several pubs and clubs. A noise assessment should be submitted to ensure the internal noise environment is not harmful to the health of future occupants. Noise assessments will be assessed against the recommendations for internal noise levels within dwellings and external noise levels within gardens/balconies in accordance with BS 8233:2014 and WHO guidelines for Community Noise. The report should identify any mitigation measures that are necessary to ensure that the recommended standard is met.</w:t>
      </w:r>
    </w:p>
    <w:p w:rsidR="00CB6270" w:rsidRDefault="00CB6270" w:rsidP="00D772CB">
      <w:pPr>
        <w:jc w:val="both"/>
        <w:rPr>
          <w:color w:val="000000"/>
          <w:sz w:val="22"/>
          <w:szCs w:val="24"/>
        </w:rPr>
      </w:pPr>
    </w:p>
    <w:p w:rsidR="00CB6270" w:rsidRDefault="00CB6270" w:rsidP="00D772CB">
      <w:pPr>
        <w:jc w:val="both"/>
        <w:rPr>
          <w:color w:val="000000"/>
          <w:sz w:val="22"/>
          <w:szCs w:val="24"/>
        </w:rPr>
      </w:pPr>
      <w:r>
        <w:rPr>
          <w:color w:val="000000"/>
          <w:sz w:val="22"/>
          <w:szCs w:val="24"/>
        </w:rPr>
        <w:t>Where appropriate, the noise assessment data should also include noise events (</w:t>
      </w:r>
      <w:proofErr w:type="spellStart"/>
      <w:r>
        <w:rPr>
          <w:color w:val="000000"/>
          <w:sz w:val="22"/>
          <w:szCs w:val="24"/>
        </w:rPr>
        <w:t>LAMax</w:t>
      </w:r>
      <w:proofErr w:type="spellEnd"/>
      <w:r>
        <w:rPr>
          <w:color w:val="000000"/>
          <w:sz w:val="22"/>
          <w:szCs w:val="24"/>
        </w:rPr>
        <w:t xml:space="preserve">) and the design should aim to prevent noise levels from noise events exceeding 45dB within bedrooms at night. Noise levels above 45dB are linked with sleep disturbance. </w:t>
      </w:r>
    </w:p>
    <w:p w:rsidR="00CB6270" w:rsidRDefault="00CB6270" w:rsidP="00D772CB">
      <w:pPr>
        <w:jc w:val="both"/>
        <w:rPr>
          <w:color w:val="000000"/>
          <w:sz w:val="22"/>
          <w:szCs w:val="24"/>
        </w:rPr>
      </w:pPr>
    </w:p>
    <w:p w:rsidR="00CB6270" w:rsidRPr="00CB6270" w:rsidRDefault="00CB6270" w:rsidP="00D772CB">
      <w:pPr>
        <w:jc w:val="both"/>
        <w:rPr>
          <w:i/>
          <w:color w:val="000000"/>
          <w:sz w:val="22"/>
          <w:szCs w:val="24"/>
        </w:rPr>
      </w:pPr>
      <w:r>
        <w:rPr>
          <w:noProof/>
          <w:lang w:eastAsia="en-GB"/>
        </w:rPr>
        <w:drawing>
          <wp:inline distT="0" distB="0" distL="0" distR="0" wp14:anchorId="0C07D031" wp14:editId="22CAAB77">
            <wp:extent cx="5666014" cy="9552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66014" cy="955221"/>
                    </a:xfrm>
                    <a:prstGeom prst="rect">
                      <a:avLst/>
                    </a:prstGeom>
                  </pic:spPr>
                </pic:pic>
              </a:graphicData>
            </a:graphic>
          </wp:inline>
        </w:drawing>
      </w:r>
      <w:r>
        <w:rPr>
          <w:color w:val="000000"/>
          <w:sz w:val="22"/>
          <w:szCs w:val="24"/>
        </w:rPr>
        <w:t xml:space="preserve"> </w:t>
      </w:r>
    </w:p>
    <w:p w:rsidR="00B163FC" w:rsidRDefault="00B163FC" w:rsidP="00CB13E6">
      <w:pPr>
        <w:jc w:val="both"/>
        <w:rPr>
          <w:color w:val="000000"/>
          <w:sz w:val="22"/>
          <w:szCs w:val="24"/>
        </w:rPr>
      </w:pPr>
    </w:p>
    <w:p w:rsidR="00CB6270" w:rsidRDefault="00CB6270" w:rsidP="00CB13E6">
      <w:pPr>
        <w:jc w:val="both"/>
        <w:rPr>
          <w:color w:val="000000"/>
          <w:sz w:val="22"/>
          <w:szCs w:val="24"/>
        </w:rPr>
      </w:pPr>
      <w:r>
        <w:rPr>
          <w:color w:val="000000"/>
          <w:sz w:val="22"/>
          <w:szCs w:val="24"/>
        </w:rPr>
        <w:t>A noise assessment that achieves suitable internal values has been submitted. Acoustic trickle vents have been recommended as ventilation. In hot weather trickle vents do not provide adequate ventilation and future occupiers would be forced to open their windows exposing them to harmful levels of noise. In noisy areas where opening windows would lead to an internal noise level increase of 2dBA or greater above BS 8233:2014</w:t>
      </w:r>
      <w:r w:rsidR="0033658A">
        <w:rPr>
          <w:color w:val="000000"/>
          <w:sz w:val="22"/>
          <w:szCs w:val="24"/>
        </w:rPr>
        <w:t xml:space="preserve"> recommended internal levels, we recommend an alternative mechanical ventilation with minimum performance equivalent to a mechanical heat recovery (MVHR) system with cool air bypass as an alternative means of cooling and ventilation. </w:t>
      </w:r>
      <w:r w:rsidR="004D5552">
        <w:rPr>
          <w:color w:val="000000"/>
          <w:sz w:val="22"/>
          <w:szCs w:val="24"/>
        </w:rPr>
        <w:t xml:space="preserve">Non-openable windows are not considered an acceptable solution due to the impact on living standards. Conditions are therefore recommended requiring the approval and implementation of a ventilation scheme, and the implementation of the approved noise mitigation scheme. </w:t>
      </w:r>
      <w:r w:rsidR="0033658A">
        <w:rPr>
          <w:color w:val="000000"/>
          <w:sz w:val="22"/>
          <w:szCs w:val="24"/>
        </w:rPr>
        <w:t xml:space="preserve"> </w:t>
      </w:r>
    </w:p>
    <w:p w:rsidR="00CB6270" w:rsidRDefault="00CB6270" w:rsidP="00CB13E6">
      <w:pPr>
        <w:jc w:val="both"/>
        <w:rPr>
          <w:color w:val="000000"/>
          <w:sz w:val="22"/>
          <w:szCs w:val="24"/>
        </w:rPr>
      </w:pPr>
    </w:p>
    <w:p w:rsidR="00D16515" w:rsidRDefault="00D16515" w:rsidP="00CB13E6">
      <w:pPr>
        <w:jc w:val="both"/>
        <w:rPr>
          <w:b/>
          <w:color w:val="000000"/>
          <w:sz w:val="22"/>
          <w:szCs w:val="24"/>
        </w:rPr>
      </w:pPr>
      <w:r>
        <w:rPr>
          <w:b/>
          <w:color w:val="000000"/>
          <w:sz w:val="22"/>
          <w:szCs w:val="24"/>
        </w:rPr>
        <w:lastRenderedPageBreak/>
        <w:t>Appraisal</w:t>
      </w:r>
    </w:p>
    <w:p w:rsidR="00D16515" w:rsidRDefault="00D16515" w:rsidP="00CB13E6">
      <w:pPr>
        <w:jc w:val="both"/>
        <w:rPr>
          <w:color w:val="000000"/>
          <w:sz w:val="22"/>
          <w:szCs w:val="24"/>
        </w:rPr>
      </w:pPr>
      <w:r>
        <w:rPr>
          <w:color w:val="000000"/>
          <w:sz w:val="22"/>
          <w:szCs w:val="24"/>
        </w:rPr>
        <w:t>Development is not permitted by Class O in the following instances:</w:t>
      </w:r>
    </w:p>
    <w:p w:rsidR="00D16515" w:rsidRDefault="00D16515" w:rsidP="00D16515">
      <w:pPr>
        <w:pStyle w:val="ListParagraph"/>
        <w:numPr>
          <w:ilvl w:val="0"/>
          <w:numId w:val="11"/>
        </w:numPr>
        <w:jc w:val="both"/>
        <w:rPr>
          <w:color w:val="000000"/>
          <w:sz w:val="22"/>
          <w:szCs w:val="24"/>
        </w:rPr>
      </w:pPr>
      <w:r>
        <w:rPr>
          <w:color w:val="000000"/>
          <w:sz w:val="22"/>
          <w:szCs w:val="24"/>
        </w:rPr>
        <w:t>The building is on article 2(5) land and an application under paragraph 0.2(1) in respect of the development is received by the Local Planning Authority on or before 30</w:t>
      </w:r>
      <w:r w:rsidRPr="00D16515">
        <w:rPr>
          <w:color w:val="000000"/>
          <w:sz w:val="22"/>
          <w:szCs w:val="24"/>
          <w:vertAlign w:val="superscript"/>
        </w:rPr>
        <w:t>th</w:t>
      </w:r>
      <w:r>
        <w:rPr>
          <w:color w:val="000000"/>
          <w:sz w:val="22"/>
          <w:szCs w:val="24"/>
        </w:rPr>
        <w:t xml:space="preserve"> May 2019</w:t>
      </w:r>
      <w:r w:rsidR="002F62F8">
        <w:rPr>
          <w:color w:val="000000"/>
          <w:sz w:val="22"/>
          <w:szCs w:val="24"/>
        </w:rPr>
        <w:t xml:space="preserve">; </w:t>
      </w:r>
      <w:r w:rsidR="002F62F8">
        <w:rPr>
          <w:b/>
          <w:color w:val="000000"/>
          <w:sz w:val="22"/>
          <w:szCs w:val="24"/>
        </w:rPr>
        <w:t>No</w:t>
      </w:r>
      <w:r w:rsidR="002F62F8">
        <w:rPr>
          <w:color w:val="000000"/>
          <w:sz w:val="22"/>
          <w:szCs w:val="24"/>
        </w:rPr>
        <w:t xml:space="preserve"> </w:t>
      </w:r>
    </w:p>
    <w:p w:rsidR="00D16515" w:rsidRDefault="00D16515" w:rsidP="00D16515">
      <w:pPr>
        <w:pStyle w:val="ListParagraph"/>
        <w:numPr>
          <w:ilvl w:val="0"/>
          <w:numId w:val="11"/>
        </w:numPr>
        <w:jc w:val="both"/>
        <w:rPr>
          <w:color w:val="000000"/>
          <w:sz w:val="22"/>
          <w:szCs w:val="24"/>
        </w:rPr>
      </w:pPr>
      <w:r>
        <w:rPr>
          <w:color w:val="000000"/>
          <w:sz w:val="22"/>
          <w:szCs w:val="24"/>
        </w:rPr>
        <w:t>The building was not used for a use falling within Class B1(a) of the Schedule to the Use Classes Order immediately before 30</w:t>
      </w:r>
      <w:r w:rsidRPr="00D16515">
        <w:rPr>
          <w:color w:val="000000"/>
          <w:sz w:val="22"/>
          <w:szCs w:val="24"/>
          <w:vertAlign w:val="superscript"/>
        </w:rPr>
        <w:t>th</w:t>
      </w:r>
      <w:r>
        <w:rPr>
          <w:color w:val="000000"/>
          <w:sz w:val="22"/>
          <w:szCs w:val="24"/>
        </w:rPr>
        <w:t xml:space="preserve"> May 2013 or, if the building was not in use immediately before that date, when it was last in use</w:t>
      </w:r>
      <w:r w:rsidR="002F62F8">
        <w:rPr>
          <w:color w:val="000000"/>
          <w:sz w:val="22"/>
          <w:szCs w:val="24"/>
        </w:rPr>
        <w:t xml:space="preserve">; </w:t>
      </w:r>
      <w:r w:rsidR="002F62F8">
        <w:rPr>
          <w:b/>
          <w:color w:val="000000"/>
          <w:sz w:val="22"/>
          <w:szCs w:val="24"/>
        </w:rPr>
        <w:t>No, the upper floors of the building were in use as offices on 29</w:t>
      </w:r>
      <w:r w:rsidR="002F62F8" w:rsidRPr="002F62F8">
        <w:rPr>
          <w:b/>
          <w:color w:val="000000"/>
          <w:sz w:val="22"/>
          <w:szCs w:val="24"/>
          <w:vertAlign w:val="superscript"/>
        </w:rPr>
        <w:t>th</w:t>
      </w:r>
      <w:r w:rsidR="002F62F8">
        <w:rPr>
          <w:b/>
          <w:color w:val="000000"/>
          <w:sz w:val="22"/>
          <w:szCs w:val="24"/>
        </w:rPr>
        <w:t xml:space="preserve"> May 2013, and continue to be used as such</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safety hazard area</w:t>
      </w:r>
      <w:r w:rsidR="002F62F8">
        <w:rPr>
          <w:color w:val="000000"/>
          <w:sz w:val="22"/>
          <w:szCs w:val="24"/>
        </w:rPr>
        <w:t xml:space="preserve">; </w:t>
      </w:r>
      <w:r w:rsidR="002F62F8">
        <w:rPr>
          <w:b/>
          <w:color w:val="000000"/>
          <w:sz w:val="22"/>
          <w:szCs w:val="24"/>
        </w:rPr>
        <w:t>No</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military explosives storage area</w:t>
      </w:r>
      <w:r w:rsidR="002F62F8">
        <w:rPr>
          <w:color w:val="000000"/>
          <w:sz w:val="22"/>
          <w:szCs w:val="24"/>
        </w:rPr>
        <w:t xml:space="preserve">; </w:t>
      </w:r>
      <w:r w:rsidR="002F62F8">
        <w:rPr>
          <w:b/>
          <w:color w:val="000000"/>
          <w:sz w:val="22"/>
          <w:szCs w:val="24"/>
        </w:rPr>
        <w:t>No</w:t>
      </w:r>
    </w:p>
    <w:p w:rsidR="00D16515" w:rsidRDefault="00D16515" w:rsidP="00D16515">
      <w:pPr>
        <w:pStyle w:val="ListParagraph"/>
        <w:numPr>
          <w:ilvl w:val="0"/>
          <w:numId w:val="11"/>
        </w:numPr>
        <w:jc w:val="both"/>
        <w:rPr>
          <w:color w:val="000000"/>
          <w:sz w:val="22"/>
          <w:szCs w:val="24"/>
        </w:rPr>
      </w:pPr>
      <w:r>
        <w:rPr>
          <w:color w:val="000000"/>
          <w:sz w:val="22"/>
          <w:szCs w:val="24"/>
        </w:rPr>
        <w:t>The building is a listed building or a scheduled monument</w:t>
      </w:r>
      <w:r w:rsidR="002F62F8">
        <w:rPr>
          <w:color w:val="000000"/>
          <w:sz w:val="22"/>
          <w:szCs w:val="24"/>
        </w:rPr>
        <w:t xml:space="preserve">; </w:t>
      </w:r>
      <w:r w:rsidR="002F62F8">
        <w:rPr>
          <w:b/>
          <w:color w:val="000000"/>
          <w:sz w:val="22"/>
          <w:szCs w:val="24"/>
        </w:rPr>
        <w:t>No</w:t>
      </w:r>
      <w:r>
        <w:rPr>
          <w:color w:val="000000"/>
          <w:sz w:val="22"/>
          <w:szCs w:val="24"/>
        </w:rPr>
        <w:t xml:space="preserve"> </w:t>
      </w:r>
    </w:p>
    <w:p w:rsidR="00D16515" w:rsidRDefault="00D16515" w:rsidP="00D16515">
      <w:pPr>
        <w:jc w:val="both"/>
        <w:rPr>
          <w:color w:val="000000"/>
          <w:sz w:val="22"/>
          <w:szCs w:val="24"/>
        </w:rPr>
      </w:pPr>
    </w:p>
    <w:p w:rsidR="00D16515" w:rsidRDefault="00D16515" w:rsidP="00D16515">
      <w:pPr>
        <w:jc w:val="both"/>
        <w:rPr>
          <w:color w:val="000000"/>
          <w:sz w:val="22"/>
          <w:szCs w:val="24"/>
        </w:rPr>
      </w:pPr>
      <w:r>
        <w:rPr>
          <w:color w:val="000000"/>
          <w:sz w:val="22"/>
          <w:szCs w:val="24"/>
        </w:rPr>
        <w:t>Development under Class O is permitted subject to condition. This assessment can only consider the transport and highways impacts of the development, contamination risks on the site</w:t>
      </w:r>
      <w:r w:rsidR="00F41BEF">
        <w:rPr>
          <w:color w:val="000000"/>
          <w:sz w:val="22"/>
          <w:szCs w:val="24"/>
        </w:rPr>
        <w:t>, flooding risks on the site and noise from commercial premises.</w:t>
      </w:r>
    </w:p>
    <w:p w:rsidR="00F41BEF" w:rsidRDefault="00F41BEF" w:rsidP="00D16515">
      <w:pPr>
        <w:jc w:val="both"/>
        <w:rPr>
          <w:color w:val="000000"/>
          <w:sz w:val="22"/>
          <w:szCs w:val="24"/>
        </w:rPr>
      </w:pPr>
    </w:p>
    <w:p w:rsidR="00F41BEF" w:rsidRDefault="00F41BEF" w:rsidP="00D16515">
      <w:pPr>
        <w:jc w:val="both"/>
        <w:rPr>
          <w:color w:val="000000"/>
          <w:sz w:val="22"/>
          <w:szCs w:val="24"/>
          <w:u w:val="single"/>
        </w:rPr>
      </w:pPr>
      <w:r>
        <w:rPr>
          <w:color w:val="000000"/>
          <w:sz w:val="22"/>
          <w:szCs w:val="24"/>
          <w:u w:val="single"/>
        </w:rPr>
        <w:t>Transport and highways impacts</w:t>
      </w:r>
    </w:p>
    <w:p w:rsidR="00F41BEF" w:rsidRPr="002F62F8" w:rsidRDefault="002F62F8" w:rsidP="00D16515">
      <w:pPr>
        <w:jc w:val="both"/>
        <w:rPr>
          <w:color w:val="000000"/>
          <w:sz w:val="22"/>
          <w:szCs w:val="24"/>
        </w:rPr>
      </w:pPr>
      <w:r>
        <w:rPr>
          <w:color w:val="000000"/>
          <w:sz w:val="22"/>
          <w:szCs w:val="24"/>
        </w:rPr>
        <w:t xml:space="preserve">There are no objections to the proposed development as the change of use would not have a material impact on the functioning of the surrounding road network. The site is very well connected to local and national public transport </w:t>
      </w:r>
      <w:proofErr w:type="gramStart"/>
      <w:r>
        <w:rPr>
          <w:color w:val="000000"/>
          <w:sz w:val="22"/>
          <w:szCs w:val="24"/>
        </w:rPr>
        <w:t>networks,</w:t>
      </w:r>
      <w:proofErr w:type="gramEnd"/>
      <w:r>
        <w:rPr>
          <w:color w:val="000000"/>
          <w:sz w:val="22"/>
          <w:szCs w:val="24"/>
        </w:rPr>
        <w:t xml:space="preserve"> and future occupiers would not be entitled to parking permits. </w:t>
      </w:r>
    </w:p>
    <w:p w:rsidR="002F62F8" w:rsidRDefault="002F62F8"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Contamination risks</w:t>
      </w:r>
    </w:p>
    <w:p w:rsidR="00F41BEF" w:rsidRPr="002F62F8" w:rsidRDefault="002F62F8" w:rsidP="00D16515">
      <w:pPr>
        <w:jc w:val="both"/>
        <w:rPr>
          <w:color w:val="000000"/>
          <w:sz w:val="22"/>
          <w:szCs w:val="24"/>
        </w:rPr>
      </w:pPr>
      <w:r>
        <w:rPr>
          <w:color w:val="000000"/>
          <w:sz w:val="22"/>
          <w:szCs w:val="24"/>
        </w:rPr>
        <w:t xml:space="preserve">The site is not located on or adjacent to an area of contaminated land. It is therefore not considered that the proposed change of use would carry any contamination risk. </w:t>
      </w:r>
    </w:p>
    <w:p w:rsidR="002F62F8" w:rsidRDefault="002F62F8"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Flooding risks</w:t>
      </w:r>
    </w:p>
    <w:p w:rsidR="002F62F8" w:rsidRPr="002F62F8" w:rsidRDefault="002F62F8" w:rsidP="00D16515">
      <w:pPr>
        <w:jc w:val="both"/>
        <w:rPr>
          <w:color w:val="000000"/>
          <w:sz w:val="22"/>
          <w:szCs w:val="24"/>
        </w:rPr>
      </w:pPr>
      <w:r>
        <w:rPr>
          <w:color w:val="000000"/>
          <w:sz w:val="22"/>
          <w:szCs w:val="24"/>
        </w:rPr>
        <w:t xml:space="preserve">The site is not located within a flood zone. </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Noise from commercial premises</w:t>
      </w:r>
    </w:p>
    <w:p w:rsidR="00F41BEF" w:rsidRDefault="002F62F8" w:rsidP="00D16515">
      <w:pPr>
        <w:jc w:val="both"/>
        <w:rPr>
          <w:color w:val="000000"/>
          <w:sz w:val="22"/>
          <w:szCs w:val="24"/>
        </w:rPr>
      </w:pPr>
      <w:r>
        <w:rPr>
          <w:color w:val="000000"/>
          <w:sz w:val="22"/>
          <w:szCs w:val="24"/>
        </w:rPr>
        <w:t xml:space="preserve">The accompanying noise assessment proposes glazing and acoustic trickle vents to mitigate against high noise levels. While the glazing is deemed acceptable, the proposed ventilation is not. The applicant should consider alternative ventilation for dwellings on the front façade. Appropriate conditions requiring the approval and implementation of a detailed ventilation scheme, and the implementation of the approved noise mitigation scheme are therefore recommended. </w:t>
      </w:r>
    </w:p>
    <w:p w:rsidR="002F62F8" w:rsidRPr="002F62F8" w:rsidRDefault="002F62F8" w:rsidP="00D16515">
      <w:pPr>
        <w:jc w:val="both"/>
        <w:rPr>
          <w:color w:val="000000"/>
          <w:sz w:val="22"/>
          <w:szCs w:val="24"/>
        </w:rPr>
      </w:pPr>
    </w:p>
    <w:p w:rsidR="00F41BEF" w:rsidRDefault="00F41BEF" w:rsidP="00D16515">
      <w:pPr>
        <w:jc w:val="both"/>
        <w:rPr>
          <w:b/>
          <w:color w:val="000000"/>
          <w:sz w:val="22"/>
          <w:szCs w:val="24"/>
        </w:rPr>
      </w:pPr>
      <w:r>
        <w:rPr>
          <w:b/>
          <w:color w:val="000000"/>
          <w:sz w:val="22"/>
          <w:szCs w:val="24"/>
        </w:rPr>
        <w:t>Recommendation</w:t>
      </w:r>
    </w:p>
    <w:p w:rsidR="00F41BEF" w:rsidRPr="00F41BEF" w:rsidRDefault="00F41BEF" w:rsidP="00D16515">
      <w:pPr>
        <w:jc w:val="both"/>
        <w:rPr>
          <w:b/>
          <w:color w:val="000000"/>
          <w:sz w:val="22"/>
          <w:szCs w:val="24"/>
        </w:rPr>
      </w:pPr>
      <w:r>
        <w:rPr>
          <w:b/>
          <w:color w:val="000000"/>
          <w:sz w:val="22"/>
          <w:szCs w:val="24"/>
        </w:rPr>
        <w:t>GRANT Prior Approval</w:t>
      </w:r>
      <w:r w:rsidR="008423ED">
        <w:rPr>
          <w:b/>
          <w:color w:val="000000"/>
          <w:sz w:val="22"/>
          <w:szCs w:val="24"/>
        </w:rPr>
        <w:t>, subject to conditions</w:t>
      </w:r>
    </w:p>
    <w:sectPr w:rsidR="00F41BEF" w:rsidRPr="00F41BEF" w:rsidSect="00FA60CA">
      <w:headerReference w:type="even" r:id="rId10"/>
      <w:headerReference w:type="default" r:id="rId11"/>
      <w:footerReference w:type="even" r:id="rId12"/>
      <w:footerReference w:type="default" r:id="rId13"/>
      <w:headerReference w:type="first" r:id="rId14"/>
      <w:footerReference w:type="first" r:id="rId15"/>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7C6FF5"/>
    <w:multiLevelType w:val="hybridMultilevel"/>
    <w:tmpl w:val="14229D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D40330"/>
    <w:multiLevelType w:val="hybridMultilevel"/>
    <w:tmpl w:val="38AC6E62"/>
    <w:lvl w:ilvl="0" w:tplc="9900FE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4"/>
  </w:num>
  <w:num w:numId="5">
    <w:abstractNumId w:val="1"/>
  </w:num>
  <w:num w:numId="6">
    <w:abstractNumId w:val="10"/>
  </w:num>
  <w:num w:numId="7">
    <w:abstractNumId w:val="2"/>
  </w:num>
  <w:num w:numId="8">
    <w:abstractNumId w:val="7"/>
  </w:num>
  <w:num w:numId="9">
    <w:abstractNumId w:val="5"/>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EB"/>
    <w:rsid w:val="00024A9F"/>
    <w:rsid w:val="000757A6"/>
    <w:rsid w:val="000D3630"/>
    <w:rsid w:val="001559B1"/>
    <w:rsid w:val="00196750"/>
    <w:rsid w:val="00233D61"/>
    <w:rsid w:val="002F17D2"/>
    <w:rsid w:val="002F62F8"/>
    <w:rsid w:val="003104EB"/>
    <w:rsid w:val="003336D9"/>
    <w:rsid w:val="0033658A"/>
    <w:rsid w:val="003B4EF5"/>
    <w:rsid w:val="003D26F8"/>
    <w:rsid w:val="003E3FD7"/>
    <w:rsid w:val="004347BA"/>
    <w:rsid w:val="0046375F"/>
    <w:rsid w:val="00490997"/>
    <w:rsid w:val="004931E8"/>
    <w:rsid w:val="004C421F"/>
    <w:rsid w:val="004D5552"/>
    <w:rsid w:val="005B6966"/>
    <w:rsid w:val="0065049E"/>
    <w:rsid w:val="00672BF7"/>
    <w:rsid w:val="00695489"/>
    <w:rsid w:val="006B1519"/>
    <w:rsid w:val="00726019"/>
    <w:rsid w:val="00774824"/>
    <w:rsid w:val="008423ED"/>
    <w:rsid w:val="00911CD0"/>
    <w:rsid w:val="00920384"/>
    <w:rsid w:val="00933F49"/>
    <w:rsid w:val="00936B11"/>
    <w:rsid w:val="0094414F"/>
    <w:rsid w:val="009A124D"/>
    <w:rsid w:val="009A5F1F"/>
    <w:rsid w:val="009E54E1"/>
    <w:rsid w:val="00B163FC"/>
    <w:rsid w:val="00B7333C"/>
    <w:rsid w:val="00CB13E6"/>
    <w:rsid w:val="00CB6270"/>
    <w:rsid w:val="00CF4564"/>
    <w:rsid w:val="00D16515"/>
    <w:rsid w:val="00D30B38"/>
    <w:rsid w:val="00D333C8"/>
    <w:rsid w:val="00D76DD6"/>
    <w:rsid w:val="00D772CB"/>
    <w:rsid w:val="00D90AF0"/>
    <w:rsid w:val="00E05D92"/>
    <w:rsid w:val="00F41BEF"/>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styleId="BalloonText">
    <w:name w:val="Balloon Text"/>
    <w:basedOn w:val="Normal"/>
    <w:link w:val="BalloonTextChar"/>
    <w:uiPriority w:val="99"/>
    <w:semiHidden/>
    <w:unhideWhenUsed/>
    <w:rsid w:val="00CB6270"/>
    <w:rPr>
      <w:rFonts w:ascii="Tahoma" w:hAnsi="Tahoma" w:cs="Tahoma"/>
      <w:sz w:val="16"/>
      <w:szCs w:val="16"/>
    </w:rPr>
  </w:style>
  <w:style w:type="character" w:customStyle="1" w:styleId="BalloonTextChar">
    <w:name w:val="Balloon Text Char"/>
    <w:basedOn w:val="DefaultParagraphFont"/>
    <w:link w:val="BalloonText"/>
    <w:uiPriority w:val="99"/>
    <w:semiHidden/>
    <w:rsid w:val="00CB627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styleId="BalloonText">
    <w:name w:val="Balloon Text"/>
    <w:basedOn w:val="Normal"/>
    <w:link w:val="BalloonTextChar"/>
    <w:uiPriority w:val="99"/>
    <w:semiHidden/>
    <w:unhideWhenUsed/>
    <w:rsid w:val="00CB6270"/>
    <w:rPr>
      <w:rFonts w:ascii="Tahoma" w:hAnsi="Tahoma" w:cs="Tahoma"/>
      <w:sz w:val="16"/>
      <w:szCs w:val="16"/>
    </w:rPr>
  </w:style>
  <w:style w:type="character" w:customStyle="1" w:styleId="BalloonTextChar">
    <w:name w:val="Balloon Text Char"/>
    <w:basedOn w:val="DefaultParagraphFont"/>
    <w:link w:val="BalloonText"/>
    <w:uiPriority w:val="99"/>
    <w:semiHidden/>
    <w:rsid w:val="00CB627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BB1E0-D40F-4EB1-89FC-467D6D7D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4</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2019-10-31T11:25:00Z</dcterms:created>
  <dcterms:modified xsi:type="dcterms:W3CDTF">2019-10-31T14:14:00Z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