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9A024C" w14:textId="72771CCD" w:rsidR="009D76AE" w:rsidRDefault="009D76AE" w:rsidP="009D76AE">
      <w:pPr>
        <w:jc w:val="center"/>
        <w:rPr>
          <w:rFonts w:ascii="Palatino Linotype" w:hAnsi="Palatino Linotype"/>
          <w:b/>
          <w:smallCaps/>
          <w:sz w:val="28"/>
          <w:szCs w:val="28"/>
        </w:rPr>
      </w:pPr>
      <w:bookmarkStart w:id="0" w:name="_GoBack"/>
      <w:bookmarkEnd w:id="0"/>
      <w:r w:rsidRPr="009E1A9D">
        <w:rPr>
          <w:rFonts w:ascii="Palatino Linotype" w:hAnsi="Palatino Linotype"/>
          <w:b/>
          <w:smallCaps/>
          <w:sz w:val="28"/>
          <w:szCs w:val="28"/>
        </w:rPr>
        <w:t xml:space="preserve">Heritage </w:t>
      </w:r>
      <w:r w:rsidR="005173E9">
        <w:rPr>
          <w:rFonts w:ascii="Palatino Linotype" w:hAnsi="Palatino Linotype"/>
          <w:b/>
          <w:smallCaps/>
          <w:sz w:val="28"/>
          <w:szCs w:val="28"/>
        </w:rPr>
        <w:t xml:space="preserve">Statement </w:t>
      </w:r>
      <w:r w:rsidR="00852992">
        <w:rPr>
          <w:rFonts w:ascii="Palatino Linotype" w:hAnsi="Palatino Linotype"/>
          <w:b/>
          <w:smallCaps/>
          <w:sz w:val="28"/>
          <w:szCs w:val="28"/>
        </w:rPr>
        <w:t xml:space="preserve">on </w:t>
      </w:r>
      <w:r w:rsidR="005173E9">
        <w:rPr>
          <w:rFonts w:ascii="Palatino Linotype" w:hAnsi="Palatino Linotype"/>
          <w:b/>
          <w:smallCaps/>
          <w:sz w:val="28"/>
          <w:szCs w:val="28"/>
        </w:rPr>
        <w:t>Listed Building</w:t>
      </w:r>
    </w:p>
    <w:p w14:paraId="7DB8AF7B" w14:textId="13F36774" w:rsidR="00053198" w:rsidRDefault="00053198" w:rsidP="009D76AE">
      <w:pPr>
        <w:jc w:val="center"/>
        <w:rPr>
          <w:rStyle w:val="Emphasis"/>
          <w:rFonts w:ascii="Palatino Linotype" w:hAnsi="Palatino Linotype"/>
          <w:b/>
          <w:i w:val="0"/>
          <w:smallCaps/>
          <w:sz w:val="24"/>
          <w:szCs w:val="24"/>
        </w:rPr>
      </w:pPr>
      <w:r w:rsidRPr="00053198">
        <w:rPr>
          <w:rStyle w:val="Emphasis"/>
          <w:rFonts w:ascii="Palatino Linotype" w:hAnsi="Palatino Linotype"/>
          <w:b/>
          <w:smallCaps/>
          <w:sz w:val="24"/>
          <w:szCs w:val="24"/>
        </w:rPr>
        <w:t>Application 1</w:t>
      </w:r>
      <w:r w:rsidR="00816503">
        <w:rPr>
          <w:rStyle w:val="Emphasis"/>
          <w:rFonts w:ascii="Palatino Linotype" w:hAnsi="Palatino Linotype"/>
          <w:b/>
          <w:smallCaps/>
          <w:sz w:val="24"/>
          <w:szCs w:val="24"/>
        </w:rPr>
        <w:t>9</w:t>
      </w:r>
      <w:r w:rsidRPr="00053198">
        <w:rPr>
          <w:rStyle w:val="Emphasis"/>
          <w:rFonts w:ascii="Palatino Linotype" w:hAnsi="Palatino Linotype"/>
          <w:b/>
          <w:smallCaps/>
          <w:sz w:val="24"/>
          <w:szCs w:val="24"/>
        </w:rPr>
        <w:t>/</w:t>
      </w:r>
      <w:r w:rsidR="005173E9">
        <w:rPr>
          <w:rStyle w:val="Emphasis"/>
          <w:rFonts w:ascii="Palatino Linotype" w:hAnsi="Palatino Linotype"/>
          <w:b/>
          <w:smallCaps/>
          <w:sz w:val="24"/>
          <w:szCs w:val="24"/>
        </w:rPr>
        <w:t>11</w:t>
      </w:r>
      <w:r w:rsidR="00816503">
        <w:rPr>
          <w:rStyle w:val="Emphasis"/>
          <w:rFonts w:ascii="Palatino Linotype" w:hAnsi="Palatino Linotype"/>
          <w:b/>
          <w:smallCaps/>
          <w:sz w:val="24"/>
          <w:szCs w:val="24"/>
        </w:rPr>
        <w:t>7</w:t>
      </w:r>
      <w:r w:rsidR="005173E9">
        <w:rPr>
          <w:rStyle w:val="Emphasis"/>
          <w:rFonts w:ascii="Palatino Linotype" w:hAnsi="Palatino Linotype"/>
          <w:b/>
          <w:smallCaps/>
          <w:sz w:val="24"/>
          <w:szCs w:val="24"/>
        </w:rPr>
        <w:t>4</w:t>
      </w:r>
      <w:r w:rsidRPr="00053198">
        <w:rPr>
          <w:rStyle w:val="Emphasis"/>
          <w:rFonts w:ascii="Palatino Linotype" w:hAnsi="Palatino Linotype"/>
          <w:b/>
          <w:i w:val="0"/>
          <w:smallCaps/>
          <w:sz w:val="24"/>
          <w:szCs w:val="24"/>
        </w:rPr>
        <w:t xml:space="preserve"> </w:t>
      </w:r>
      <w:r w:rsidR="005173E9">
        <w:rPr>
          <w:rStyle w:val="Emphasis"/>
          <w:rFonts w:ascii="Palatino Linotype" w:hAnsi="Palatino Linotype"/>
          <w:b/>
          <w:i w:val="0"/>
          <w:smallCaps/>
          <w:sz w:val="24"/>
          <w:szCs w:val="24"/>
        </w:rPr>
        <w:t xml:space="preserve"> 26-28 Southampton Street, Reading </w:t>
      </w:r>
    </w:p>
    <w:p w14:paraId="5F61C432" w14:textId="4AE3F06B" w:rsidR="009D76AE" w:rsidRDefault="009D76AE" w:rsidP="009D76AE">
      <w:pPr>
        <w:jc w:val="center"/>
        <w:rPr>
          <w:rFonts w:ascii="Palatino Linotype" w:hAnsi="Palatino Linotype"/>
          <w:sz w:val="24"/>
          <w:szCs w:val="24"/>
        </w:rPr>
      </w:pPr>
      <w:r w:rsidRPr="009E1A9D">
        <w:rPr>
          <w:rFonts w:ascii="Palatino Linotype" w:hAnsi="Palatino Linotype"/>
          <w:sz w:val="24"/>
          <w:szCs w:val="24"/>
        </w:rPr>
        <w:t xml:space="preserve">Oxford Archaeology, </w:t>
      </w:r>
      <w:r w:rsidR="005173E9">
        <w:rPr>
          <w:rFonts w:ascii="Palatino Linotype" w:hAnsi="Palatino Linotype"/>
          <w:sz w:val="24"/>
          <w:szCs w:val="24"/>
        </w:rPr>
        <w:t xml:space="preserve">August </w:t>
      </w:r>
      <w:r w:rsidRPr="009E1A9D">
        <w:rPr>
          <w:rFonts w:ascii="Palatino Linotype" w:hAnsi="Palatino Linotype"/>
          <w:sz w:val="24"/>
          <w:szCs w:val="24"/>
        </w:rPr>
        <w:t>2019</w:t>
      </w:r>
    </w:p>
    <w:p w14:paraId="0CFDBC6E" w14:textId="77777777" w:rsidR="00D56769" w:rsidRDefault="00D56769" w:rsidP="00D56769">
      <w:pPr>
        <w:rPr>
          <w:rFonts w:ascii="Palatino Linotype" w:hAnsi="Palatino Linotype"/>
          <w:b/>
          <w:i/>
          <w:sz w:val="24"/>
          <w:szCs w:val="24"/>
        </w:rPr>
      </w:pPr>
    </w:p>
    <w:p w14:paraId="56404D73" w14:textId="3DB12467" w:rsidR="00D56769" w:rsidRPr="005173E9" w:rsidRDefault="00D56769" w:rsidP="00D56769">
      <w:pPr>
        <w:rPr>
          <w:rFonts w:ascii="Palatino Linotype" w:hAnsi="Palatino Linotype"/>
        </w:rPr>
      </w:pPr>
      <w:r w:rsidRPr="005173E9">
        <w:rPr>
          <w:rFonts w:ascii="Palatino Linotype" w:hAnsi="Palatino Linotype"/>
          <w:b/>
          <w:i/>
        </w:rPr>
        <w:t>Reading Borough Council</w:t>
      </w:r>
      <w:r w:rsidRPr="005173E9">
        <w:rPr>
          <w:rFonts w:ascii="Palatino Linotype" w:hAnsi="Palatino Linotype"/>
        </w:rPr>
        <w:tab/>
      </w:r>
      <w:r w:rsidRPr="005173E9">
        <w:rPr>
          <w:rFonts w:ascii="Palatino Linotype" w:hAnsi="Palatino Linotype"/>
        </w:rPr>
        <w:tab/>
      </w:r>
      <w:r w:rsidRPr="005173E9">
        <w:rPr>
          <w:rStyle w:val="Emphasis"/>
          <w:rFonts w:ascii="Palatino Linotype" w:hAnsi="Palatino Linotype"/>
        </w:rPr>
        <w:t>Application 1</w:t>
      </w:r>
      <w:r w:rsidR="005173E9">
        <w:rPr>
          <w:rStyle w:val="Emphasis"/>
          <w:rFonts w:ascii="Palatino Linotype" w:hAnsi="Palatino Linotype"/>
        </w:rPr>
        <w:t>9</w:t>
      </w:r>
      <w:r w:rsidRPr="005173E9">
        <w:rPr>
          <w:rStyle w:val="Emphasis"/>
          <w:rFonts w:ascii="Palatino Linotype" w:hAnsi="Palatino Linotype"/>
        </w:rPr>
        <w:t>/</w:t>
      </w:r>
      <w:r w:rsidR="005173E9">
        <w:rPr>
          <w:rStyle w:val="Emphasis"/>
          <w:rFonts w:ascii="Palatino Linotype" w:hAnsi="Palatino Linotype"/>
        </w:rPr>
        <w:t>11</w:t>
      </w:r>
      <w:r w:rsidR="00816503">
        <w:rPr>
          <w:rStyle w:val="Emphasis"/>
          <w:rFonts w:ascii="Palatino Linotype" w:hAnsi="Palatino Linotype"/>
        </w:rPr>
        <w:t>7</w:t>
      </w:r>
      <w:r w:rsidR="005173E9">
        <w:rPr>
          <w:rStyle w:val="Emphasis"/>
          <w:rFonts w:ascii="Palatino Linotype" w:hAnsi="Palatino Linotype"/>
        </w:rPr>
        <w:t>4</w:t>
      </w:r>
    </w:p>
    <w:p w14:paraId="1140CE49" w14:textId="77777777" w:rsidR="005173E9" w:rsidRDefault="005173E9" w:rsidP="00D56769">
      <w:pPr>
        <w:pStyle w:val="BodyText"/>
        <w:ind w:left="0"/>
        <w:rPr>
          <w:rFonts w:ascii="Palatino Linotype" w:hAnsi="Palatino Linotype"/>
          <w:i/>
          <w:sz w:val="22"/>
          <w:szCs w:val="22"/>
        </w:rPr>
      </w:pPr>
      <w:r w:rsidRPr="005173E9">
        <w:rPr>
          <w:rFonts w:ascii="Times New Roman" w:hAnsi="Times New Roman"/>
          <w:sz w:val="24"/>
          <w:szCs w:val="24"/>
          <w:lang w:eastAsia="en-GB"/>
        </w:rPr>
        <w:t>26-28 Southampton Street Reading RG1 2QL</w:t>
      </w:r>
      <w:r w:rsidRPr="005173E9">
        <w:rPr>
          <w:rFonts w:ascii="Palatino Linotype" w:hAnsi="Palatino Linotype"/>
          <w:i/>
          <w:sz w:val="22"/>
          <w:szCs w:val="22"/>
        </w:rPr>
        <w:t xml:space="preserve"> </w:t>
      </w:r>
    </w:p>
    <w:p w14:paraId="1314F796" w14:textId="0A15F9BF" w:rsidR="00D56769" w:rsidRPr="005173E9" w:rsidRDefault="00D56769" w:rsidP="00D56769">
      <w:pPr>
        <w:pStyle w:val="BodyText"/>
        <w:ind w:left="0"/>
        <w:rPr>
          <w:rFonts w:ascii="Palatino Linotype" w:hAnsi="Palatino Linotype"/>
          <w:iCs/>
          <w:sz w:val="22"/>
          <w:szCs w:val="22"/>
        </w:rPr>
      </w:pPr>
      <w:r w:rsidRPr="005173E9">
        <w:rPr>
          <w:rFonts w:ascii="Palatino Linotype" w:hAnsi="Palatino Linotype"/>
          <w:i/>
          <w:sz w:val="22"/>
          <w:szCs w:val="22"/>
        </w:rPr>
        <w:t>Proposal:</w:t>
      </w:r>
      <w:r w:rsidRPr="005173E9">
        <w:rPr>
          <w:rFonts w:ascii="Palatino Linotype" w:hAnsi="Palatino Linotype"/>
          <w:sz w:val="22"/>
          <w:szCs w:val="22"/>
        </w:rPr>
        <w:t xml:space="preserve"> </w:t>
      </w:r>
      <w:r w:rsidR="00816503" w:rsidRPr="00816503">
        <w:rPr>
          <w:rFonts w:ascii="Palatino Linotype" w:hAnsi="Palatino Linotype"/>
          <w:sz w:val="22"/>
          <w:szCs w:val="22"/>
          <w:lang w:val="en-GB"/>
        </w:rPr>
        <w:t>Erection of two storey rea</w:t>
      </w:r>
      <w:r w:rsidR="00816503">
        <w:rPr>
          <w:rFonts w:ascii="Palatino Linotype" w:hAnsi="Palatino Linotype"/>
          <w:sz w:val="22"/>
          <w:szCs w:val="22"/>
          <w:lang w:val="en-GB"/>
        </w:rPr>
        <w:t>r</w:t>
      </w:r>
      <w:r w:rsidR="00816503" w:rsidRPr="00816503">
        <w:rPr>
          <w:rFonts w:ascii="Palatino Linotype" w:hAnsi="Palatino Linotype"/>
          <w:sz w:val="22"/>
          <w:szCs w:val="22"/>
          <w:lang w:val="en-GB"/>
        </w:rPr>
        <w:t xml:space="preserve"> extension to form additional living area and bathroom</w:t>
      </w:r>
      <w:r w:rsidRPr="005173E9">
        <w:rPr>
          <w:rFonts w:ascii="Palatino Linotype" w:hAnsi="Palatino Linotype"/>
          <w:bCs/>
          <w:sz w:val="22"/>
          <w:szCs w:val="22"/>
          <w:lang w:val="en-GB"/>
        </w:rPr>
        <w:t>.</w:t>
      </w:r>
    </w:p>
    <w:p w14:paraId="266AFC27" w14:textId="77777777" w:rsidR="00D56769" w:rsidRPr="005173E9" w:rsidRDefault="00D56769" w:rsidP="00D56769">
      <w:pPr>
        <w:spacing w:before="360"/>
        <w:rPr>
          <w:rFonts w:ascii="Palatino Linotype" w:hAnsi="Palatino Linotype"/>
          <w:b/>
        </w:rPr>
      </w:pPr>
      <w:r w:rsidRPr="005173E9">
        <w:rPr>
          <w:rFonts w:ascii="Palatino Linotype" w:hAnsi="Palatino Linotype"/>
          <w:b/>
        </w:rPr>
        <w:t>General</w:t>
      </w:r>
    </w:p>
    <w:p w14:paraId="715822A8" w14:textId="2DFA8513" w:rsidR="00D56769" w:rsidRPr="005173E9" w:rsidRDefault="00D56769" w:rsidP="00D56769">
      <w:pPr>
        <w:rPr>
          <w:rFonts w:ascii="Palatino Linotype" w:hAnsi="Palatino Linotype"/>
          <w:i/>
        </w:rPr>
      </w:pPr>
      <w:r w:rsidRPr="005173E9">
        <w:rPr>
          <w:rFonts w:ascii="Palatino Linotype" w:hAnsi="Palatino Linotype"/>
        </w:rPr>
        <w:t>This note has been prepared by Oxford Archaeology further to the Heritage Statement of the Historic Environment Consultancy</w:t>
      </w:r>
      <w:r w:rsidR="005173E9">
        <w:rPr>
          <w:rFonts w:ascii="Palatino Linotype" w:hAnsi="Palatino Linotype"/>
        </w:rPr>
        <w:t xml:space="preserve"> supplied with the application</w:t>
      </w:r>
      <w:r w:rsidRPr="005173E9">
        <w:rPr>
          <w:rFonts w:ascii="Palatino Linotype" w:hAnsi="Palatino Linotype"/>
        </w:rPr>
        <w:t xml:space="preserve">. </w:t>
      </w:r>
    </w:p>
    <w:p w14:paraId="3A2C53E7" w14:textId="6EBB62C3" w:rsidR="007226CD" w:rsidRPr="005173E9" w:rsidRDefault="007226CD" w:rsidP="00B72A94">
      <w:pPr>
        <w:spacing w:before="360"/>
        <w:rPr>
          <w:rFonts w:ascii="Palatino Linotype" w:hAnsi="Palatino Linotype"/>
        </w:rPr>
      </w:pPr>
      <w:r w:rsidRPr="005173E9">
        <w:rPr>
          <w:rFonts w:ascii="Palatino Linotype" w:hAnsi="Palatino Linotype"/>
          <w:b/>
          <w:i/>
        </w:rPr>
        <w:t xml:space="preserve">Location of the site </w:t>
      </w:r>
    </w:p>
    <w:p w14:paraId="4461B4F3" w14:textId="72F5397D" w:rsidR="007B02A3" w:rsidRDefault="007226CD" w:rsidP="007B02A3">
      <w:pPr>
        <w:rPr>
          <w:rFonts w:ascii="Palatino Linotype" w:hAnsi="Palatino Linotype"/>
        </w:rPr>
      </w:pPr>
      <w:r w:rsidRPr="005173E9">
        <w:rPr>
          <w:rFonts w:ascii="Palatino Linotype" w:hAnsi="Palatino Linotype"/>
        </w:rPr>
        <w:t xml:space="preserve">The site </w:t>
      </w:r>
      <w:r w:rsidR="005173E9">
        <w:rPr>
          <w:rFonts w:ascii="Palatino Linotype" w:hAnsi="Palatino Linotype"/>
        </w:rPr>
        <w:t xml:space="preserve">lies on the west side </w:t>
      </w:r>
      <w:r w:rsidRPr="005173E9">
        <w:rPr>
          <w:rFonts w:ascii="Palatino Linotype" w:hAnsi="Palatino Linotype"/>
        </w:rPr>
        <w:t xml:space="preserve">of </w:t>
      </w:r>
      <w:r w:rsidR="005173E9">
        <w:rPr>
          <w:rFonts w:ascii="Palatino Linotype" w:hAnsi="Palatino Linotype"/>
        </w:rPr>
        <w:t>Southampton Street, just south of the A329 flyover, and comprises two listed buildings No. 26 and No. 28 Southampton Street</w:t>
      </w:r>
      <w:r w:rsidR="007B02A3">
        <w:rPr>
          <w:rFonts w:ascii="Palatino Linotype" w:hAnsi="Palatino Linotype"/>
        </w:rPr>
        <w:t xml:space="preserve">. These do not fall in any conservation area, though the </w:t>
      </w:r>
      <w:r w:rsidR="005115C1">
        <w:rPr>
          <w:rFonts w:ascii="Palatino Linotype" w:hAnsi="Palatino Linotype"/>
        </w:rPr>
        <w:t>Grade</w:t>
      </w:r>
      <w:r w:rsidR="007B02A3">
        <w:rPr>
          <w:rFonts w:ascii="Palatino Linotype" w:hAnsi="Palatino Linotype"/>
        </w:rPr>
        <w:t xml:space="preserve"> </w:t>
      </w:r>
      <w:r w:rsidR="00902CC1">
        <w:rPr>
          <w:rFonts w:ascii="Palatino Linotype" w:hAnsi="Palatino Linotype"/>
        </w:rPr>
        <w:t>II</w:t>
      </w:r>
      <w:r w:rsidR="007B02A3">
        <w:rPr>
          <w:rFonts w:ascii="Palatino Linotype" w:hAnsi="Palatino Linotype"/>
        </w:rPr>
        <w:t xml:space="preserve"> listed </w:t>
      </w:r>
      <w:r w:rsidR="00902CC1">
        <w:rPr>
          <w:rFonts w:ascii="Palatino Linotype" w:hAnsi="Palatino Linotype"/>
        </w:rPr>
        <w:t>St Giles</w:t>
      </w:r>
      <w:r w:rsidR="005115C1">
        <w:rPr>
          <w:rFonts w:ascii="Palatino Linotype" w:hAnsi="Palatino Linotype"/>
        </w:rPr>
        <w:t>’</w:t>
      </w:r>
      <w:r w:rsidR="007B02A3">
        <w:rPr>
          <w:rFonts w:ascii="Palatino Linotype" w:hAnsi="Palatino Linotype"/>
        </w:rPr>
        <w:t xml:space="preserve"> church across the road lies within the Market Place/London Street </w:t>
      </w:r>
      <w:r w:rsidR="005115C1">
        <w:rPr>
          <w:rFonts w:ascii="Palatino Linotype" w:hAnsi="Palatino Linotype"/>
        </w:rPr>
        <w:t>C</w:t>
      </w:r>
      <w:r w:rsidR="007B02A3">
        <w:rPr>
          <w:rFonts w:ascii="Palatino Linotype" w:hAnsi="Palatino Linotype"/>
        </w:rPr>
        <w:t xml:space="preserve">onservation </w:t>
      </w:r>
      <w:r w:rsidR="005115C1">
        <w:rPr>
          <w:rFonts w:ascii="Palatino Linotype" w:hAnsi="Palatino Linotype"/>
        </w:rPr>
        <w:t>A</w:t>
      </w:r>
      <w:r w:rsidR="007B02A3">
        <w:rPr>
          <w:rFonts w:ascii="Palatino Linotype" w:hAnsi="Palatino Linotype"/>
        </w:rPr>
        <w:t xml:space="preserve">rea. The adjacent property on the south, the former Red Lion public house at Nos 34 to 38 Southampton Street has a </w:t>
      </w:r>
      <w:r w:rsidR="007B02A3" w:rsidRPr="007B02A3">
        <w:rPr>
          <w:rFonts w:ascii="Palatino Linotype" w:hAnsi="Palatino Linotype"/>
        </w:rPr>
        <w:t xml:space="preserve">Certificate of Immunity </w:t>
      </w:r>
      <w:r w:rsidR="007B02A3">
        <w:rPr>
          <w:rFonts w:ascii="Palatino Linotype" w:hAnsi="Palatino Linotype"/>
        </w:rPr>
        <w:t xml:space="preserve">from listing </w:t>
      </w:r>
      <w:r w:rsidR="007B02A3" w:rsidRPr="007B02A3">
        <w:rPr>
          <w:rFonts w:ascii="Palatino Linotype" w:hAnsi="Palatino Linotype"/>
        </w:rPr>
        <w:t xml:space="preserve">was issued </w:t>
      </w:r>
      <w:r w:rsidR="007B02A3">
        <w:rPr>
          <w:rFonts w:ascii="Palatino Linotype" w:hAnsi="Palatino Linotype"/>
        </w:rPr>
        <w:t xml:space="preserve">by the </w:t>
      </w:r>
      <w:r w:rsidR="007B02A3" w:rsidRPr="007B02A3">
        <w:rPr>
          <w:rFonts w:ascii="Palatino Linotype" w:hAnsi="Palatino Linotype"/>
        </w:rPr>
        <w:t xml:space="preserve">Secretary of State </w:t>
      </w:r>
      <w:r w:rsidR="007B02A3">
        <w:rPr>
          <w:rFonts w:ascii="Palatino Linotype" w:hAnsi="Palatino Linotype"/>
        </w:rPr>
        <w:t>(</w:t>
      </w:r>
      <w:r w:rsidR="005115C1">
        <w:rPr>
          <w:rFonts w:ascii="Palatino Linotype" w:hAnsi="Palatino Linotype"/>
        </w:rPr>
        <w:t>for</w:t>
      </w:r>
      <w:r w:rsidR="007B02A3">
        <w:rPr>
          <w:rFonts w:ascii="Palatino Linotype" w:hAnsi="Palatino Linotype"/>
        </w:rPr>
        <w:t xml:space="preserve"> the period </w:t>
      </w:r>
      <w:r w:rsidR="007B02A3" w:rsidRPr="007B02A3">
        <w:rPr>
          <w:rFonts w:ascii="Palatino Linotype" w:hAnsi="Palatino Linotype"/>
        </w:rPr>
        <w:t>28</w:t>
      </w:r>
      <w:r w:rsidR="007B02A3">
        <w:rPr>
          <w:rFonts w:ascii="Palatino Linotype" w:hAnsi="Palatino Linotype"/>
        </w:rPr>
        <w:t xml:space="preserve"> </w:t>
      </w:r>
      <w:r w:rsidR="007B02A3" w:rsidRPr="007B02A3">
        <w:rPr>
          <w:rFonts w:ascii="Palatino Linotype" w:hAnsi="Palatino Linotype"/>
        </w:rPr>
        <w:t>Jan</w:t>
      </w:r>
      <w:r w:rsidR="007B02A3">
        <w:rPr>
          <w:rFonts w:ascii="Palatino Linotype" w:hAnsi="Palatino Linotype"/>
        </w:rPr>
        <w:t xml:space="preserve"> </w:t>
      </w:r>
      <w:r w:rsidR="007B02A3" w:rsidRPr="007B02A3">
        <w:rPr>
          <w:rFonts w:ascii="Palatino Linotype" w:hAnsi="Palatino Linotype"/>
        </w:rPr>
        <w:t>2019</w:t>
      </w:r>
      <w:r w:rsidR="007B02A3">
        <w:rPr>
          <w:rFonts w:ascii="Palatino Linotype" w:hAnsi="Palatino Linotype"/>
        </w:rPr>
        <w:t xml:space="preserve"> to </w:t>
      </w:r>
      <w:r w:rsidR="007B02A3" w:rsidRPr="007B02A3">
        <w:rPr>
          <w:rFonts w:ascii="Palatino Linotype" w:hAnsi="Palatino Linotype"/>
        </w:rPr>
        <w:t>27</w:t>
      </w:r>
      <w:r w:rsidR="007B02A3">
        <w:rPr>
          <w:rFonts w:ascii="Palatino Linotype" w:hAnsi="Palatino Linotype"/>
        </w:rPr>
        <w:t xml:space="preserve"> </w:t>
      </w:r>
      <w:r w:rsidR="007B02A3" w:rsidRPr="007B02A3">
        <w:rPr>
          <w:rFonts w:ascii="Palatino Linotype" w:hAnsi="Palatino Linotype"/>
        </w:rPr>
        <w:t>Jan</w:t>
      </w:r>
      <w:r w:rsidR="007B02A3">
        <w:rPr>
          <w:rFonts w:ascii="Palatino Linotype" w:hAnsi="Palatino Linotype"/>
        </w:rPr>
        <w:t xml:space="preserve"> </w:t>
      </w:r>
      <w:r w:rsidR="007B02A3" w:rsidRPr="007B02A3">
        <w:rPr>
          <w:rFonts w:ascii="Palatino Linotype" w:hAnsi="Palatino Linotype"/>
        </w:rPr>
        <w:t>2024</w:t>
      </w:r>
      <w:r w:rsidR="007B02A3">
        <w:rPr>
          <w:rFonts w:ascii="Palatino Linotype" w:hAnsi="Palatino Linotype"/>
        </w:rPr>
        <w:t>).</w:t>
      </w:r>
    </w:p>
    <w:p w14:paraId="519B9158" w14:textId="48EC884A" w:rsidR="007226CD" w:rsidRPr="005173E9" w:rsidRDefault="007B02A3" w:rsidP="007226CD">
      <w:pPr>
        <w:rPr>
          <w:rFonts w:ascii="Palatino Linotype" w:hAnsi="Palatino Linotype"/>
        </w:rPr>
      </w:pPr>
      <w:r>
        <w:rPr>
          <w:rFonts w:ascii="Palatino Linotype" w:hAnsi="Palatino Linotype"/>
        </w:rPr>
        <w:t xml:space="preserve">The proposal is to convert the existing office premises in Nos 26 to 28 to domestic use, with two flats in No. 26, and No. 28 as a separate residence with a new rear wing. </w:t>
      </w:r>
    </w:p>
    <w:p w14:paraId="5098F754" w14:textId="7B3C71E4" w:rsidR="00B72A94" w:rsidRPr="005173E9" w:rsidRDefault="007B02A3" w:rsidP="00B72A94">
      <w:pPr>
        <w:spacing w:before="360"/>
        <w:rPr>
          <w:rFonts w:ascii="Palatino Linotype" w:hAnsi="Palatino Linotype"/>
          <w:b/>
          <w:i/>
        </w:rPr>
      </w:pPr>
      <w:r>
        <w:rPr>
          <w:rFonts w:ascii="Palatino Linotype" w:hAnsi="Palatino Linotype"/>
          <w:b/>
          <w:i/>
        </w:rPr>
        <w:t>Historical background</w:t>
      </w:r>
    </w:p>
    <w:p w14:paraId="3723F81A" w14:textId="5035F51B" w:rsidR="00DD0951" w:rsidRDefault="00DD0951" w:rsidP="00F31E84">
      <w:pPr>
        <w:rPr>
          <w:rFonts w:ascii="Palatino Linotype" w:hAnsi="Palatino Linotype"/>
        </w:rPr>
      </w:pPr>
      <w:r>
        <w:rPr>
          <w:rFonts w:ascii="Palatino Linotype" w:hAnsi="Palatino Linotype"/>
        </w:rPr>
        <w:t>The Southampton Road (formerly called Horn Street at the north end) was one of the principal suburban roads from Reading, extending southwards from the River Kennet in St Giles</w:t>
      </w:r>
      <w:r w:rsidR="005115C1">
        <w:rPr>
          <w:rFonts w:ascii="Palatino Linotype" w:hAnsi="Palatino Linotype"/>
        </w:rPr>
        <w:t>’</w:t>
      </w:r>
      <w:r>
        <w:rPr>
          <w:rFonts w:ascii="Palatino Linotype" w:hAnsi="Palatino Linotype"/>
        </w:rPr>
        <w:t xml:space="preserve"> Parish and leading towards Winchester and Southampton. The parish church dates from at least the 12</w:t>
      </w:r>
      <w:r w:rsidRPr="00DD0951">
        <w:rPr>
          <w:rFonts w:ascii="Palatino Linotype" w:hAnsi="Palatino Linotype"/>
          <w:vertAlign w:val="superscript"/>
        </w:rPr>
        <w:t>th</w:t>
      </w:r>
      <w:r>
        <w:rPr>
          <w:rFonts w:ascii="Palatino Linotype" w:hAnsi="Palatino Linotype"/>
        </w:rPr>
        <w:t xml:space="preserve"> century, and the suburb was well-established in the medieval period and is shown fully built up on Speed’s map of Reading (1610).  Some of the land in the suburb was used for market gardens and orchards, and these properties may have been associated with an orchard area to the rear. </w:t>
      </w:r>
    </w:p>
    <w:p w14:paraId="0C71ABD3" w14:textId="74C00A99" w:rsidR="00A25746" w:rsidRDefault="00DD0951" w:rsidP="00F31E84">
      <w:pPr>
        <w:rPr>
          <w:rFonts w:ascii="Palatino Linotype" w:hAnsi="Palatino Linotype"/>
        </w:rPr>
      </w:pPr>
      <w:r>
        <w:rPr>
          <w:rFonts w:ascii="Palatino Linotype" w:hAnsi="Palatino Linotype"/>
        </w:rPr>
        <w:t>The two properties were listed in 1978 with a somewhat misleading description. No.</w:t>
      </w:r>
      <w:r w:rsidR="00A25746">
        <w:rPr>
          <w:rFonts w:ascii="Palatino Linotype" w:hAnsi="Palatino Linotype"/>
        </w:rPr>
        <w:t xml:space="preserve"> </w:t>
      </w:r>
      <w:r>
        <w:rPr>
          <w:rFonts w:ascii="Palatino Linotype" w:hAnsi="Palatino Linotype"/>
        </w:rPr>
        <w:t>26</w:t>
      </w:r>
      <w:r>
        <w:rPr>
          <w:rStyle w:val="FootnoteReference"/>
          <w:rFonts w:ascii="Palatino Linotype" w:hAnsi="Palatino Linotype"/>
        </w:rPr>
        <w:footnoteReference w:id="1"/>
      </w:r>
      <w:r w:rsidR="00A25746">
        <w:rPr>
          <w:rFonts w:ascii="Palatino Linotype" w:hAnsi="Palatino Linotype"/>
        </w:rPr>
        <w:t xml:space="preserve"> was described as being of 19</w:t>
      </w:r>
      <w:r w:rsidR="00A25746" w:rsidRPr="00A25746">
        <w:rPr>
          <w:rFonts w:ascii="Palatino Linotype" w:hAnsi="Palatino Linotype"/>
          <w:vertAlign w:val="superscript"/>
        </w:rPr>
        <w:t>th</w:t>
      </w:r>
      <w:r w:rsidR="00A25746">
        <w:rPr>
          <w:rFonts w:ascii="Palatino Linotype" w:hAnsi="Palatino Linotype"/>
        </w:rPr>
        <w:t>-century date, and No. 28 as 20</w:t>
      </w:r>
      <w:r w:rsidR="00A25746" w:rsidRPr="00A25746">
        <w:rPr>
          <w:rFonts w:ascii="Palatino Linotype" w:hAnsi="Palatino Linotype"/>
          <w:vertAlign w:val="superscript"/>
        </w:rPr>
        <w:t>th</w:t>
      </w:r>
      <w:r w:rsidR="00A25746">
        <w:rPr>
          <w:rFonts w:ascii="Palatino Linotype" w:hAnsi="Palatino Linotype"/>
        </w:rPr>
        <w:t xml:space="preserve">-century (see Appendix). The </w:t>
      </w:r>
      <w:r w:rsidR="00A25746">
        <w:rPr>
          <w:rFonts w:ascii="Palatino Linotype" w:hAnsi="Palatino Linotype"/>
        </w:rPr>
        <w:lastRenderedPageBreak/>
        <w:t>history of these properties has not been investigated further, but they have no doubt been divided and separated at various times as separate cottages and a single premises.</w:t>
      </w:r>
    </w:p>
    <w:p w14:paraId="3159C8C1" w14:textId="52833980" w:rsidR="00725FF2" w:rsidRPr="005173E9" w:rsidRDefault="00725FF2" w:rsidP="00725FF2">
      <w:pPr>
        <w:spacing w:before="360"/>
        <w:rPr>
          <w:rFonts w:ascii="Palatino Linotype" w:hAnsi="Palatino Linotype"/>
          <w:b/>
          <w:i/>
        </w:rPr>
      </w:pPr>
      <w:r>
        <w:rPr>
          <w:rFonts w:ascii="Palatino Linotype" w:hAnsi="Palatino Linotype"/>
          <w:b/>
          <w:i/>
        </w:rPr>
        <w:t>Historic</w:t>
      </w:r>
      <w:r w:rsidR="00957D50">
        <w:rPr>
          <w:rFonts w:ascii="Palatino Linotype" w:hAnsi="Palatino Linotype"/>
          <w:b/>
          <w:i/>
        </w:rPr>
        <w:t xml:space="preserve"> building fabric</w:t>
      </w:r>
    </w:p>
    <w:p w14:paraId="6A2B332F" w14:textId="7D60A88E" w:rsidR="00A25746" w:rsidRPr="00A25746" w:rsidRDefault="00A25746" w:rsidP="00A25746">
      <w:pPr>
        <w:rPr>
          <w:rFonts w:ascii="Palatino Linotype" w:hAnsi="Palatino Linotype"/>
        </w:rPr>
      </w:pPr>
      <w:r w:rsidRPr="00A25746">
        <w:rPr>
          <w:rFonts w:ascii="Palatino Linotype" w:hAnsi="Palatino Linotype"/>
        </w:rPr>
        <w:t xml:space="preserve">The </w:t>
      </w:r>
      <w:r w:rsidRPr="00A25746">
        <w:rPr>
          <w:rFonts w:ascii="Palatino Linotype" w:hAnsi="Palatino Linotype"/>
          <w:i/>
          <w:iCs/>
        </w:rPr>
        <w:t>northern part</w:t>
      </w:r>
      <w:r w:rsidRPr="00A25746">
        <w:rPr>
          <w:rFonts w:ascii="Palatino Linotype" w:hAnsi="Palatino Linotype"/>
        </w:rPr>
        <w:t xml:space="preserve"> (No. 26), listed as C19, probably </w:t>
      </w:r>
      <w:r>
        <w:rPr>
          <w:rFonts w:ascii="Palatino Linotype" w:hAnsi="Palatino Linotype"/>
        </w:rPr>
        <w:t>dates from the late 18</w:t>
      </w:r>
      <w:r w:rsidRPr="00A25746">
        <w:rPr>
          <w:rFonts w:ascii="Palatino Linotype" w:hAnsi="Palatino Linotype"/>
          <w:vertAlign w:val="superscript"/>
        </w:rPr>
        <w:t>th</w:t>
      </w:r>
      <w:r>
        <w:rPr>
          <w:rFonts w:ascii="Palatino Linotype" w:hAnsi="Palatino Linotype"/>
        </w:rPr>
        <w:t xml:space="preserve"> century</w:t>
      </w:r>
      <w:r w:rsidRPr="00A25746">
        <w:rPr>
          <w:rFonts w:ascii="Palatino Linotype" w:hAnsi="Palatino Linotype"/>
        </w:rPr>
        <w:t xml:space="preserve">, with a mansard roof and </w:t>
      </w:r>
      <w:r>
        <w:rPr>
          <w:rFonts w:ascii="Palatino Linotype" w:hAnsi="Palatino Linotype"/>
        </w:rPr>
        <w:t xml:space="preserve">carefully </w:t>
      </w:r>
      <w:r w:rsidRPr="00A25746">
        <w:rPr>
          <w:rFonts w:ascii="Palatino Linotype" w:hAnsi="Palatino Linotype"/>
        </w:rPr>
        <w:t>patterned brickwork on the rear wall</w:t>
      </w:r>
      <w:r>
        <w:rPr>
          <w:rFonts w:ascii="Palatino Linotype" w:hAnsi="Palatino Linotype"/>
        </w:rPr>
        <w:t xml:space="preserve"> with red bricks and flared headers</w:t>
      </w:r>
      <w:r w:rsidRPr="00A25746">
        <w:rPr>
          <w:rFonts w:ascii="Palatino Linotype" w:hAnsi="Palatino Linotype"/>
        </w:rPr>
        <w:t>.</w:t>
      </w:r>
      <w:r>
        <w:rPr>
          <w:rFonts w:ascii="Palatino Linotype" w:hAnsi="Palatino Linotype"/>
        </w:rPr>
        <w:t xml:space="preserve"> Nothing internally appears to be of earlier date, and it may retain some original casement windows.</w:t>
      </w:r>
    </w:p>
    <w:p w14:paraId="231FFE51" w14:textId="504DA089" w:rsidR="00796213" w:rsidRDefault="00A25746" w:rsidP="00A25746">
      <w:pPr>
        <w:rPr>
          <w:rFonts w:ascii="Palatino Linotype" w:hAnsi="Palatino Linotype"/>
        </w:rPr>
      </w:pPr>
      <w:r w:rsidRPr="00A25746">
        <w:rPr>
          <w:rFonts w:ascii="Palatino Linotype" w:hAnsi="Palatino Linotype"/>
        </w:rPr>
        <w:t xml:space="preserve">The </w:t>
      </w:r>
      <w:r w:rsidRPr="00A25746">
        <w:rPr>
          <w:rFonts w:ascii="Palatino Linotype" w:hAnsi="Palatino Linotype"/>
          <w:i/>
          <w:iCs/>
        </w:rPr>
        <w:t>central part</w:t>
      </w:r>
      <w:r w:rsidRPr="00A25746">
        <w:rPr>
          <w:rFonts w:ascii="Palatino Linotype" w:hAnsi="Palatino Linotype"/>
        </w:rPr>
        <w:t xml:space="preserve"> (</w:t>
      </w:r>
      <w:r>
        <w:rPr>
          <w:rFonts w:ascii="Palatino Linotype" w:hAnsi="Palatino Linotype"/>
        </w:rPr>
        <w:t xml:space="preserve">here called </w:t>
      </w:r>
      <w:r w:rsidRPr="00A25746">
        <w:rPr>
          <w:rFonts w:ascii="Palatino Linotype" w:hAnsi="Palatino Linotype"/>
        </w:rPr>
        <w:t xml:space="preserve">No. 26a), listed as C19, is </w:t>
      </w:r>
      <w:r w:rsidR="00957D50">
        <w:rPr>
          <w:rFonts w:ascii="Palatino Linotype" w:hAnsi="Palatino Linotype"/>
        </w:rPr>
        <w:t xml:space="preserve">actually </w:t>
      </w:r>
      <w:r>
        <w:rPr>
          <w:rFonts w:ascii="Palatino Linotype" w:hAnsi="Palatino Linotype"/>
        </w:rPr>
        <w:t>a late medieval timber</w:t>
      </w:r>
      <w:r w:rsidR="00957D50">
        <w:rPr>
          <w:rFonts w:ascii="Palatino Linotype" w:hAnsi="Palatino Linotype"/>
        </w:rPr>
        <w:t>-</w:t>
      </w:r>
      <w:r>
        <w:rPr>
          <w:rFonts w:ascii="Palatino Linotype" w:hAnsi="Palatino Linotype"/>
        </w:rPr>
        <w:t>framed structure pro</w:t>
      </w:r>
      <w:r w:rsidR="00957D50">
        <w:rPr>
          <w:rFonts w:ascii="Palatino Linotype" w:hAnsi="Palatino Linotype"/>
        </w:rPr>
        <w:t>bably</w:t>
      </w:r>
      <w:r>
        <w:rPr>
          <w:rFonts w:ascii="Palatino Linotype" w:hAnsi="Palatino Linotype"/>
        </w:rPr>
        <w:t xml:space="preserve"> dating from the mid to late 15</w:t>
      </w:r>
      <w:r w:rsidRPr="00A25746">
        <w:rPr>
          <w:rFonts w:ascii="Palatino Linotype" w:hAnsi="Palatino Linotype"/>
          <w:vertAlign w:val="superscript"/>
        </w:rPr>
        <w:t>th</w:t>
      </w:r>
      <w:r>
        <w:rPr>
          <w:rFonts w:ascii="Palatino Linotype" w:hAnsi="Palatino Linotype"/>
        </w:rPr>
        <w:t xml:space="preserve"> century.</w:t>
      </w:r>
      <w:r>
        <w:rPr>
          <w:rStyle w:val="FootnoteReference"/>
          <w:rFonts w:ascii="Palatino Linotype" w:hAnsi="Palatino Linotype"/>
        </w:rPr>
        <w:footnoteReference w:id="2"/>
      </w:r>
      <w:r>
        <w:rPr>
          <w:rFonts w:ascii="Palatino Linotype" w:hAnsi="Palatino Linotype"/>
        </w:rPr>
        <w:t xml:space="preserve"> </w:t>
      </w:r>
      <w:r w:rsidR="00714E74">
        <w:rPr>
          <w:rFonts w:ascii="Palatino Linotype" w:hAnsi="Palatino Linotype"/>
        </w:rPr>
        <w:t xml:space="preserve">There is a </w:t>
      </w:r>
      <w:r w:rsidRPr="00A25746">
        <w:rPr>
          <w:rFonts w:ascii="Palatino Linotype" w:hAnsi="Palatino Linotype"/>
        </w:rPr>
        <w:t>substantial survival of original medieval timber framing,</w:t>
      </w:r>
      <w:r w:rsidR="00714E74">
        <w:rPr>
          <w:rFonts w:ascii="Palatino Linotype" w:hAnsi="Palatino Linotype"/>
        </w:rPr>
        <w:t xml:space="preserve"> mostly exposed on the first floor,</w:t>
      </w:r>
      <w:r w:rsidRPr="00A25746">
        <w:rPr>
          <w:rFonts w:ascii="Palatino Linotype" w:hAnsi="Palatino Linotype"/>
        </w:rPr>
        <w:t xml:space="preserve"> </w:t>
      </w:r>
      <w:r w:rsidR="00714E74">
        <w:rPr>
          <w:rFonts w:ascii="Palatino Linotype" w:hAnsi="Palatino Linotype"/>
        </w:rPr>
        <w:t xml:space="preserve">including the cross frame on the north and south sides with arch braces and </w:t>
      </w:r>
      <w:r w:rsidR="00796213">
        <w:rPr>
          <w:rFonts w:ascii="Palatino Linotype" w:hAnsi="Palatino Linotype"/>
        </w:rPr>
        <w:t>a window with diamond profile mullions in the front wall. The ground floor room has a fine ceiling with chamfered and stopped common joists with housed shoulders and diminished haunch joints to the principal beam. This detail dates the building to the 1440s or later.  There is no reason to suppose that any of the frame is older than this floor (or that the floor has been inserted), and that raises the question of whether this was part of a larger building, perhaps with an open hall to the rear, or further elements to either side.</w:t>
      </w:r>
    </w:p>
    <w:p w14:paraId="653F1A83" w14:textId="69E7A30F" w:rsidR="004A28A5" w:rsidRDefault="005115C1" w:rsidP="00A25746">
      <w:pPr>
        <w:rPr>
          <w:rFonts w:ascii="Palatino Linotype" w:hAnsi="Palatino Linotype"/>
        </w:rPr>
      </w:pPr>
      <w:r>
        <w:rPr>
          <w:rFonts w:ascii="Palatino Linotype" w:hAnsi="Palatino Linotype"/>
        </w:rPr>
        <w:t>At</w:t>
      </w:r>
      <w:r w:rsidR="00796213">
        <w:rPr>
          <w:rFonts w:ascii="Palatino Linotype" w:hAnsi="Palatino Linotype"/>
        </w:rPr>
        <w:t xml:space="preserve"> a much later date the ground floor rooms of 26 and 26A were given dado panelling, probably in the mid</w:t>
      </w:r>
      <w:r w:rsidR="00BD6F74">
        <w:rPr>
          <w:rFonts w:ascii="Palatino Linotype" w:hAnsi="Palatino Linotype"/>
        </w:rPr>
        <w:t>-</w:t>
      </w:r>
      <w:r w:rsidR="00796213">
        <w:rPr>
          <w:rFonts w:ascii="Palatino Linotype" w:hAnsi="Palatino Linotype"/>
        </w:rPr>
        <w:t>19</w:t>
      </w:r>
      <w:r w:rsidR="00796213" w:rsidRPr="00796213">
        <w:rPr>
          <w:rFonts w:ascii="Palatino Linotype" w:hAnsi="Palatino Linotype"/>
          <w:vertAlign w:val="superscript"/>
        </w:rPr>
        <w:t>th</w:t>
      </w:r>
      <w:r w:rsidR="00796213">
        <w:rPr>
          <w:rFonts w:ascii="Palatino Linotype" w:hAnsi="Palatino Linotype"/>
        </w:rPr>
        <w:t xml:space="preserve"> century, when a </w:t>
      </w:r>
      <w:r w:rsidR="00BD6F74">
        <w:rPr>
          <w:rFonts w:ascii="Palatino Linotype" w:hAnsi="Palatino Linotype"/>
        </w:rPr>
        <w:t>double-</w:t>
      </w:r>
      <w:r w:rsidR="00796213">
        <w:rPr>
          <w:rFonts w:ascii="Palatino Linotype" w:hAnsi="Palatino Linotype"/>
        </w:rPr>
        <w:t>door opening was made between them.</w:t>
      </w:r>
      <w:r w:rsidR="00BD6F74">
        <w:rPr>
          <w:rFonts w:ascii="Palatino Linotype" w:hAnsi="Palatino Linotype"/>
        </w:rPr>
        <w:t xml:space="preserve"> A carpenter’s graffito observed on the wall near the double door suggests that this</w:t>
      </w:r>
      <w:r w:rsidR="00B4169C">
        <w:rPr>
          <w:rFonts w:ascii="Palatino Linotype" w:hAnsi="Palatino Linotype"/>
        </w:rPr>
        <w:t xml:space="preserve"> work was undertaken in or after the mid-19</w:t>
      </w:r>
      <w:r w:rsidR="00B4169C" w:rsidRPr="00B4169C">
        <w:rPr>
          <w:rFonts w:ascii="Palatino Linotype" w:hAnsi="Palatino Linotype"/>
          <w:vertAlign w:val="superscript"/>
        </w:rPr>
        <w:t>th</w:t>
      </w:r>
      <w:r w:rsidR="00B4169C">
        <w:rPr>
          <w:rFonts w:ascii="Palatino Linotype" w:hAnsi="Palatino Linotype"/>
        </w:rPr>
        <w:t xml:space="preserve"> century, and as the door architrave matches that of the some of the windows they may have been replaced at the same time.</w:t>
      </w:r>
      <w:r w:rsidR="00BD6F74">
        <w:rPr>
          <w:rFonts w:ascii="Palatino Linotype" w:hAnsi="Palatino Linotype"/>
        </w:rPr>
        <w:t xml:space="preserve"> </w:t>
      </w:r>
      <w:r w:rsidR="00796213">
        <w:rPr>
          <w:rFonts w:ascii="Palatino Linotype" w:hAnsi="Palatino Linotype"/>
        </w:rPr>
        <w:t xml:space="preserve"> There are also some 18</w:t>
      </w:r>
      <w:r w:rsidR="00796213" w:rsidRPr="00796213">
        <w:rPr>
          <w:rFonts w:ascii="Palatino Linotype" w:hAnsi="Palatino Linotype"/>
          <w:vertAlign w:val="superscript"/>
        </w:rPr>
        <w:t>th</w:t>
      </w:r>
      <w:r w:rsidR="00796213">
        <w:rPr>
          <w:rFonts w:ascii="Palatino Linotype" w:hAnsi="Palatino Linotype"/>
        </w:rPr>
        <w:t>-century elements, like the fielded and panelled door in No. 26</w:t>
      </w:r>
      <w:r w:rsidR="00BD6F74">
        <w:rPr>
          <w:rFonts w:ascii="Palatino Linotype" w:hAnsi="Palatino Linotype"/>
        </w:rPr>
        <w:t>, while variations in the dado panelling suggests that it has been altered or added to</w:t>
      </w:r>
      <w:r w:rsidR="004A28A5">
        <w:rPr>
          <w:rFonts w:ascii="Palatino Linotype" w:hAnsi="Palatino Linotype"/>
        </w:rPr>
        <w:t xml:space="preserve"> in the 19</w:t>
      </w:r>
      <w:r w:rsidR="004A28A5" w:rsidRPr="004A28A5">
        <w:rPr>
          <w:rFonts w:ascii="Palatino Linotype" w:hAnsi="Palatino Linotype"/>
          <w:vertAlign w:val="superscript"/>
        </w:rPr>
        <w:t>th</w:t>
      </w:r>
      <w:r w:rsidR="004A28A5">
        <w:rPr>
          <w:rFonts w:ascii="Palatino Linotype" w:hAnsi="Palatino Linotype"/>
        </w:rPr>
        <w:t xml:space="preserve"> or 20</w:t>
      </w:r>
      <w:r w:rsidR="004A28A5" w:rsidRPr="004A28A5">
        <w:rPr>
          <w:rFonts w:ascii="Palatino Linotype" w:hAnsi="Palatino Linotype"/>
          <w:vertAlign w:val="superscript"/>
        </w:rPr>
        <w:t>th</w:t>
      </w:r>
      <w:r w:rsidR="004A28A5">
        <w:rPr>
          <w:rFonts w:ascii="Palatino Linotype" w:hAnsi="Palatino Linotype"/>
        </w:rPr>
        <w:t xml:space="preserve"> century</w:t>
      </w:r>
      <w:r w:rsidR="00796213">
        <w:rPr>
          <w:rFonts w:ascii="Palatino Linotype" w:hAnsi="Palatino Linotype"/>
        </w:rPr>
        <w:t>.</w:t>
      </w:r>
    </w:p>
    <w:p w14:paraId="187B47F4" w14:textId="5A8DA4BE" w:rsidR="00796213" w:rsidRDefault="004A28A5" w:rsidP="00A25746">
      <w:pPr>
        <w:rPr>
          <w:rFonts w:ascii="Palatino Linotype" w:hAnsi="Palatino Linotype"/>
        </w:rPr>
      </w:pPr>
      <w:r>
        <w:rPr>
          <w:rFonts w:ascii="Palatino Linotype" w:hAnsi="Palatino Linotype"/>
        </w:rPr>
        <w:t xml:space="preserve">The staircase rising on the east front within 26A is another modern addition, cutting across the ground-floor window, </w:t>
      </w:r>
      <w:r w:rsidR="005115C1">
        <w:rPr>
          <w:rFonts w:ascii="Palatino Linotype" w:hAnsi="Palatino Linotype"/>
        </w:rPr>
        <w:t>truncating the medieval floor joists</w:t>
      </w:r>
      <w:r>
        <w:rPr>
          <w:rFonts w:ascii="Palatino Linotype" w:hAnsi="Palatino Linotype"/>
        </w:rPr>
        <w:t>, and necessitating a redecoration of the interior.</w:t>
      </w:r>
      <w:r w:rsidR="00796213">
        <w:rPr>
          <w:rFonts w:ascii="Palatino Linotype" w:hAnsi="Palatino Linotype"/>
        </w:rPr>
        <w:t xml:space="preserve"> </w:t>
      </w:r>
    </w:p>
    <w:p w14:paraId="3518678F" w14:textId="2388448F" w:rsidR="00A25746" w:rsidRDefault="00A25746" w:rsidP="00A25746">
      <w:pPr>
        <w:rPr>
          <w:rFonts w:ascii="Palatino Linotype" w:hAnsi="Palatino Linotype"/>
        </w:rPr>
      </w:pPr>
      <w:r w:rsidRPr="00A25746">
        <w:rPr>
          <w:rFonts w:ascii="Palatino Linotype" w:hAnsi="Palatino Linotype"/>
        </w:rPr>
        <w:t xml:space="preserve">The </w:t>
      </w:r>
      <w:r w:rsidRPr="00A25746">
        <w:rPr>
          <w:rFonts w:ascii="Palatino Linotype" w:hAnsi="Palatino Linotype"/>
          <w:i/>
          <w:iCs/>
        </w:rPr>
        <w:t>southern part</w:t>
      </w:r>
      <w:r w:rsidRPr="00A25746">
        <w:rPr>
          <w:rFonts w:ascii="Palatino Linotype" w:hAnsi="Palatino Linotype"/>
        </w:rPr>
        <w:t xml:space="preserve"> (No. 28)</w:t>
      </w:r>
      <w:r w:rsidR="00796213">
        <w:rPr>
          <w:rFonts w:ascii="Palatino Linotype" w:hAnsi="Palatino Linotype"/>
        </w:rPr>
        <w:t xml:space="preserve"> is</w:t>
      </w:r>
      <w:r w:rsidRPr="00A25746">
        <w:rPr>
          <w:rFonts w:ascii="Palatino Linotype" w:hAnsi="Palatino Linotype"/>
        </w:rPr>
        <w:t xml:space="preserve"> listed as C20, </w:t>
      </w:r>
      <w:r w:rsidR="00725FF2">
        <w:rPr>
          <w:rFonts w:ascii="Palatino Linotype" w:hAnsi="Palatino Linotype"/>
        </w:rPr>
        <w:t>and oral history relates how it was made in the early years of the 20</w:t>
      </w:r>
      <w:r w:rsidR="00725FF2" w:rsidRPr="00725FF2">
        <w:rPr>
          <w:rFonts w:ascii="Palatino Linotype" w:hAnsi="Palatino Linotype"/>
          <w:vertAlign w:val="superscript"/>
        </w:rPr>
        <w:t>th</w:t>
      </w:r>
      <w:r w:rsidR="00725FF2">
        <w:rPr>
          <w:rFonts w:ascii="Palatino Linotype" w:hAnsi="Palatino Linotype"/>
        </w:rPr>
        <w:t xml:space="preserve"> century by the owner, who carefully created a replica historic doorway, external framing and beamed ceiling on the interior. This was all well-crafted and is</w:t>
      </w:r>
      <w:r w:rsidR="005115C1">
        <w:rPr>
          <w:rFonts w:ascii="Palatino Linotype" w:hAnsi="Palatino Linotype"/>
        </w:rPr>
        <w:t xml:space="preserve"> attractive in appearance, but</w:t>
      </w:r>
      <w:r w:rsidR="00725FF2">
        <w:rPr>
          <w:rFonts w:ascii="Palatino Linotype" w:hAnsi="Palatino Linotype"/>
        </w:rPr>
        <w:t xml:space="preserve"> immediately betrays its date by the incorrect use of adze marks to give an antique appearance in a manner never found in authentic historic carpentry.</w:t>
      </w:r>
    </w:p>
    <w:p w14:paraId="4609A4F7" w14:textId="55D6F21F" w:rsidR="00725FF2" w:rsidRDefault="00725FF2" w:rsidP="00A25746">
      <w:pPr>
        <w:rPr>
          <w:rFonts w:ascii="Palatino Linotype" w:hAnsi="Palatino Linotype"/>
        </w:rPr>
      </w:pPr>
      <w:r>
        <w:rPr>
          <w:rFonts w:ascii="Palatino Linotype" w:hAnsi="Palatino Linotype"/>
        </w:rPr>
        <w:t>The brick outer walls of 26A and 28 are of various dates, presumably 18</w:t>
      </w:r>
      <w:r w:rsidRPr="00725FF2">
        <w:rPr>
          <w:rFonts w:ascii="Palatino Linotype" w:hAnsi="Palatino Linotype"/>
          <w:vertAlign w:val="superscript"/>
        </w:rPr>
        <w:t>th</w:t>
      </w:r>
      <w:r>
        <w:rPr>
          <w:rFonts w:ascii="Palatino Linotype" w:hAnsi="Palatino Linotype"/>
        </w:rPr>
        <w:t xml:space="preserve"> of 20</w:t>
      </w:r>
      <w:r w:rsidRPr="00725FF2">
        <w:rPr>
          <w:rFonts w:ascii="Palatino Linotype" w:hAnsi="Palatino Linotype"/>
          <w:vertAlign w:val="superscript"/>
        </w:rPr>
        <w:t>th</w:t>
      </w:r>
      <w:r>
        <w:rPr>
          <w:rFonts w:ascii="Palatino Linotype" w:hAnsi="Palatino Linotype"/>
        </w:rPr>
        <w:t xml:space="preserve"> century, and there is no reason to suppose that any part of No. 28 is older than the early 20</w:t>
      </w:r>
      <w:r w:rsidRPr="00725FF2">
        <w:rPr>
          <w:rFonts w:ascii="Palatino Linotype" w:hAnsi="Palatino Linotype"/>
          <w:vertAlign w:val="superscript"/>
        </w:rPr>
        <w:t>th</w:t>
      </w:r>
      <w:r>
        <w:rPr>
          <w:rFonts w:ascii="Palatino Linotype" w:hAnsi="Palatino Linotype"/>
        </w:rPr>
        <w:t xml:space="preserve"> century in its </w:t>
      </w:r>
      <w:r>
        <w:rPr>
          <w:rFonts w:ascii="Palatino Linotype" w:hAnsi="Palatino Linotype"/>
        </w:rPr>
        <w:lastRenderedPageBreak/>
        <w:t>brickwork, windows or fittings.</w:t>
      </w:r>
      <w:r w:rsidR="00902CC1">
        <w:rPr>
          <w:rFonts w:ascii="Palatino Linotype" w:hAnsi="Palatino Linotype"/>
        </w:rPr>
        <w:t xml:space="preserve"> The roof </w:t>
      </w:r>
      <w:r w:rsidR="005115C1">
        <w:rPr>
          <w:rFonts w:ascii="Palatino Linotype" w:hAnsi="Palatino Linotype"/>
        </w:rPr>
        <w:t xml:space="preserve">of the whole property </w:t>
      </w:r>
      <w:r w:rsidR="00902CC1">
        <w:rPr>
          <w:rFonts w:ascii="Palatino Linotype" w:hAnsi="Palatino Linotype"/>
        </w:rPr>
        <w:t xml:space="preserve">is covered with traditional clay tiles, in need of some </w:t>
      </w:r>
      <w:r w:rsidR="005115C1">
        <w:rPr>
          <w:rFonts w:ascii="Palatino Linotype" w:hAnsi="Palatino Linotype"/>
        </w:rPr>
        <w:t xml:space="preserve">localised </w:t>
      </w:r>
      <w:r w:rsidR="00902CC1">
        <w:rPr>
          <w:rFonts w:ascii="Palatino Linotype" w:hAnsi="Palatino Linotype"/>
        </w:rPr>
        <w:t>repair.</w:t>
      </w:r>
    </w:p>
    <w:p w14:paraId="73D67FAD" w14:textId="5D463CDB" w:rsidR="00725FF2" w:rsidRPr="005173E9" w:rsidRDefault="00725FF2" w:rsidP="00725FF2">
      <w:pPr>
        <w:spacing w:before="360"/>
        <w:rPr>
          <w:rFonts w:ascii="Palatino Linotype" w:hAnsi="Palatino Linotype"/>
          <w:b/>
          <w:i/>
        </w:rPr>
      </w:pPr>
      <w:r>
        <w:rPr>
          <w:rFonts w:ascii="Palatino Linotype" w:hAnsi="Palatino Linotype"/>
          <w:b/>
          <w:i/>
        </w:rPr>
        <w:t>Historic significance</w:t>
      </w:r>
    </w:p>
    <w:p w14:paraId="724FCC53" w14:textId="43272992" w:rsidR="00417298" w:rsidRDefault="00725FF2" w:rsidP="00A25746">
      <w:pPr>
        <w:rPr>
          <w:rFonts w:ascii="Palatino Linotype" w:hAnsi="Palatino Linotype"/>
        </w:rPr>
      </w:pPr>
      <w:r>
        <w:rPr>
          <w:rFonts w:ascii="Palatino Linotype" w:hAnsi="Palatino Linotype"/>
        </w:rPr>
        <w:t xml:space="preserve">Medieval timber frame buildings are always of significance and </w:t>
      </w:r>
      <w:r w:rsidR="008C0CE4">
        <w:rPr>
          <w:rFonts w:ascii="Palatino Linotype" w:hAnsi="Palatino Linotype"/>
        </w:rPr>
        <w:t xml:space="preserve">here </w:t>
      </w:r>
      <w:r>
        <w:rPr>
          <w:rFonts w:ascii="Palatino Linotype" w:hAnsi="Palatino Linotype"/>
        </w:rPr>
        <w:t xml:space="preserve">of some rarity as a survival in Reading, </w:t>
      </w:r>
      <w:r w:rsidR="008C0CE4">
        <w:rPr>
          <w:rFonts w:ascii="Palatino Linotype" w:hAnsi="Palatino Linotype"/>
        </w:rPr>
        <w:t xml:space="preserve">although not noticed at the time of listing.  The </w:t>
      </w:r>
      <w:r>
        <w:rPr>
          <w:rFonts w:ascii="Palatino Linotype" w:hAnsi="Palatino Linotype"/>
        </w:rPr>
        <w:t xml:space="preserve">recognition of the importance of No. 26A </w:t>
      </w:r>
      <w:r w:rsidR="009E2417">
        <w:rPr>
          <w:rFonts w:ascii="Palatino Linotype" w:hAnsi="Palatino Linotype"/>
        </w:rPr>
        <w:t>a</w:t>
      </w:r>
      <w:r>
        <w:rPr>
          <w:rFonts w:ascii="Palatino Linotype" w:hAnsi="Palatino Linotype"/>
        </w:rPr>
        <w:t>s another example fully warrants its Grade II listing (but no more than that). No 26 is of modest interest</w:t>
      </w:r>
      <w:r w:rsidR="00417298">
        <w:rPr>
          <w:rFonts w:ascii="Palatino Linotype" w:hAnsi="Palatino Linotype"/>
        </w:rPr>
        <w:t xml:space="preserve"> as a minor example of the late 18</w:t>
      </w:r>
      <w:r w:rsidR="00417298" w:rsidRPr="00417298">
        <w:rPr>
          <w:rFonts w:ascii="Palatino Linotype" w:hAnsi="Palatino Linotype"/>
          <w:vertAlign w:val="superscript"/>
        </w:rPr>
        <w:t>th</w:t>
      </w:r>
      <w:r w:rsidR="00417298">
        <w:rPr>
          <w:rFonts w:ascii="Palatino Linotype" w:hAnsi="Palatino Linotype"/>
        </w:rPr>
        <w:t xml:space="preserve"> century suburban townhouse. No. 28 might have been listed for its group value with the other two parts of the building, but was apparently listed in its own right as a 20</w:t>
      </w:r>
      <w:r w:rsidR="00417298" w:rsidRPr="00417298">
        <w:rPr>
          <w:rFonts w:ascii="Palatino Linotype" w:hAnsi="Palatino Linotype"/>
          <w:vertAlign w:val="superscript"/>
        </w:rPr>
        <w:t>th</w:t>
      </w:r>
      <w:r w:rsidR="00417298">
        <w:rPr>
          <w:rFonts w:ascii="Palatino Linotype" w:hAnsi="Palatino Linotype"/>
        </w:rPr>
        <w:t xml:space="preserve">-century replica, and is </w:t>
      </w:r>
      <w:r w:rsidR="00902CC1">
        <w:rPr>
          <w:rFonts w:ascii="Palatino Linotype" w:hAnsi="Palatino Linotype"/>
        </w:rPr>
        <w:t xml:space="preserve">a </w:t>
      </w:r>
      <w:r w:rsidR="009E2417">
        <w:rPr>
          <w:rFonts w:ascii="Palatino Linotype" w:hAnsi="Palatino Linotype"/>
        </w:rPr>
        <w:t>not unpleasing example of that.</w:t>
      </w:r>
    </w:p>
    <w:p w14:paraId="07ABC581" w14:textId="317F34CD" w:rsidR="00006358" w:rsidRPr="005173E9" w:rsidRDefault="00006358" w:rsidP="00006358">
      <w:pPr>
        <w:spacing w:before="360"/>
        <w:rPr>
          <w:rFonts w:ascii="Palatino Linotype" w:hAnsi="Palatino Linotype"/>
          <w:b/>
          <w:i/>
        </w:rPr>
      </w:pPr>
      <w:r>
        <w:rPr>
          <w:rFonts w:ascii="Palatino Linotype" w:hAnsi="Palatino Linotype"/>
          <w:b/>
          <w:i/>
        </w:rPr>
        <w:t>Historic setting</w:t>
      </w:r>
    </w:p>
    <w:p w14:paraId="63461E28" w14:textId="77AECCF3" w:rsidR="00902CC1" w:rsidRDefault="00902CC1" w:rsidP="00A25746">
      <w:pPr>
        <w:rPr>
          <w:rFonts w:ascii="Palatino Linotype" w:hAnsi="Palatino Linotype"/>
        </w:rPr>
      </w:pPr>
      <w:r>
        <w:rPr>
          <w:rFonts w:ascii="Palatino Linotype" w:hAnsi="Palatino Linotype"/>
        </w:rPr>
        <w:t>This row of building</w:t>
      </w:r>
      <w:r w:rsidR="00DE337C">
        <w:rPr>
          <w:rFonts w:ascii="Palatino Linotype" w:hAnsi="Palatino Linotype"/>
        </w:rPr>
        <w:t>s</w:t>
      </w:r>
      <w:r>
        <w:rPr>
          <w:rFonts w:ascii="Palatino Linotype" w:hAnsi="Palatino Linotype"/>
        </w:rPr>
        <w:t xml:space="preserve"> contribute </w:t>
      </w:r>
      <w:r w:rsidR="00DE337C">
        <w:rPr>
          <w:rFonts w:ascii="Palatino Linotype" w:hAnsi="Palatino Linotype"/>
        </w:rPr>
        <w:t xml:space="preserve">positively </w:t>
      </w:r>
      <w:r>
        <w:rPr>
          <w:rFonts w:ascii="Palatino Linotype" w:hAnsi="Palatino Linotype"/>
        </w:rPr>
        <w:t xml:space="preserve">to the historic townscape of Southampton Street, and together with the former Red Lion contribute peripherally to the conservation area </w:t>
      </w:r>
      <w:r w:rsidR="004C1B6F">
        <w:rPr>
          <w:rFonts w:ascii="Palatino Linotype" w:hAnsi="Palatino Linotype"/>
        </w:rPr>
        <w:t>at</w:t>
      </w:r>
      <w:r>
        <w:rPr>
          <w:rFonts w:ascii="Palatino Linotype" w:hAnsi="Palatino Linotype"/>
        </w:rPr>
        <w:t xml:space="preserve"> St Giles</w:t>
      </w:r>
      <w:r w:rsidR="009E2417">
        <w:rPr>
          <w:rFonts w:ascii="Palatino Linotype" w:hAnsi="Palatino Linotype"/>
        </w:rPr>
        <w:t>’</w:t>
      </w:r>
      <w:r>
        <w:rPr>
          <w:rFonts w:ascii="Palatino Linotype" w:hAnsi="Palatino Linotype"/>
        </w:rPr>
        <w:t xml:space="preserve"> Church in views along the street from the south.  Views from the north are </w:t>
      </w:r>
      <w:r w:rsidR="00DE337C">
        <w:rPr>
          <w:rFonts w:ascii="Palatino Linotype" w:hAnsi="Palatino Linotype"/>
        </w:rPr>
        <w:t xml:space="preserve">compromised by </w:t>
      </w:r>
      <w:r w:rsidR="00DE337C" w:rsidRPr="00DE337C">
        <w:rPr>
          <w:rFonts w:ascii="Palatino Linotype" w:hAnsi="Palatino Linotype"/>
        </w:rPr>
        <w:t>the A329 flyover</w:t>
      </w:r>
      <w:r w:rsidR="00DE337C">
        <w:rPr>
          <w:rFonts w:ascii="Palatino Linotype" w:hAnsi="Palatino Linotype"/>
        </w:rPr>
        <w:t xml:space="preserve"> bridge and roundabout which lie a short distance way. Removal of the neighbouring buildings for the roundabout have opened a view through the courtyard which was not available before then, and this includes the spire of St Giles’ church seen over the top of the former Red Lion.</w:t>
      </w:r>
    </w:p>
    <w:p w14:paraId="23FF130A" w14:textId="7DC83149" w:rsidR="009E2417" w:rsidRPr="00B443FB" w:rsidRDefault="009E2417" w:rsidP="009E2417">
      <w:pPr>
        <w:spacing w:before="360"/>
        <w:rPr>
          <w:rFonts w:ascii="Palatino Linotype" w:hAnsi="Palatino Linotype"/>
          <w:b/>
          <w:i/>
        </w:rPr>
      </w:pPr>
      <w:r w:rsidRPr="00B443FB">
        <w:rPr>
          <w:rFonts w:ascii="Palatino Linotype" w:hAnsi="Palatino Linotype"/>
          <w:b/>
          <w:i/>
        </w:rPr>
        <w:t xml:space="preserve">The </w:t>
      </w:r>
      <w:r>
        <w:rPr>
          <w:rFonts w:ascii="Palatino Linotype" w:hAnsi="Palatino Linotype"/>
          <w:b/>
          <w:i/>
        </w:rPr>
        <w:t>impact of the c</w:t>
      </w:r>
      <w:r w:rsidRPr="00B443FB">
        <w:rPr>
          <w:rFonts w:ascii="Palatino Linotype" w:hAnsi="Palatino Linotype"/>
          <w:b/>
          <w:i/>
        </w:rPr>
        <w:t xml:space="preserve">urrent </w:t>
      </w:r>
      <w:r>
        <w:rPr>
          <w:rFonts w:ascii="Palatino Linotype" w:hAnsi="Palatino Linotype"/>
          <w:b/>
          <w:i/>
        </w:rPr>
        <w:t>p</w:t>
      </w:r>
      <w:r w:rsidRPr="00B443FB">
        <w:rPr>
          <w:rFonts w:ascii="Palatino Linotype" w:hAnsi="Palatino Linotype"/>
          <w:b/>
          <w:i/>
        </w:rPr>
        <w:t>roposals</w:t>
      </w:r>
      <w:r>
        <w:rPr>
          <w:rFonts w:ascii="Palatino Linotype" w:hAnsi="Palatino Linotype"/>
          <w:b/>
          <w:i/>
        </w:rPr>
        <w:t xml:space="preserve"> </w:t>
      </w:r>
    </w:p>
    <w:p w14:paraId="08B64DA1" w14:textId="7DFE8D4B" w:rsidR="009E2417" w:rsidRDefault="009E2417" w:rsidP="009E2417">
      <w:pPr>
        <w:rPr>
          <w:rFonts w:ascii="Palatino Linotype" w:hAnsi="Palatino Linotype"/>
        </w:rPr>
      </w:pPr>
      <w:r w:rsidRPr="00B443FB">
        <w:rPr>
          <w:rFonts w:ascii="Palatino Linotype" w:hAnsi="Palatino Linotype"/>
        </w:rPr>
        <w:t xml:space="preserve">The </w:t>
      </w:r>
      <w:r>
        <w:rPr>
          <w:rFonts w:ascii="Palatino Linotype" w:hAnsi="Palatino Linotype"/>
        </w:rPr>
        <w:t xml:space="preserve">current </w:t>
      </w:r>
      <w:r w:rsidRPr="00B443FB">
        <w:rPr>
          <w:rFonts w:ascii="Palatino Linotype" w:hAnsi="Palatino Linotype"/>
        </w:rPr>
        <w:t>propos</w:t>
      </w:r>
      <w:r>
        <w:rPr>
          <w:rFonts w:ascii="Palatino Linotype" w:hAnsi="Palatino Linotype"/>
        </w:rPr>
        <w:t xml:space="preserve">als to convert the buildings from office use to domestic accommodation is a welcome use of </w:t>
      </w:r>
      <w:r w:rsidR="00F81477">
        <w:rPr>
          <w:rFonts w:ascii="Palatino Linotype" w:hAnsi="Palatino Linotype"/>
        </w:rPr>
        <w:t xml:space="preserve">the </w:t>
      </w:r>
      <w:r>
        <w:rPr>
          <w:rFonts w:ascii="Palatino Linotype" w:hAnsi="Palatino Linotype"/>
        </w:rPr>
        <w:t>historic buildings. The necessary repairs and minor alterations required to put the building in a good state will be beneficial where carried out in a manner sympathetic to the listed building and in accordance with the listed building consent.</w:t>
      </w:r>
    </w:p>
    <w:p w14:paraId="2BFB7874" w14:textId="0EB01B9D" w:rsidR="009E2417" w:rsidRDefault="009E2417" w:rsidP="009E2417">
      <w:pPr>
        <w:rPr>
          <w:rFonts w:ascii="Palatino Linotype" w:hAnsi="Palatino Linotype"/>
        </w:rPr>
      </w:pPr>
      <w:r>
        <w:rPr>
          <w:rFonts w:ascii="Palatino Linotype" w:hAnsi="Palatino Linotype"/>
        </w:rPr>
        <w:t xml:space="preserve">Division of the building will probably be returning it to an earlier state before the three elements had been run together as a single property. The principal innovation will be the addition of a rear wing to No. 28, in approximately the same location as one </w:t>
      </w:r>
      <w:r w:rsidR="00A25746" w:rsidRPr="00A25746">
        <w:rPr>
          <w:rFonts w:ascii="Palatino Linotype" w:hAnsi="Palatino Linotype"/>
        </w:rPr>
        <w:t>shown on C19 OS maps</w:t>
      </w:r>
      <w:r w:rsidR="00F81477">
        <w:rPr>
          <w:rFonts w:ascii="Palatino Linotype" w:hAnsi="Palatino Linotype"/>
        </w:rPr>
        <w:t xml:space="preserve"> (see Fig. 1 below). This will do no harm to what is apparently an early 20</w:t>
      </w:r>
      <w:r w:rsidR="00F81477" w:rsidRPr="00F81477">
        <w:rPr>
          <w:rFonts w:ascii="Palatino Linotype" w:hAnsi="Palatino Linotype"/>
          <w:vertAlign w:val="superscript"/>
        </w:rPr>
        <w:t>th</w:t>
      </w:r>
      <w:r w:rsidR="00F81477">
        <w:rPr>
          <w:rFonts w:ascii="Palatino Linotype" w:hAnsi="Palatino Linotype"/>
        </w:rPr>
        <w:t xml:space="preserve">-century building, with no fittings (e.g windows) in the west wall </w:t>
      </w:r>
      <w:r w:rsidR="00310971">
        <w:rPr>
          <w:rFonts w:ascii="Palatino Linotype" w:hAnsi="Palatino Linotype"/>
        </w:rPr>
        <w:t xml:space="preserve">whose removal or relocation will be </w:t>
      </w:r>
      <w:r w:rsidR="00F81477">
        <w:rPr>
          <w:rFonts w:ascii="Palatino Linotype" w:hAnsi="Palatino Linotype"/>
        </w:rPr>
        <w:t xml:space="preserve">of </w:t>
      </w:r>
      <w:r w:rsidR="00957D50">
        <w:rPr>
          <w:rFonts w:ascii="Palatino Linotype" w:hAnsi="Palatino Linotype"/>
        </w:rPr>
        <w:t xml:space="preserve">any </w:t>
      </w:r>
      <w:r w:rsidR="00F81477">
        <w:rPr>
          <w:rFonts w:ascii="Palatino Linotype" w:hAnsi="Palatino Linotype"/>
        </w:rPr>
        <w:t>particular consequence.</w:t>
      </w:r>
    </w:p>
    <w:p w14:paraId="7D97F06E" w14:textId="77777777" w:rsidR="00594B27" w:rsidRDefault="00F81477" w:rsidP="009E2417">
      <w:pPr>
        <w:rPr>
          <w:rFonts w:ascii="Palatino Linotype" w:hAnsi="Palatino Linotype"/>
        </w:rPr>
      </w:pPr>
      <w:r>
        <w:rPr>
          <w:rFonts w:ascii="Palatino Linotype" w:hAnsi="Palatino Linotype"/>
        </w:rPr>
        <w:t>The new wing will have no impact on the character or significance of the listed buildings</w:t>
      </w:r>
      <w:r w:rsidR="00594B27">
        <w:rPr>
          <w:rFonts w:ascii="Palatino Linotype" w:hAnsi="Palatino Linotype"/>
        </w:rPr>
        <w:t>, being built in materials sympathetic to the brickwork of Nos 26 and 28, and in the case of No. 28 being on the approximate site of an earlier rear extension.</w:t>
      </w:r>
    </w:p>
    <w:p w14:paraId="1EE5FEE7" w14:textId="3CC11431" w:rsidR="00F81477" w:rsidRDefault="00594B27" w:rsidP="00594B27">
      <w:pPr>
        <w:rPr>
          <w:rFonts w:ascii="Palatino Linotype" w:hAnsi="Palatino Linotype"/>
        </w:rPr>
      </w:pPr>
      <w:r>
        <w:rPr>
          <w:rFonts w:ascii="Palatino Linotype" w:hAnsi="Palatino Linotype"/>
        </w:rPr>
        <w:t xml:space="preserve">The new rear wing will be subservient to the main structure of No. 28, and the spire of St Giles’ Church will be just as visible as it is now from the public space outside the property.  There will be no impact on views from the street as the new wing will not generally be seen behind the mass of the Red Lion premises. </w:t>
      </w:r>
      <w:r w:rsidRPr="005173E9">
        <w:rPr>
          <w:rFonts w:ascii="Palatino Linotype" w:hAnsi="Palatino Linotype"/>
        </w:rPr>
        <w:t>The proposed development will not have a</w:t>
      </w:r>
      <w:r>
        <w:rPr>
          <w:rFonts w:ascii="Palatino Linotype" w:hAnsi="Palatino Linotype"/>
        </w:rPr>
        <w:t>ny</w:t>
      </w:r>
      <w:r w:rsidRPr="005173E9">
        <w:rPr>
          <w:rFonts w:ascii="Palatino Linotype" w:hAnsi="Palatino Linotype"/>
        </w:rPr>
        <w:t xml:space="preserve"> impact </w:t>
      </w:r>
      <w:r>
        <w:rPr>
          <w:rFonts w:ascii="Palatino Linotype" w:hAnsi="Palatino Linotype"/>
        </w:rPr>
        <w:t xml:space="preserve">at all </w:t>
      </w:r>
      <w:r w:rsidRPr="005173E9">
        <w:rPr>
          <w:rFonts w:ascii="Palatino Linotype" w:hAnsi="Palatino Linotype"/>
        </w:rPr>
        <w:t xml:space="preserve">on the character and appearance of the </w:t>
      </w:r>
      <w:r>
        <w:rPr>
          <w:rFonts w:ascii="Palatino Linotype" w:hAnsi="Palatino Linotype"/>
        </w:rPr>
        <w:t xml:space="preserve">nearby </w:t>
      </w:r>
      <w:r w:rsidRPr="005173E9">
        <w:rPr>
          <w:rFonts w:ascii="Palatino Linotype" w:hAnsi="Palatino Linotype"/>
        </w:rPr>
        <w:t>Conservation Area</w:t>
      </w:r>
      <w:r>
        <w:rPr>
          <w:rFonts w:ascii="Palatino Linotype" w:hAnsi="Palatino Linotype"/>
        </w:rPr>
        <w:t>.</w:t>
      </w:r>
    </w:p>
    <w:p w14:paraId="283CF4A0" w14:textId="77777777" w:rsidR="009E2417" w:rsidRDefault="009E2417" w:rsidP="009E2417">
      <w:pPr>
        <w:rPr>
          <w:rFonts w:ascii="Palatino Linotype" w:hAnsi="Palatino Linotype"/>
        </w:rPr>
      </w:pPr>
    </w:p>
    <w:p w14:paraId="481F430B" w14:textId="0C9F5F1C" w:rsidR="00E54DCB" w:rsidRPr="00230D11" w:rsidRDefault="00E54DCB" w:rsidP="00053198">
      <w:pPr>
        <w:spacing w:before="360"/>
        <w:rPr>
          <w:rFonts w:ascii="Palatino Linotype" w:hAnsi="Palatino Linotype"/>
          <w:b/>
          <w:i/>
        </w:rPr>
      </w:pPr>
      <w:r w:rsidRPr="00230D11">
        <w:rPr>
          <w:rFonts w:ascii="Palatino Linotype" w:hAnsi="Palatino Linotype"/>
          <w:b/>
          <w:i/>
        </w:rPr>
        <w:t>Conclusions</w:t>
      </w:r>
    </w:p>
    <w:p w14:paraId="017E0C90" w14:textId="77777777" w:rsidR="00EE17F7" w:rsidRPr="00230D11" w:rsidRDefault="00EE17F7">
      <w:pPr>
        <w:rPr>
          <w:rFonts w:ascii="Palatino Linotype" w:hAnsi="Palatino Linotype"/>
        </w:rPr>
      </w:pPr>
      <w:r w:rsidRPr="00230D11">
        <w:rPr>
          <w:rFonts w:ascii="Palatino Linotype" w:hAnsi="Palatino Linotype"/>
        </w:rPr>
        <w:t>Despite the variety and complexity of various responses to this application, there are some fairly clear issues:</w:t>
      </w:r>
    </w:p>
    <w:p w14:paraId="07AB1735" w14:textId="66A31F5B" w:rsidR="00EE17F7" w:rsidRDefault="000F4654" w:rsidP="00EE17F7">
      <w:pPr>
        <w:pStyle w:val="ListParagraph"/>
        <w:numPr>
          <w:ilvl w:val="0"/>
          <w:numId w:val="3"/>
        </w:numPr>
        <w:rPr>
          <w:rFonts w:ascii="Palatino Linotype" w:hAnsi="Palatino Linotype"/>
        </w:rPr>
      </w:pPr>
      <w:r>
        <w:rPr>
          <w:rFonts w:ascii="Palatino Linotype" w:hAnsi="Palatino Linotype"/>
        </w:rPr>
        <w:t>T</w:t>
      </w:r>
      <w:r w:rsidR="00EE17F7" w:rsidRPr="00230D11">
        <w:rPr>
          <w:rFonts w:ascii="Palatino Linotype" w:hAnsi="Palatino Linotype"/>
        </w:rPr>
        <w:t xml:space="preserve">he </w:t>
      </w:r>
      <w:r w:rsidR="00310971">
        <w:rPr>
          <w:rFonts w:ascii="Palatino Linotype" w:hAnsi="Palatino Linotype"/>
        </w:rPr>
        <w:t>listed buildin</w:t>
      </w:r>
      <w:r>
        <w:rPr>
          <w:rFonts w:ascii="Palatino Linotype" w:hAnsi="Palatino Linotype"/>
        </w:rPr>
        <w:t>g</w:t>
      </w:r>
      <w:r w:rsidR="00310971">
        <w:rPr>
          <w:rFonts w:ascii="Palatino Linotype" w:hAnsi="Palatino Linotype"/>
        </w:rPr>
        <w:t>s</w:t>
      </w:r>
      <w:r>
        <w:rPr>
          <w:rFonts w:ascii="Palatino Linotype" w:hAnsi="Palatino Linotype"/>
        </w:rPr>
        <w:t xml:space="preserve"> at 26 – 28 Southampton Street </w:t>
      </w:r>
      <w:r w:rsidR="00310971">
        <w:rPr>
          <w:rFonts w:ascii="Palatino Linotype" w:hAnsi="Palatino Linotype"/>
        </w:rPr>
        <w:t xml:space="preserve">are </w:t>
      </w:r>
      <w:r>
        <w:rPr>
          <w:rFonts w:ascii="Palatino Linotype" w:hAnsi="Palatino Linotype"/>
        </w:rPr>
        <w:t xml:space="preserve">of </w:t>
      </w:r>
      <w:r w:rsidR="00310971">
        <w:rPr>
          <w:rFonts w:ascii="Palatino Linotype" w:hAnsi="Palatino Linotype"/>
        </w:rPr>
        <w:t>vari</w:t>
      </w:r>
      <w:r>
        <w:rPr>
          <w:rFonts w:ascii="Palatino Linotype" w:hAnsi="Palatino Linotype"/>
        </w:rPr>
        <w:t>ous dates from the 15</w:t>
      </w:r>
      <w:r w:rsidRPr="000F4654">
        <w:rPr>
          <w:rFonts w:ascii="Palatino Linotype" w:hAnsi="Palatino Linotype"/>
          <w:vertAlign w:val="superscript"/>
        </w:rPr>
        <w:t>th</w:t>
      </w:r>
      <w:r>
        <w:rPr>
          <w:rFonts w:ascii="Palatino Linotype" w:hAnsi="Palatino Linotype"/>
        </w:rPr>
        <w:t xml:space="preserve"> to the 20</w:t>
      </w:r>
      <w:r w:rsidRPr="000F4654">
        <w:rPr>
          <w:rFonts w:ascii="Palatino Linotype" w:hAnsi="Palatino Linotype"/>
          <w:vertAlign w:val="superscript"/>
        </w:rPr>
        <w:t>th</w:t>
      </w:r>
      <w:r>
        <w:rPr>
          <w:rFonts w:ascii="Palatino Linotype" w:hAnsi="Palatino Linotype"/>
        </w:rPr>
        <w:t xml:space="preserve"> century.</w:t>
      </w:r>
    </w:p>
    <w:p w14:paraId="63E0859B" w14:textId="3809A0EE" w:rsidR="00310971" w:rsidRDefault="000F4654" w:rsidP="00EE17F7">
      <w:pPr>
        <w:pStyle w:val="ListParagraph"/>
        <w:numPr>
          <w:ilvl w:val="0"/>
          <w:numId w:val="3"/>
        </w:numPr>
        <w:rPr>
          <w:rFonts w:ascii="Palatino Linotype" w:hAnsi="Palatino Linotype"/>
        </w:rPr>
      </w:pPr>
      <w:r>
        <w:rPr>
          <w:rFonts w:ascii="Palatino Linotype" w:hAnsi="Palatino Linotype"/>
        </w:rPr>
        <w:t xml:space="preserve">Although not recognised in the listing, part of </w:t>
      </w:r>
      <w:r w:rsidR="00310971" w:rsidRPr="002E2F6B">
        <w:rPr>
          <w:rFonts w:ascii="Palatino Linotype" w:hAnsi="Palatino Linotype"/>
        </w:rPr>
        <w:t xml:space="preserve">No. 26 is of exceptional interest as a surviving medieval building, </w:t>
      </w:r>
      <w:r>
        <w:rPr>
          <w:rFonts w:ascii="Palatino Linotype" w:hAnsi="Palatino Linotype"/>
        </w:rPr>
        <w:t xml:space="preserve">while </w:t>
      </w:r>
      <w:r w:rsidR="00310971" w:rsidRPr="002E2F6B">
        <w:rPr>
          <w:rFonts w:ascii="Palatino Linotype" w:hAnsi="Palatino Linotype"/>
        </w:rPr>
        <w:t>No. 28 is a curiosity as a well-executed pastiche</w:t>
      </w:r>
      <w:r>
        <w:rPr>
          <w:rFonts w:ascii="Palatino Linotype" w:hAnsi="Palatino Linotype"/>
        </w:rPr>
        <w:t xml:space="preserve"> dating from the early 20</w:t>
      </w:r>
      <w:r w:rsidRPr="000F4654">
        <w:rPr>
          <w:rFonts w:ascii="Palatino Linotype" w:hAnsi="Palatino Linotype"/>
          <w:vertAlign w:val="superscript"/>
        </w:rPr>
        <w:t>th</w:t>
      </w:r>
      <w:r>
        <w:rPr>
          <w:rFonts w:ascii="Palatino Linotype" w:hAnsi="Palatino Linotype"/>
        </w:rPr>
        <w:t xml:space="preserve"> century.</w:t>
      </w:r>
    </w:p>
    <w:p w14:paraId="646F8BF2" w14:textId="107303A1" w:rsidR="000F4654" w:rsidRDefault="000F4654" w:rsidP="00EE17F7">
      <w:pPr>
        <w:pStyle w:val="ListParagraph"/>
        <w:numPr>
          <w:ilvl w:val="0"/>
          <w:numId w:val="3"/>
        </w:numPr>
        <w:rPr>
          <w:rFonts w:ascii="Palatino Linotype" w:hAnsi="Palatino Linotype"/>
        </w:rPr>
      </w:pPr>
      <w:r>
        <w:rPr>
          <w:rFonts w:ascii="Palatino Linotype" w:hAnsi="Palatino Linotype"/>
        </w:rPr>
        <w:t>The buildings have undergone considerable changes, not least in being united and separated at different times, and altered in the 20</w:t>
      </w:r>
      <w:r w:rsidRPr="000F4654">
        <w:rPr>
          <w:rFonts w:ascii="Palatino Linotype" w:hAnsi="Palatino Linotype"/>
          <w:vertAlign w:val="superscript"/>
        </w:rPr>
        <w:t>th</w:t>
      </w:r>
      <w:r>
        <w:rPr>
          <w:rFonts w:ascii="Palatino Linotype" w:hAnsi="Palatino Linotype"/>
        </w:rPr>
        <w:t xml:space="preserve"> century for office purposes.</w:t>
      </w:r>
    </w:p>
    <w:p w14:paraId="275EF648" w14:textId="25B9E294" w:rsidR="000F4654" w:rsidRDefault="000F4654" w:rsidP="00EE17F7">
      <w:pPr>
        <w:pStyle w:val="ListParagraph"/>
        <w:numPr>
          <w:ilvl w:val="0"/>
          <w:numId w:val="3"/>
        </w:numPr>
        <w:rPr>
          <w:rFonts w:ascii="Palatino Linotype" w:hAnsi="Palatino Linotype"/>
        </w:rPr>
      </w:pPr>
      <w:r>
        <w:rPr>
          <w:rFonts w:ascii="Palatino Linotype" w:hAnsi="Palatino Linotype"/>
        </w:rPr>
        <w:t>The proposal for return to domestic use is likely to be beneficial and is to be welcomed.</w:t>
      </w:r>
    </w:p>
    <w:p w14:paraId="5316B994" w14:textId="19713C08" w:rsidR="00EE17F7" w:rsidRPr="000F4654" w:rsidRDefault="000F4654" w:rsidP="000F4654">
      <w:pPr>
        <w:pStyle w:val="ListParagraph"/>
        <w:numPr>
          <w:ilvl w:val="0"/>
          <w:numId w:val="3"/>
        </w:numPr>
        <w:rPr>
          <w:rFonts w:ascii="Palatino Linotype" w:hAnsi="Palatino Linotype"/>
        </w:rPr>
      </w:pPr>
      <w:r>
        <w:rPr>
          <w:rFonts w:ascii="Palatino Linotype" w:hAnsi="Palatino Linotype"/>
        </w:rPr>
        <w:t>The proposed addition to No. 28 will be</w:t>
      </w:r>
      <w:r w:rsidRPr="000F4654">
        <w:rPr>
          <w:rFonts w:ascii="Palatino Linotype" w:hAnsi="Palatino Linotype"/>
        </w:rPr>
        <w:t xml:space="preserve"> </w:t>
      </w:r>
      <w:r w:rsidR="00EE17F7" w:rsidRPr="000F4654">
        <w:rPr>
          <w:rFonts w:ascii="Palatino Linotype" w:hAnsi="Palatino Linotype"/>
        </w:rPr>
        <w:t xml:space="preserve">wholly in keeping with the materials, scale and character of </w:t>
      </w:r>
      <w:r w:rsidR="00A5740B" w:rsidRPr="000F4654">
        <w:rPr>
          <w:rFonts w:ascii="Palatino Linotype" w:hAnsi="Palatino Linotype"/>
        </w:rPr>
        <w:t>the listed buildings</w:t>
      </w:r>
      <w:r>
        <w:rPr>
          <w:rFonts w:ascii="Palatino Linotype" w:hAnsi="Palatino Linotype"/>
        </w:rPr>
        <w:t>.</w:t>
      </w:r>
      <w:r w:rsidR="00EE17F7" w:rsidRPr="000F4654">
        <w:rPr>
          <w:rFonts w:ascii="Palatino Linotype" w:hAnsi="Palatino Linotype"/>
        </w:rPr>
        <w:t xml:space="preserve"> </w:t>
      </w:r>
    </w:p>
    <w:p w14:paraId="59107F76" w14:textId="46E03015" w:rsidR="00E54DCB" w:rsidRPr="000F4654" w:rsidRDefault="000F4654" w:rsidP="00A5740B">
      <w:pPr>
        <w:pStyle w:val="ListParagraph"/>
        <w:numPr>
          <w:ilvl w:val="0"/>
          <w:numId w:val="3"/>
        </w:numPr>
        <w:rPr>
          <w:rFonts w:ascii="Palatino Linotype" w:hAnsi="Palatino Linotype"/>
        </w:rPr>
      </w:pPr>
      <w:r>
        <w:rPr>
          <w:rFonts w:ascii="Palatino Linotype" w:hAnsi="Palatino Linotype"/>
        </w:rPr>
        <w:t>T</w:t>
      </w:r>
      <w:r w:rsidR="00EE17F7" w:rsidRPr="000F4654">
        <w:rPr>
          <w:rFonts w:ascii="Palatino Linotype" w:hAnsi="Palatino Linotype"/>
        </w:rPr>
        <w:t xml:space="preserve">he new building will not harm the setting of the Grade </w:t>
      </w:r>
      <w:r w:rsidR="00E326CB" w:rsidRPr="000F4654">
        <w:rPr>
          <w:rFonts w:ascii="Palatino Linotype" w:hAnsi="Palatino Linotype"/>
        </w:rPr>
        <w:t>II</w:t>
      </w:r>
      <w:r w:rsidR="00EE17F7" w:rsidRPr="000F4654">
        <w:rPr>
          <w:rFonts w:ascii="Palatino Linotype" w:hAnsi="Palatino Linotype"/>
        </w:rPr>
        <w:t xml:space="preserve"> </w:t>
      </w:r>
      <w:r w:rsidR="00A5740B" w:rsidRPr="000F4654">
        <w:rPr>
          <w:rFonts w:ascii="Palatino Linotype" w:hAnsi="Palatino Linotype"/>
        </w:rPr>
        <w:t>buildings in any way</w:t>
      </w:r>
      <w:r>
        <w:rPr>
          <w:rFonts w:ascii="Palatino Linotype" w:hAnsi="Palatino Linotype"/>
        </w:rPr>
        <w:t xml:space="preserve"> and will</w:t>
      </w:r>
      <w:r w:rsidR="00A5740B" w:rsidRPr="000F4654">
        <w:rPr>
          <w:rFonts w:ascii="Palatino Linotype" w:hAnsi="Palatino Linotype"/>
        </w:rPr>
        <w:t xml:space="preserve"> </w:t>
      </w:r>
      <w:r w:rsidR="00EE17F7" w:rsidRPr="000F4654">
        <w:rPr>
          <w:rFonts w:ascii="Palatino Linotype" w:hAnsi="Palatino Linotype"/>
        </w:rPr>
        <w:t xml:space="preserve">not detract from the character of the </w:t>
      </w:r>
      <w:r>
        <w:rPr>
          <w:rFonts w:ascii="Palatino Linotype" w:hAnsi="Palatino Linotype"/>
        </w:rPr>
        <w:t xml:space="preserve">nearby </w:t>
      </w:r>
      <w:r w:rsidR="00EE17F7" w:rsidRPr="000F4654">
        <w:rPr>
          <w:rFonts w:ascii="Palatino Linotype" w:hAnsi="Palatino Linotype"/>
        </w:rPr>
        <w:t>conservation area</w:t>
      </w:r>
      <w:r w:rsidR="00E06201" w:rsidRPr="000F4654">
        <w:rPr>
          <w:rFonts w:ascii="Palatino Linotype" w:hAnsi="Palatino Linotype"/>
        </w:rPr>
        <w:t xml:space="preserve">.  </w:t>
      </w:r>
    </w:p>
    <w:p w14:paraId="33FD22C3" w14:textId="57744EA5" w:rsidR="002E2F6B" w:rsidRPr="002E2F6B" w:rsidRDefault="002E2F6B" w:rsidP="00A5740B">
      <w:pPr>
        <w:pStyle w:val="ListParagraph"/>
        <w:ind w:left="780"/>
        <w:rPr>
          <w:rFonts w:ascii="Palatino Linotype" w:hAnsi="Palatino Linotype"/>
        </w:rPr>
      </w:pPr>
    </w:p>
    <w:p w14:paraId="1300D8A7" w14:textId="77777777" w:rsidR="002E2F6B" w:rsidRPr="009E2417" w:rsidRDefault="002E2F6B" w:rsidP="00A5740B">
      <w:pPr>
        <w:pStyle w:val="ListParagraph"/>
        <w:ind w:left="780"/>
        <w:rPr>
          <w:rFonts w:ascii="Palatino Linotype" w:hAnsi="Palatino Linotype"/>
          <w:color w:val="00B0F0"/>
        </w:rPr>
      </w:pPr>
    </w:p>
    <w:p w14:paraId="5C2DE823" w14:textId="3B8AFBD2" w:rsidR="00E06201" w:rsidRPr="005173E9" w:rsidRDefault="00E06201" w:rsidP="00941BF5">
      <w:pPr>
        <w:spacing w:before="60" w:after="0" w:line="240" w:lineRule="auto"/>
        <w:rPr>
          <w:rFonts w:ascii="Palatino Linotype" w:hAnsi="Palatino Linotype"/>
        </w:rPr>
      </w:pPr>
      <w:r w:rsidRPr="005173E9">
        <w:rPr>
          <w:rFonts w:ascii="Palatino Linotype" w:hAnsi="Palatino Linotype"/>
        </w:rPr>
        <w:t>Julian Munby</w:t>
      </w:r>
    </w:p>
    <w:p w14:paraId="44316CA6" w14:textId="454EA4B0" w:rsidR="00053198" w:rsidRPr="005173E9" w:rsidRDefault="00053198" w:rsidP="00941BF5">
      <w:pPr>
        <w:spacing w:before="60" w:after="0" w:line="240" w:lineRule="auto"/>
        <w:rPr>
          <w:rFonts w:ascii="Palatino Linotype" w:hAnsi="Palatino Linotype"/>
        </w:rPr>
      </w:pPr>
      <w:r w:rsidRPr="005173E9">
        <w:rPr>
          <w:rFonts w:ascii="Palatino Linotype" w:hAnsi="Palatino Linotype"/>
        </w:rPr>
        <w:t>Head of Buildings Archaeology</w:t>
      </w:r>
    </w:p>
    <w:p w14:paraId="4879A3D1" w14:textId="7302D8FD" w:rsidR="00E06201" w:rsidRPr="005173E9" w:rsidRDefault="00E06201" w:rsidP="00941BF5">
      <w:pPr>
        <w:spacing w:before="60" w:after="0" w:line="240" w:lineRule="auto"/>
        <w:rPr>
          <w:rFonts w:ascii="Palatino Linotype" w:hAnsi="Palatino Linotype"/>
          <w:i/>
        </w:rPr>
      </w:pPr>
      <w:r w:rsidRPr="005173E9">
        <w:rPr>
          <w:rFonts w:ascii="Palatino Linotype" w:hAnsi="Palatino Linotype"/>
          <w:i/>
        </w:rPr>
        <w:t>Oxford Archaeology</w:t>
      </w:r>
    </w:p>
    <w:p w14:paraId="4F4B4830" w14:textId="4D181EDB" w:rsidR="009E2417" w:rsidRDefault="002E2F6B" w:rsidP="00941BF5">
      <w:pPr>
        <w:spacing w:before="60" w:after="0" w:line="240" w:lineRule="auto"/>
        <w:rPr>
          <w:rFonts w:ascii="Palatino Linotype" w:hAnsi="Palatino Linotype"/>
        </w:rPr>
      </w:pPr>
      <w:r>
        <w:rPr>
          <w:rFonts w:ascii="Palatino Linotype" w:hAnsi="Palatino Linotype"/>
        </w:rPr>
        <w:t xml:space="preserve">August </w:t>
      </w:r>
      <w:r w:rsidR="00E06201" w:rsidRPr="005173E9">
        <w:rPr>
          <w:rFonts w:ascii="Palatino Linotype" w:hAnsi="Palatino Linotype"/>
        </w:rPr>
        <w:t>2019</w:t>
      </w:r>
    </w:p>
    <w:p w14:paraId="2EB7CFD2" w14:textId="3D7C5C06" w:rsidR="009E2417" w:rsidRDefault="009E2417" w:rsidP="00941BF5">
      <w:pPr>
        <w:spacing w:before="60" w:after="0" w:line="240" w:lineRule="auto"/>
        <w:rPr>
          <w:rFonts w:ascii="Palatino Linotype" w:hAnsi="Palatino Linotype"/>
        </w:rPr>
      </w:pPr>
    </w:p>
    <w:p w14:paraId="66E31431" w14:textId="772F8744" w:rsidR="009E2417" w:rsidRDefault="009E2417" w:rsidP="00941BF5">
      <w:pPr>
        <w:spacing w:before="60" w:after="0" w:line="240" w:lineRule="auto"/>
        <w:rPr>
          <w:rFonts w:ascii="Palatino Linotype" w:hAnsi="Palatino Linotype"/>
        </w:rPr>
      </w:pPr>
    </w:p>
    <w:p w14:paraId="756537DB" w14:textId="72FFA1BF" w:rsidR="009E2417" w:rsidRDefault="009E2417" w:rsidP="00941BF5">
      <w:pPr>
        <w:spacing w:before="60" w:after="0" w:line="240" w:lineRule="auto"/>
        <w:rPr>
          <w:rFonts w:ascii="Palatino Linotype" w:hAnsi="Palatino Linotype"/>
        </w:rPr>
      </w:pPr>
      <w:r w:rsidRPr="009E2417">
        <w:rPr>
          <w:rFonts w:ascii="Palatino Linotype" w:hAnsi="Palatino Linotype"/>
          <w:noProof/>
          <w:lang w:eastAsia="en-GB"/>
        </w:rPr>
        <w:lastRenderedPageBreak/>
        <w:drawing>
          <wp:inline distT="0" distB="0" distL="0" distR="0" wp14:anchorId="03C24519" wp14:editId="2E2803DA">
            <wp:extent cx="5731510" cy="678565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6785655"/>
                    </a:xfrm>
                    <a:prstGeom prst="rect">
                      <a:avLst/>
                    </a:prstGeom>
                    <a:noFill/>
                    <a:ln>
                      <a:noFill/>
                    </a:ln>
                  </pic:spPr>
                </pic:pic>
              </a:graphicData>
            </a:graphic>
          </wp:inline>
        </w:drawing>
      </w:r>
    </w:p>
    <w:p w14:paraId="30D8B71B" w14:textId="77777777" w:rsidR="00B23109" w:rsidRDefault="00B23109">
      <w:pPr>
        <w:rPr>
          <w:rFonts w:ascii="Palatino Linotype" w:hAnsi="Palatino Linotype"/>
        </w:rPr>
      </w:pPr>
    </w:p>
    <w:p w14:paraId="3159BDB4" w14:textId="77777777" w:rsidR="00594B27" w:rsidRDefault="00B23109" w:rsidP="00B23109">
      <w:pPr>
        <w:ind w:left="1134" w:right="521" w:hanging="1134"/>
        <w:rPr>
          <w:rFonts w:ascii="Palatino Linotype" w:hAnsi="Palatino Linotype"/>
        </w:rPr>
      </w:pPr>
      <w:r>
        <w:rPr>
          <w:rFonts w:ascii="Palatino Linotype" w:hAnsi="Palatino Linotype"/>
        </w:rPr>
        <w:t>Figure 1:</w:t>
      </w:r>
      <w:r>
        <w:rPr>
          <w:rFonts w:ascii="Palatino Linotype" w:hAnsi="Palatino Linotype"/>
        </w:rPr>
        <w:tab/>
        <w:t>Extract from the OS 1:500 town plan of Reading, 1879, showing the north end of Southampton Street</w:t>
      </w:r>
    </w:p>
    <w:p w14:paraId="60E14304" w14:textId="77777777" w:rsidR="00594B27" w:rsidRDefault="00594B27">
      <w:pPr>
        <w:rPr>
          <w:rFonts w:ascii="Palatino Linotype" w:hAnsi="Palatino Linotype"/>
        </w:rPr>
      </w:pPr>
      <w:r>
        <w:rPr>
          <w:rFonts w:ascii="Palatino Linotype" w:hAnsi="Palatino Linotype"/>
        </w:rPr>
        <w:br w:type="page"/>
      </w:r>
    </w:p>
    <w:p w14:paraId="52A7B5B4" w14:textId="3045FC72" w:rsidR="00594B27" w:rsidRDefault="00594B27" w:rsidP="00594B27">
      <w:pPr>
        <w:spacing w:after="0" w:line="240" w:lineRule="auto"/>
        <w:jc w:val="center"/>
        <w:rPr>
          <w:rFonts w:ascii="Times New Roman" w:eastAsia="Times New Roman" w:hAnsi="Times New Roman" w:cs="Times New Roman"/>
          <w:sz w:val="28"/>
          <w:szCs w:val="28"/>
          <w:lang w:eastAsia="en-GB"/>
        </w:rPr>
      </w:pPr>
      <w:r w:rsidRPr="00594B27">
        <w:rPr>
          <w:rFonts w:ascii="Times New Roman" w:eastAsia="Times New Roman" w:hAnsi="Times New Roman" w:cs="Times New Roman"/>
          <w:sz w:val="28"/>
          <w:szCs w:val="28"/>
          <w:lang w:eastAsia="en-GB"/>
        </w:rPr>
        <w:lastRenderedPageBreak/>
        <w:t>Appendix: Statutory List Entries</w:t>
      </w:r>
    </w:p>
    <w:p w14:paraId="07F27064" w14:textId="77777777" w:rsidR="002E2F6B" w:rsidRPr="00594B27" w:rsidRDefault="002E2F6B" w:rsidP="00594B27">
      <w:pPr>
        <w:spacing w:after="0" w:line="240" w:lineRule="auto"/>
        <w:jc w:val="center"/>
        <w:rPr>
          <w:rFonts w:ascii="Times New Roman" w:eastAsia="Times New Roman" w:hAnsi="Times New Roman" w:cs="Times New Roman"/>
          <w:sz w:val="28"/>
          <w:szCs w:val="28"/>
          <w:lang w:eastAsia="en-GB"/>
        </w:rPr>
      </w:pPr>
    </w:p>
    <w:p w14:paraId="0B936E97" w14:textId="77777777" w:rsidR="00594B27" w:rsidRDefault="00594B27" w:rsidP="00594B27">
      <w:pPr>
        <w:spacing w:after="0" w:line="240" w:lineRule="auto"/>
        <w:rPr>
          <w:rFonts w:ascii="Times New Roman" w:eastAsia="Times New Roman" w:hAnsi="Times New Roman" w:cs="Times New Roman"/>
          <w:b/>
          <w:sz w:val="24"/>
          <w:szCs w:val="24"/>
          <w:lang w:eastAsia="en-GB"/>
        </w:rPr>
      </w:pPr>
    </w:p>
    <w:p w14:paraId="5A245E12" w14:textId="21065910" w:rsidR="00594B27" w:rsidRPr="004A77EA" w:rsidRDefault="00594B27" w:rsidP="00594B27">
      <w:pPr>
        <w:spacing w:after="0" w:line="240" w:lineRule="auto"/>
        <w:rPr>
          <w:rFonts w:ascii="Times New Roman" w:eastAsia="Times New Roman" w:hAnsi="Times New Roman" w:cs="Times New Roman"/>
          <w:b/>
          <w:sz w:val="24"/>
          <w:szCs w:val="24"/>
          <w:lang w:eastAsia="en-GB"/>
        </w:rPr>
      </w:pPr>
      <w:r w:rsidRPr="004A77EA">
        <w:rPr>
          <w:rFonts w:ascii="Times New Roman" w:eastAsia="Times New Roman" w:hAnsi="Times New Roman" w:cs="Times New Roman"/>
          <w:b/>
          <w:sz w:val="24"/>
          <w:szCs w:val="24"/>
          <w:lang w:eastAsia="en-GB"/>
        </w:rPr>
        <w:t xml:space="preserve">Statutory Address:  </w:t>
      </w:r>
      <w:r w:rsidRPr="004A77EA">
        <w:rPr>
          <w:rFonts w:ascii="Times New Roman" w:eastAsia="Times New Roman" w:hAnsi="Times New Roman" w:cs="Times New Roman"/>
          <w:b/>
          <w:sz w:val="24"/>
          <w:szCs w:val="24"/>
          <w:lang w:eastAsia="en-GB"/>
        </w:rPr>
        <w:tab/>
        <w:t>26, SOUTHAMPTON STREET</w:t>
      </w:r>
      <w:r>
        <w:rPr>
          <w:rFonts w:ascii="Times New Roman" w:eastAsia="Times New Roman" w:hAnsi="Times New Roman" w:cs="Times New Roman"/>
          <w:b/>
          <w:sz w:val="24"/>
          <w:szCs w:val="24"/>
          <w:lang w:eastAsia="en-GB"/>
        </w:rPr>
        <w:t>, READING</w:t>
      </w:r>
    </w:p>
    <w:p w14:paraId="4039B7C6" w14:textId="77777777" w:rsidR="00594B27" w:rsidRDefault="00594B27" w:rsidP="00594B27">
      <w:pPr>
        <w:spacing w:after="0" w:line="240" w:lineRule="auto"/>
        <w:rPr>
          <w:rFonts w:ascii="Times New Roman" w:eastAsia="Times New Roman" w:hAnsi="Times New Roman" w:cs="Times New Roman"/>
          <w:sz w:val="24"/>
          <w:szCs w:val="24"/>
          <w:lang w:eastAsia="en-GB"/>
        </w:rPr>
      </w:pPr>
    </w:p>
    <w:p w14:paraId="014BFB9A"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Listed Building</w:t>
      </w:r>
      <w:r>
        <w:rPr>
          <w:rFonts w:ascii="Times New Roman" w:eastAsia="Times New Roman" w:hAnsi="Times New Roman" w:cs="Times New Roman"/>
          <w:sz w:val="24"/>
          <w:szCs w:val="24"/>
          <w:lang w:eastAsia="en-GB"/>
        </w:rPr>
        <w:t>:</w:t>
      </w:r>
      <w:r w:rsidRPr="004A77EA">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Grade</w:t>
      </w:r>
      <w:r>
        <w:rPr>
          <w:rFonts w:ascii="Times New Roman" w:eastAsia="Times New Roman" w:hAnsi="Times New Roman" w:cs="Times New Roman"/>
          <w:sz w:val="24"/>
          <w:szCs w:val="24"/>
          <w:lang w:eastAsia="en-GB"/>
        </w:rPr>
        <w:t xml:space="preserve"> </w:t>
      </w:r>
      <w:r w:rsidRPr="004A77EA">
        <w:rPr>
          <w:rFonts w:ascii="Times New Roman" w:eastAsia="Times New Roman" w:hAnsi="Times New Roman" w:cs="Times New Roman"/>
          <w:sz w:val="24"/>
          <w:szCs w:val="24"/>
          <w:lang w:eastAsia="en-GB"/>
        </w:rPr>
        <w:t xml:space="preserve">II </w:t>
      </w:r>
    </w:p>
    <w:p w14:paraId="5B000029"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List Entry Number:</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1113582</w:t>
      </w:r>
    </w:p>
    <w:p w14:paraId="2A130E19"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Date first listed:</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14-Dec-1978</w:t>
      </w:r>
    </w:p>
    <w:p w14:paraId="381094EC"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District:</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Reading (Unitary Authority)</w:t>
      </w:r>
    </w:p>
    <w:p w14:paraId="6F2DF248"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National Grid Reference:</w:t>
      </w:r>
      <w:r>
        <w:rPr>
          <w:rFonts w:ascii="Times New Roman" w:eastAsia="Times New Roman" w:hAnsi="Times New Roman" w:cs="Times New Roman"/>
          <w:sz w:val="24"/>
          <w:szCs w:val="24"/>
          <w:lang w:eastAsia="en-GB"/>
        </w:rPr>
        <w:t xml:space="preserve">  </w:t>
      </w:r>
      <w:r w:rsidRPr="004A77EA">
        <w:rPr>
          <w:rFonts w:ascii="Times New Roman" w:eastAsia="Times New Roman" w:hAnsi="Times New Roman" w:cs="Times New Roman"/>
          <w:sz w:val="24"/>
          <w:szCs w:val="24"/>
          <w:lang w:eastAsia="en-GB"/>
        </w:rPr>
        <w:t>SU 71574 72973</w:t>
      </w:r>
    </w:p>
    <w:p w14:paraId="50B4981C" w14:textId="77777777" w:rsidR="00594B27" w:rsidRPr="004A77EA" w:rsidRDefault="00594B27" w:rsidP="00594B27">
      <w:pPr>
        <w:spacing w:before="100" w:beforeAutospacing="1" w:after="100" w:afterAutospacing="1"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SOUTHAMPTON STREET 1. 5128 (West side) No 26 SU 7172 NE 4/231 II 2. Early C19. 2 1/2 storeys altered. Grey brick headers with red brick dressings and quoins. Cogged eaves cornice to tiled roof. Right hand part of house original with 1 window, tripartite casement, segment headed on Ground floor and mansard roof with end chimney and dormer. Left hand part may be a C20 rebuild with slight break: 1 range of windows, 3 light casement on ground floor and a 5 light, probably reused, oak mullion casement on 1st floor; also parapet with cogged cope, no attic. To left it is treated like No 28. The garden railings are cast iron arrow head with patterned bars to gate.</w:t>
      </w:r>
      <w:r w:rsidRPr="004A77EA">
        <w:rPr>
          <w:rFonts w:ascii="Times New Roman" w:eastAsia="Times New Roman" w:hAnsi="Times New Roman" w:cs="Times New Roman"/>
          <w:sz w:val="24"/>
          <w:szCs w:val="24"/>
          <w:lang w:eastAsia="en-GB"/>
        </w:rPr>
        <w:br/>
      </w:r>
      <w:r w:rsidRPr="004A77EA">
        <w:rPr>
          <w:rFonts w:ascii="Times New Roman" w:eastAsia="Times New Roman" w:hAnsi="Times New Roman" w:cs="Times New Roman"/>
          <w:sz w:val="24"/>
          <w:szCs w:val="24"/>
          <w:lang w:eastAsia="en-GB"/>
        </w:rPr>
        <w:br/>
        <w:t>Listing NGR: SU7157172975</w:t>
      </w:r>
    </w:p>
    <w:p w14:paraId="3B3C5000"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Legacy System number:</w:t>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39175</w:t>
      </w:r>
    </w:p>
    <w:p w14:paraId="13D5E413" w14:textId="77777777" w:rsidR="00594B27"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Legacy System:</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LBS</w:t>
      </w:r>
    </w:p>
    <w:p w14:paraId="0F9B58BD" w14:textId="77777777" w:rsidR="00594B27" w:rsidRDefault="00594B27" w:rsidP="00594B27">
      <w:pPr>
        <w:rPr>
          <w:rFonts w:ascii="Times New Roman" w:eastAsia="Times New Roman" w:hAnsi="Times New Roman" w:cs="Times New Roman"/>
          <w:sz w:val="24"/>
          <w:szCs w:val="24"/>
          <w:lang w:eastAsia="en-GB"/>
        </w:rPr>
      </w:pPr>
    </w:p>
    <w:p w14:paraId="55A8081A" w14:textId="77777777" w:rsidR="00594B27" w:rsidRDefault="00594B27" w:rsidP="00594B27">
      <w:pPr>
        <w:rPr>
          <w:rFonts w:ascii="Times New Roman" w:eastAsia="Times New Roman" w:hAnsi="Times New Roman" w:cs="Times New Roman"/>
          <w:sz w:val="24"/>
          <w:szCs w:val="24"/>
          <w:lang w:eastAsia="en-GB"/>
        </w:rPr>
      </w:pPr>
    </w:p>
    <w:p w14:paraId="2A4BA530" w14:textId="77777777" w:rsidR="00594B27" w:rsidRPr="004A77EA" w:rsidRDefault="00594B27" w:rsidP="00594B27">
      <w:pPr>
        <w:spacing w:after="0" w:line="240" w:lineRule="auto"/>
        <w:rPr>
          <w:rFonts w:ascii="Times New Roman" w:eastAsia="Times New Roman" w:hAnsi="Times New Roman" w:cs="Times New Roman"/>
          <w:b/>
          <w:sz w:val="24"/>
          <w:szCs w:val="24"/>
          <w:lang w:eastAsia="en-GB"/>
        </w:rPr>
      </w:pPr>
      <w:r w:rsidRPr="004A77EA">
        <w:rPr>
          <w:rFonts w:ascii="Times New Roman" w:eastAsia="Times New Roman" w:hAnsi="Times New Roman" w:cs="Times New Roman"/>
          <w:b/>
          <w:sz w:val="24"/>
          <w:szCs w:val="24"/>
          <w:lang w:eastAsia="en-GB"/>
        </w:rPr>
        <w:t xml:space="preserve">Statutory Address:  </w:t>
      </w:r>
      <w:r w:rsidRPr="004A77EA">
        <w:rPr>
          <w:rFonts w:ascii="Times New Roman" w:eastAsia="Times New Roman" w:hAnsi="Times New Roman" w:cs="Times New Roman"/>
          <w:b/>
          <w:sz w:val="24"/>
          <w:szCs w:val="24"/>
          <w:lang w:eastAsia="en-GB"/>
        </w:rPr>
        <w:tab/>
        <w:t>2</w:t>
      </w:r>
      <w:r>
        <w:rPr>
          <w:rFonts w:ascii="Times New Roman" w:eastAsia="Times New Roman" w:hAnsi="Times New Roman" w:cs="Times New Roman"/>
          <w:b/>
          <w:sz w:val="24"/>
          <w:szCs w:val="24"/>
          <w:lang w:eastAsia="en-GB"/>
        </w:rPr>
        <w:t>8</w:t>
      </w:r>
      <w:r w:rsidRPr="004A77EA">
        <w:rPr>
          <w:rFonts w:ascii="Times New Roman" w:eastAsia="Times New Roman" w:hAnsi="Times New Roman" w:cs="Times New Roman"/>
          <w:b/>
          <w:sz w:val="24"/>
          <w:szCs w:val="24"/>
          <w:lang w:eastAsia="en-GB"/>
        </w:rPr>
        <w:t>, SOUTHAMPTON STREET</w:t>
      </w:r>
      <w:r>
        <w:rPr>
          <w:rFonts w:ascii="Times New Roman" w:eastAsia="Times New Roman" w:hAnsi="Times New Roman" w:cs="Times New Roman"/>
          <w:b/>
          <w:sz w:val="24"/>
          <w:szCs w:val="24"/>
          <w:lang w:eastAsia="en-GB"/>
        </w:rPr>
        <w:t>, READING</w:t>
      </w:r>
    </w:p>
    <w:p w14:paraId="330CF0D0" w14:textId="77777777" w:rsidR="00594B27" w:rsidRDefault="00594B27" w:rsidP="00594B27">
      <w:pPr>
        <w:spacing w:after="0" w:line="240" w:lineRule="auto"/>
        <w:rPr>
          <w:rFonts w:ascii="Times New Roman" w:eastAsia="Times New Roman" w:hAnsi="Times New Roman" w:cs="Times New Roman"/>
          <w:sz w:val="24"/>
          <w:szCs w:val="24"/>
          <w:lang w:eastAsia="en-GB"/>
        </w:rPr>
      </w:pPr>
    </w:p>
    <w:p w14:paraId="127F3541"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Listed Building</w:t>
      </w:r>
      <w:r>
        <w:rPr>
          <w:rFonts w:ascii="Times New Roman" w:eastAsia="Times New Roman" w:hAnsi="Times New Roman" w:cs="Times New Roman"/>
          <w:sz w:val="24"/>
          <w:szCs w:val="24"/>
          <w:lang w:eastAsia="en-GB"/>
        </w:rPr>
        <w:t>:</w:t>
      </w:r>
      <w:r w:rsidRPr="004A77EA">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Grade</w:t>
      </w:r>
      <w:r>
        <w:rPr>
          <w:rFonts w:ascii="Times New Roman" w:eastAsia="Times New Roman" w:hAnsi="Times New Roman" w:cs="Times New Roman"/>
          <w:sz w:val="24"/>
          <w:szCs w:val="24"/>
          <w:lang w:eastAsia="en-GB"/>
        </w:rPr>
        <w:t xml:space="preserve"> </w:t>
      </w:r>
      <w:r w:rsidRPr="004A77EA">
        <w:rPr>
          <w:rFonts w:ascii="Times New Roman" w:eastAsia="Times New Roman" w:hAnsi="Times New Roman" w:cs="Times New Roman"/>
          <w:sz w:val="24"/>
          <w:szCs w:val="24"/>
          <w:lang w:eastAsia="en-GB"/>
        </w:rPr>
        <w:t xml:space="preserve">II </w:t>
      </w:r>
    </w:p>
    <w:p w14:paraId="352AC259"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List Entry Number:</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111358</w:t>
      </w:r>
      <w:r>
        <w:rPr>
          <w:rFonts w:ascii="Times New Roman" w:eastAsia="Times New Roman" w:hAnsi="Times New Roman" w:cs="Times New Roman"/>
          <w:sz w:val="24"/>
          <w:szCs w:val="24"/>
          <w:lang w:eastAsia="en-GB"/>
        </w:rPr>
        <w:t>3</w:t>
      </w:r>
    </w:p>
    <w:p w14:paraId="446EB1F7"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Date first listed:</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14-Dec-1978</w:t>
      </w:r>
    </w:p>
    <w:p w14:paraId="65AE1E34"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District:</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sidRPr="004A77EA">
        <w:rPr>
          <w:rFonts w:ascii="Times New Roman" w:eastAsia="Times New Roman" w:hAnsi="Times New Roman" w:cs="Times New Roman"/>
          <w:sz w:val="24"/>
          <w:szCs w:val="24"/>
          <w:lang w:eastAsia="en-GB"/>
        </w:rPr>
        <w:t>Reading (Unitary Authority)</w:t>
      </w:r>
    </w:p>
    <w:p w14:paraId="63C9AA0C" w14:textId="77777777" w:rsidR="00594B27" w:rsidRPr="004A77EA" w:rsidRDefault="00594B27" w:rsidP="00594B27">
      <w:pPr>
        <w:spacing w:after="0" w:line="240" w:lineRule="auto"/>
        <w:rPr>
          <w:rFonts w:ascii="Times New Roman" w:eastAsia="Times New Roman" w:hAnsi="Times New Roman" w:cs="Times New Roman"/>
          <w:sz w:val="24"/>
          <w:szCs w:val="24"/>
          <w:lang w:eastAsia="en-GB"/>
        </w:rPr>
      </w:pPr>
      <w:r w:rsidRPr="004A77EA">
        <w:rPr>
          <w:rFonts w:ascii="Times New Roman" w:eastAsia="Times New Roman" w:hAnsi="Times New Roman" w:cs="Times New Roman"/>
          <w:sz w:val="24"/>
          <w:szCs w:val="24"/>
          <w:lang w:eastAsia="en-GB"/>
        </w:rPr>
        <w:t>National Grid Reference:</w:t>
      </w:r>
      <w:r>
        <w:rPr>
          <w:rFonts w:ascii="Times New Roman" w:eastAsia="Times New Roman" w:hAnsi="Times New Roman" w:cs="Times New Roman"/>
          <w:sz w:val="24"/>
          <w:szCs w:val="24"/>
          <w:lang w:eastAsia="en-GB"/>
        </w:rPr>
        <w:t xml:space="preserve">  </w:t>
      </w:r>
      <w:r w:rsidRPr="004A77EA">
        <w:rPr>
          <w:rFonts w:ascii="Times New Roman" w:eastAsia="Times New Roman" w:hAnsi="Times New Roman" w:cs="Times New Roman"/>
          <w:sz w:val="24"/>
          <w:szCs w:val="24"/>
          <w:lang w:eastAsia="en-GB"/>
        </w:rPr>
        <w:t>SU 7157</w:t>
      </w:r>
      <w:r>
        <w:rPr>
          <w:rFonts w:ascii="Times New Roman" w:eastAsia="Times New Roman" w:hAnsi="Times New Roman" w:cs="Times New Roman"/>
          <w:sz w:val="24"/>
          <w:szCs w:val="24"/>
          <w:lang w:eastAsia="en-GB"/>
        </w:rPr>
        <w:t>8</w:t>
      </w:r>
      <w:r w:rsidRPr="004A77EA">
        <w:rPr>
          <w:rFonts w:ascii="Times New Roman" w:eastAsia="Times New Roman" w:hAnsi="Times New Roman" w:cs="Times New Roman"/>
          <w:sz w:val="24"/>
          <w:szCs w:val="24"/>
          <w:lang w:eastAsia="en-GB"/>
        </w:rPr>
        <w:t xml:space="preserve"> 729</w:t>
      </w:r>
      <w:r>
        <w:rPr>
          <w:rFonts w:ascii="Times New Roman" w:eastAsia="Times New Roman" w:hAnsi="Times New Roman" w:cs="Times New Roman"/>
          <w:sz w:val="24"/>
          <w:szCs w:val="24"/>
          <w:lang w:eastAsia="en-GB"/>
        </w:rPr>
        <w:t>66</w:t>
      </w:r>
    </w:p>
    <w:p w14:paraId="4A8D838C" w14:textId="77777777" w:rsidR="00594B27" w:rsidRPr="008A4CE6" w:rsidRDefault="00594B27" w:rsidP="00594B27">
      <w:pPr>
        <w:pStyle w:val="NormalWeb"/>
      </w:pPr>
      <w:r>
        <w:t xml:space="preserve">SOUTHAMPTON STREET 1. 5128 (West Side) No 28 SU 7172 NE 4/574 II 2. Apparently C17 in fact an early C20 replica, timber framed and jettied brick infill, herring-bone below left hand 1st floor windows. Tiled roof with end chimneys. Jetty beams stop chamfered Right hand bay breaks forward slightly with 1 range of 2 light casements. Left hand bay has 3 close-set casements on 1st floor and shop window on ground floor, door panelled and stained to appear early C17. </w:t>
      </w:r>
      <w:r>
        <w:br/>
      </w:r>
      <w:r w:rsidRPr="008A4CE6">
        <w:br/>
        <w:t>Listing NGR: SU7157172975</w:t>
      </w:r>
    </w:p>
    <w:p w14:paraId="31FC6EFF" w14:textId="77777777" w:rsidR="00594B27" w:rsidRPr="008A4CE6" w:rsidRDefault="00594B27" w:rsidP="00594B27">
      <w:pPr>
        <w:rPr>
          <w:rFonts w:ascii="Times New Roman" w:hAnsi="Times New Roman" w:cs="Times New Roman"/>
          <w:sz w:val="24"/>
          <w:szCs w:val="24"/>
        </w:rPr>
      </w:pPr>
      <w:r w:rsidRPr="008A4CE6">
        <w:rPr>
          <w:rFonts w:ascii="Times New Roman" w:hAnsi="Times New Roman" w:cs="Times New Roman"/>
          <w:sz w:val="24"/>
          <w:szCs w:val="24"/>
        </w:rPr>
        <w:t>Legacy System number:</w:t>
      </w:r>
      <w:r w:rsidRPr="008A4CE6">
        <w:rPr>
          <w:rFonts w:ascii="Times New Roman" w:hAnsi="Times New Roman" w:cs="Times New Roman"/>
          <w:sz w:val="24"/>
          <w:szCs w:val="24"/>
        </w:rPr>
        <w:tab/>
        <w:t>39176</w:t>
      </w:r>
    </w:p>
    <w:p w14:paraId="3C3AFE02" w14:textId="77777777" w:rsidR="00594B27" w:rsidRPr="008A4CE6" w:rsidRDefault="00594B27" w:rsidP="00594B27">
      <w:pPr>
        <w:rPr>
          <w:rFonts w:ascii="Times New Roman" w:hAnsi="Times New Roman" w:cs="Times New Roman"/>
          <w:sz w:val="24"/>
          <w:szCs w:val="24"/>
        </w:rPr>
      </w:pPr>
      <w:r w:rsidRPr="008A4CE6">
        <w:rPr>
          <w:rFonts w:ascii="Times New Roman" w:hAnsi="Times New Roman" w:cs="Times New Roman"/>
          <w:sz w:val="24"/>
          <w:szCs w:val="24"/>
        </w:rPr>
        <w:t>Legacy System:</w:t>
      </w:r>
      <w:r w:rsidRPr="008A4CE6">
        <w:rPr>
          <w:rFonts w:ascii="Times New Roman" w:hAnsi="Times New Roman" w:cs="Times New Roman"/>
          <w:sz w:val="24"/>
          <w:szCs w:val="24"/>
        </w:rPr>
        <w:tab/>
      </w:r>
      <w:r>
        <w:rPr>
          <w:rFonts w:ascii="Times New Roman" w:hAnsi="Times New Roman" w:cs="Times New Roman"/>
          <w:sz w:val="24"/>
          <w:szCs w:val="24"/>
        </w:rPr>
        <w:tab/>
      </w:r>
      <w:r w:rsidRPr="008A4CE6">
        <w:rPr>
          <w:rFonts w:ascii="Times New Roman" w:hAnsi="Times New Roman" w:cs="Times New Roman"/>
          <w:sz w:val="24"/>
          <w:szCs w:val="24"/>
        </w:rPr>
        <w:t>LBS</w:t>
      </w:r>
    </w:p>
    <w:p w14:paraId="3E2F769B" w14:textId="77777777" w:rsidR="00594B27" w:rsidRPr="004A77EA" w:rsidRDefault="00594B27" w:rsidP="00594B27">
      <w:pPr>
        <w:pStyle w:val="Heading2"/>
        <w:numPr>
          <w:ilvl w:val="0"/>
          <w:numId w:val="0"/>
        </w:numPr>
        <w:ind w:left="576"/>
        <w:rPr>
          <w:rFonts w:ascii="Times New Roman" w:hAnsi="Times New Roman"/>
          <w:sz w:val="24"/>
          <w:szCs w:val="24"/>
        </w:rPr>
      </w:pPr>
    </w:p>
    <w:p w14:paraId="78E86DDF" w14:textId="422CC886" w:rsidR="00AF0F4E" w:rsidRDefault="00AF0F4E" w:rsidP="00594B27">
      <w:pPr>
        <w:ind w:left="1134" w:right="521" w:hanging="1134"/>
        <w:rPr>
          <w:rFonts w:ascii="Palatino Linotype" w:hAnsi="Palatino Linotype"/>
          <w:sz w:val="24"/>
          <w:szCs w:val="24"/>
        </w:rPr>
      </w:pPr>
    </w:p>
    <w:p w14:paraId="729C3BE9" w14:textId="77777777" w:rsidR="00AF0F4E" w:rsidRPr="00AF0F4E" w:rsidRDefault="00AF0F4E" w:rsidP="00AF0F4E">
      <w:pPr>
        <w:pStyle w:val="Footer"/>
        <w:rPr>
          <w:rFonts w:ascii="Palatino Linotype" w:eastAsia="Calibri" w:hAnsi="Palatino Linotype"/>
          <w:b/>
          <w:smallCaps/>
          <w:lang w:eastAsia="en-GB"/>
        </w:rPr>
      </w:pPr>
      <w:r w:rsidRPr="00AF0F4E">
        <w:rPr>
          <w:rFonts w:ascii="Palatino Linotype" w:eastAsia="Calibri" w:hAnsi="Palatino Linotype"/>
          <w:b/>
          <w:smallCaps/>
          <w:lang w:eastAsia="en-GB"/>
        </w:rPr>
        <w:t>Oxford Archaeology</w:t>
      </w:r>
    </w:p>
    <w:p w14:paraId="6EB3464A" w14:textId="77777777" w:rsidR="00AF0F4E" w:rsidRPr="00AF0F4E" w:rsidRDefault="00AF0F4E" w:rsidP="00AF0F4E">
      <w:pPr>
        <w:pStyle w:val="Footer"/>
        <w:rPr>
          <w:rFonts w:ascii="Palatino Linotype" w:eastAsia="Calibri" w:hAnsi="Palatino Linotype"/>
          <w:b/>
          <w:smallCaps/>
          <w:lang w:eastAsia="en-GB"/>
        </w:rPr>
      </w:pPr>
    </w:p>
    <w:p w14:paraId="6E9C6D68" w14:textId="77777777" w:rsidR="00AF0F4E" w:rsidRPr="00AF0F4E" w:rsidRDefault="00AF0F4E" w:rsidP="00AF0F4E">
      <w:pPr>
        <w:pStyle w:val="Heading3"/>
        <w:numPr>
          <w:ilvl w:val="0"/>
          <w:numId w:val="0"/>
        </w:numPr>
        <w:rPr>
          <w:rFonts w:ascii="Palatino Linotype" w:hAnsi="Palatino Linotype"/>
          <w:i/>
          <w:spacing w:val="-3"/>
          <w:szCs w:val="22"/>
        </w:rPr>
      </w:pPr>
      <w:r w:rsidRPr="00AF0F4E">
        <w:rPr>
          <w:rFonts w:ascii="Palatino Linotype" w:hAnsi="Palatino Linotype"/>
          <w:i/>
          <w:spacing w:val="-3"/>
          <w:szCs w:val="22"/>
        </w:rPr>
        <w:t>OA (formerly the Oxford Archaeological Unit) was established in 1973 and has grown to be one of the largest archaeological practices in Europe, employing c.250 people including field archaeologists, heritage management, industrial, historic buildings and finds specialists, and a team of illustrators and computing and survey personnel. Oxford Archaeology has offices in Lancaster (</w:t>
      </w:r>
      <w:r w:rsidRPr="00AF0F4E">
        <w:rPr>
          <w:rFonts w:ascii="Palatino Linotype" w:hAnsi="Palatino Linotype"/>
          <w:i/>
          <w:szCs w:val="22"/>
        </w:rPr>
        <w:t xml:space="preserve">Oxford Archaeology North), Cambridge </w:t>
      </w:r>
      <w:r w:rsidRPr="00AF0F4E">
        <w:rPr>
          <w:rFonts w:ascii="Palatino Linotype" w:hAnsi="Palatino Linotype"/>
          <w:i/>
          <w:spacing w:val="-3"/>
          <w:szCs w:val="22"/>
        </w:rPr>
        <w:t>(</w:t>
      </w:r>
      <w:r w:rsidRPr="00AF0F4E">
        <w:rPr>
          <w:rFonts w:ascii="Palatino Linotype" w:hAnsi="Palatino Linotype"/>
          <w:i/>
          <w:szCs w:val="22"/>
        </w:rPr>
        <w:t xml:space="preserve">Oxford Archaeology East) and Oxford </w:t>
      </w:r>
      <w:r w:rsidRPr="00AF0F4E">
        <w:rPr>
          <w:rFonts w:ascii="Palatino Linotype" w:hAnsi="Palatino Linotype"/>
          <w:i/>
          <w:spacing w:val="-3"/>
          <w:szCs w:val="22"/>
        </w:rPr>
        <w:t>(</w:t>
      </w:r>
      <w:r w:rsidRPr="00AF0F4E">
        <w:rPr>
          <w:rFonts w:ascii="Palatino Linotype" w:hAnsi="Palatino Linotype"/>
          <w:i/>
          <w:szCs w:val="22"/>
        </w:rPr>
        <w:t>Oxford Archaeology South).</w:t>
      </w:r>
      <w:r w:rsidRPr="00AF0F4E">
        <w:rPr>
          <w:rFonts w:ascii="Palatino Linotype" w:hAnsi="Palatino Linotype"/>
          <w:i/>
          <w:spacing w:val="-3"/>
          <w:szCs w:val="22"/>
        </w:rPr>
        <w:t xml:space="preserve"> </w:t>
      </w:r>
    </w:p>
    <w:p w14:paraId="021E179C" w14:textId="77777777" w:rsidR="00AF0F4E" w:rsidRPr="00AF0F4E" w:rsidRDefault="00AF0F4E" w:rsidP="00AF0F4E">
      <w:pPr>
        <w:pStyle w:val="Heading3"/>
        <w:numPr>
          <w:ilvl w:val="0"/>
          <w:numId w:val="0"/>
        </w:numPr>
        <w:rPr>
          <w:rFonts w:ascii="Palatino Linotype" w:hAnsi="Palatino Linotype"/>
          <w:i/>
          <w:szCs w:val="22"/>
        </w:rPr>
      </w:pPr>
      <w:r w:rsidRPr="00AF0F4E">
        <w:rPr>
          <w:rFonts w:ascii="Palatino Linotype" w:hAnsi="Palatino Linotype"/>
          <w:i/>
          <w:szCs w:val="22"/>
        </w:rPr>
        <w:t xml:space="preserve">OA offers a comprehensive range of archaeological and historical services including strategic policy advice, heritage management services, historic landscape assessment, desk-based appraisal, documentary research, field evaluation and survey, and full-scale excavation, building surveys, industrial archaeology and publication. </w:t>
      </w:r>
    </w:p>
    <w:p w14:paraId="577C73A4" w14:textId="77777777" w:rsidR="00AF0F4E" w:rsidRPr="00AF0F4E" w:rsidRDefault="00AF0F4E" w:rsidP="00AF0F4E">
      <w:pPr>
        <w:pStyle w:val="Heading3"/>
        <w:numPr>
          <w:ilvl w:val="0"/>
          <w:numId w:val="0"/>
        </w:numPr>
        <w:rPr>
          <w:rFonts w:ascii="Palatino Linotype" w:hAnsi="Palatino Linotype"/>
          <w:i/>
          <w:szCs w:val="22"/>
        </w:rPr>
      </w:pPr>
      <w:r w:rsidRPr="00AF0F4E">
        <w:rPr>
          <w:rFonts w:ascii="Palatino Linotype" w:hAnsi="Palatino Linotype"/>
          <w:i/>
          <w:szCs w:val="22"/>
        </w:rPr>
        <w:t>OA works on projects throughout the UK and abroad, recently completing extensive and complex projects in France, Ireland and Turkey with further work carried out in both Montserrat and St Lucia (West Indies), Greece, Albania, India, Libya, Oman, and China.</w:t>
      </w:r>
    </w:p>
    <w:p w14:paraId="5C6D4EB8" w14:textId="77777777" w:rsidR="00AF0F4E" w:rsidRPr="00AF0F4E" w:rsidRDefault="00AF0F4E" w:rsidP="00AF0F4E">
      <w:pPr>
        <w:pStyle w:val="Heading3"/>
        <w:numPr>
          <w:ilvl w:val="0"/>
          <w:numId w:val="0"/>
        </w:numPr>
        <w:rPr>
          <w:rFonts w:ascii="Palatino Linotype" w:hAnsi="Palatino Linotype"/>
          <w:i/>
          <w:szCs w:val="22"/>
        </w:rPr>
      </w:pPr>
      <w:r w:rsidRPr="00AF0F4E">
        <w:rPr>
          <w:rFonts w:ascii="Palatino Linotype" w:hAnsi="Palatino Linotype"/>
          <w:i/>
          <w:szCs w:val="22"/>
        </w:rPr>
        <w:t>OA has long experience of environmental assessment, conservation and planning advice on a number of major and minor projects across England involving the protection, management and presentation of major national monuments, and World Heritage Sites.</w:t>
      </w:r>
    </w:p>
    <w:p w14:paraId="6871C827" w14:textId="77777777" w:rsidR="00AF0F4E" w:rsidRDefault="00AF0F4E" w:rsidP="00AF0F4E">
      <w:pPr>
        <w:spacing w:after="0" w:line="240" w:lineRule="auto"/>
        <w:rPr>
          <w:lang w:eastAsia="en-GB"/>
        </w:rPr>
      </w:pPr>
    </w:p>
    <w:p w14:paraId="6F977D08" w14:textId="77777777" w:rsidR="00AF0F4E" w:rsidRPr="00AF0F4E" w:rsidRDefault="00AF0F4E" w:rsidP="00AF0F4E">
      <w:pPr>
        <w:spacing w:beforeAutospacing="1" w:after="200" w:afterAutospacing="1" w:line="276" w:lineRule="auto"/>
        <w:rPr>
          <w:rFonts w:ascii="Palatino Linotype" w:eastAsia="Calibri" w:hAnsi="Palatino Linotype" w:cs="Times New Roman"/>
          <w:b/>
          <w:smallCaps/>
          <w:lang w:eastAsia="en-GB"/>
        </w:rPr>
      </w:pPr>
      <w:r w:rsidRPr="00AF0F4E">
        <w:rPr>
          <w:rFonts w:ascii="Palatino Linotype" w:eastAsia="Calibri" w:hAnsi="Palatino Linotype" w:cs="Times New Roman"/>
          <w:b/>
          <w:smallCaps/>
          <w:lang w:eastAsia="en-GB"/>
        </w:rPr>
        <w:t xml:space="preserve">Julian Munby BA, FSA </w:t>
      </w:r>
    </w:p>
    <w:p w14:paraId="21A489C1" w14:textId="22868D5B" w:rsidR="00AF0F4E" w:rsidRPr="00AF0F4E" w:rsidRDefault="00AF0F4E" w:rsidP="00AF0F4E">
      <w:pPr>
        <w:tabs>
          <w:tab w:val="left" w:pos="1077"/>
        </w:tabs>
        <w:spacing w:before="60" w:after="60" w:line="240" w:lineRule="auto"/>
        <w:outlineLvl w:val="2"/>
        <w:rPr>
          <w:rFonts w:ascii="Palatino Linotype" w:eastAsia="Times New Roman" w:hAnsi="Palatino Linotype" w:cs="Times New Roman"/>
          <w:i/>
          <w:lang w:eastAsia="en-GB"/>
        </w:rPr>
      </w:pPr>
      <w:r w:rsidRPr="00AF0F4E">
        <w:rPr>
          <w:rFonts w:ascii="Palatino Linotype" w:eastAsia="Times New Roman" w:hAnsi="Palatino Linotype" w:cs="Times New Roman"/>
          <w:i/>
          <w:lang w:eastAsia="en-GB"/>
        </w:rPr>
        <w:t>JM (a graduate of the Institute of Archaeology, London) is Head of Buildings Archaeology Department at OA, with over 40 years</w:t>
      </w:r>
      <w:r>
        <w:rPr>
          <w:rFonts w:ascii="Palatino Linotype" w:eastAsia="Times New Roman" w:hAnsi="Palatino Linotype" w:cs="Times New Roman"/>
          <w:i/>
          <w:lang w:eastAsia="en-GB"/>
        </w:rPr>
        <w:t>’</w:t>
      </w:r>
      <w:r w:rsidRPr="00AF0F4E">
        <w:rPr>
          <w:rFonts w:ascii="Palatino Linotype" w:eastAsia="Times New Roman" w:hAnsi="Palatino Linotype" w:cs="Times New Roman"/>
          <w:i/>
          <w:lang w:eastAsia="en-GB"/>
        </w:rPr>
        <w:t xml:space="preserve"> experience of historic buildings and </w:t>
      </w:r>
      <w:r w:rsidR="00170A8E">
        <w:rPr>
          <w:rFonts w:ascii="Palatino Linotype" w:eastAsia="Times New Roman" w:hAnsi="Palatino Linotype" w:cs="Times New Roman"/>
          <w:i/>
          <w:lang w:eastAsia="en-GB"/>
        </w:rPr>
        <w:t>heritage matters</w:t>
      </w:r>
      <w:r w:rsidRPr="00AF0F4E">
        <w:rPr>
          <w:rFonts w:ascii="Palatino Linotype" w:eastAsia="Times New Roman" w:hAnsi="Palatino Linotype" w:cs="Times New Roman"/>
          <w:i/>
          <w:lang w:eastAsia="en-GB"/>
        </w:rPr>
        <w:t>. He has extensive knowledge of the survey and publication of buildings and landscapes, ranging from the medieval period to the 19</w:t>
      </w:r>
      <w:r w:rsidRPr="00AF0F4E">
        <w:rPr>
          <w:rFonts w:ascii="Palatino Linotype" w:eastAsia="Times New Roman" w:hAnsi="Palatino Linotype" w:cs="Times New Roman"/>
          <w:i/>
          <w:vertAlign w:val="superscript"/>
          <w:lang w:eastAsia="en-GB"/>
        </w:rPr>
        <w:t>th</w:t>
      </w:r>
      <w:r w:rsidRPr="00AF0F4E">
        <w:rPr>
          <w:rFonts w:ascii="Palatino Linotype" w:eastAsia="Times New Roman" w:hAnsi="Palatino Linotype" w:cs="Times New Roman"/>
          <w:i/>
          <w:lang w:eastAsia="en-GB"/>
        </w:rPr>
        <w:t xml:space="preserve"> century. He has worked at OA on </w:t>
      </w:r>
      <w:r w:rsidR="00170A8E">
        <w:rPr>
          <w:rFonts w:ascii="Palatino Linotype" w:eastAsia="Times New Roman" w:hAnsi="Palatino Linotype" w:cs="Times New Roman"/>
          <w:i/>
          <w:lang w:eastAsia="en-GB"/>
        </w:rPr>
        <w:t xml:space="preserve">heritage </w:t>
      </w:r>
      <w:r w:rsidRPr="00AF0F4E">
        <w:rPr>
          <w:rFonts w:ascii="Palatino Linotype" w:eastAsia="Times New Roman" w:hAnsi="Palatino Linotype" w:cs="Times New Roman"/>
          <w:i/>
          <w:lang w:eastAsia="en-GB"/>
        </w:rPr>
        <w:t xml:space="preserve">aspects of the assessment of High Speed Railways and other major infrastructure schemes, and has been involved in desktop studies on development impact studies for historic buildings and landscapes in the context of Environmental Assessment. </w:t>
      </w:r>
    </w:p>
    <w:p w14:paraId="40456FAE" w14:textId="77777777" w:rsidR="00AF0F4E" w:rsidRPr="00AF0F4E" w:rsidRDefault="00AF0F4E" w:rsidP="00AF0F4E">
      <w:pPr>
        <w:tabs>
          <w:tab w:val="left" w:pos="1077"/>
        </w:tabs>
        <w:spacing w:before="60" w:after="60" w:line="240" w:lineRule="auto"/>
        <w:outlineLvl w:val="2"/>
        <w:rPr>
          <w:rFonts w:ascii="Palatino Linotype" w:eastAsia="Times New Roman" w:hAnsi="Palatino Linotype" w:cs="Times New Roman"/>
          <w:i/>
          <w:lang w:eastAsia="en-GB"/>
        </w:rPr>
      </w:pPr>
      <w:r w:rsidRPr="00AF0F4E">
        <w:rPr>
          <w:rFonts w:ascii="Palatino Linotype" w:eastAsia="Times New Roman" w:hAnsi="Palatino Linotype" w:cs="Times New Roman"/>
          <w:i/>
          <w:lang w:eastAsia="en-GB"/>
        </w:rPr>
        <w:t>JM Has directed work for the National Trust on several properties including Osterley House and Chastleton, for the Historic Royal Palaces at Kensington Palace and the Tower of London, for English Heritage at Kenwood and Witley Court, and has surveyed monuments in Scotland, Ireland and the West Indies</w:t>
      </w:r>
    </w:p>
    <w:p w14:paraId="42DA3363" w14:textId="77777777" w:rsidR="00AF0F4E" w:rsidRPr="00AF0F4E" w:rsidRDefault="00AF0F4E" w:rsidP="00AF0F4E">
      <w:pPr>
        <w:tabs>
          <w:tab w:val="left" w:pos="1077"/>
        </w:tabs>
        <w:spacing w:before="60" w:after="60" w:line="240" w:lineRule="auto"/>
        <w:outlineLvl w:val="2"/>
        <w:rPr>
          <w:rFonts w:ascii="Palatino Linotype" w:eastAsia="Times New Roman" w:hAnsi="Palatino Linotype" w:cs="Times New Roman"/>
          <w:i/>
          <w:lang w:eastAsia="en-GB"/>
        </w:rPr>
      </w:pPr>
      <w:r w:rsidRPr="00AF0F4E">
        <w:rPr>
          <w:rFonts w:ascii="Palatino Linotype" w:eastAsia="Times New Roman" w:hAnsi="Palatino Linotype" w:cs="Times New Roman"/>
          <w:i/>
          <w:lang w:eastAsia="en-GB"/>
        </w:rPr>
        <w:t xml:space="preserve">JM has worked on Conservation Plans for the Tower of London, for English Heritage, at Audley End House and Osborne, on Framlingham and Orford castles, and at Portchester, Deal and Dover castles; for Lincolnshire County Council at Gainsborough Old Hall, and for the National Trust at Tyntesfield, Tattershall Castle and Knole; and for the Heritage Council Ireland on Kilkenny City Walls, and Athlone, Newtown Jerpoint, Carlingford and Fethard Town Walls.  Most recently he has worked on Conservation Plans for Leeds Castle (Kent), Knole, and Dover Castle. </w:t>
      </w:r>
    </w:p>
    <w:p w14:paraId="47F23A40" w14:textId="6BEF3848" w:rsidR="00AF0F4E" w:rsidRPr="00AF0F4E" w:rsidRDefault="00AF0F4E" w:rsidP="00AF0F4E">
      <w:pPr>
        <w:tabs>
          <w:tab w:val="left" w:pos="1077"/>
        </w:tabs>
        <w:spacing w:before="60" w:after="60" w:line="240" w:lineRule="auto"/>
        <w:outlineLvl w:val="2"/>
        <w:rPr>
          <w:rFonts w:ascii="Palatino Linotype" w:eastAsia="Times New Roman" w:hAnsi="Palatino Linotype" w:cs="Times New Roman"/>
          <w:lang w:eastAsia="en-GB"/>
        </w:rPr>
      </w:pPr>
      <w:r w:rsidRPr="00AF0F4E">
        <w:rPr>
          <w:rFonts w:ascii="Palatino Linotype" w:eastAsia="Times New Roman" w:hAnsi="Palatino Linotype" w:cs="Times New Roman"/>
          <w:i/>
          <w:lang w:eastAsia="en-GB"/>
        </w:rPr>
        <w:t>JM regularly gives advice on planning issues concerning historic buildings, sites and monuments, with regard to changes in the fabric and setting. He has appeared as an effective expert witness at Public Inquiries</w:t>
      </w:r>
      <w:r>
        <w:rPr>
          <w:rFonts w:ascii="Palatino Linotype" w:eastAsia="Times New Roman" w:hAnsi="Palatino Linotype" w:cs="Times New Roman"/>
          <w:i/>
          <w:lang w:eastAsia="en-GB"/>
        </w:rPr>
        <w:t xml:space="preserve"> on a broad range of planning concerns</w:t>
      </w:r>
      <w:r w:rsidRPr="00AF0F4E">
        <w:rPr>
          <w:rFonts w:ascii="Palatino Linotype" w:eastAsia="Times New Roman" w:hAnsi="Palatino Linotype" w:cs="Times New Roman"/>
          <w:i/>
          <w:lang w:eastAsia="en-GB"/>
        </w:rPr>
        <w:t>.</w:t>
      </w:r>
    </w:p>
    <w:p w14:paraId="5B5D5A80" w14:textId="77777777" w:rsidR="00DF6AF9" w:rsidRPr="009E1A9D" w:rsidRDefault="00DF6AF9">
      <w:pPr>
        <w:rPr>
          <w:rFonts w:ascii="Palatino Linotype" w:hAnsi="Palatino Linotype"/>
        </w:rPr>
      </w:pPr>
    </w:p>
    <w:sectPr w:rsidR="00DF6AF9" w:rsidRPr="009E1A9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AA64EA" w14:textId="77777777" w:rsidR="009A3C57" w:rsidRDefault="009A3C57" w:rsidP="00053198">
      <w:pPr>
        <w:spacing w:after="0" w:line="240" w:lineRule="auto"/>
      </w:pPr>
      <w:r>
        <w:separator/>
      </w:r>
    </w:p>
  </w:endnote>
  <w:endnote w:type="continuationSeparator" w:id="0">
    <w:p w14:paraId="79477B06" w14:textId="77777777" w:rsidR="009A3C57" w:rsidRDefault="009A3C57" w:rsidP="0005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528385"/>
      <w:docPartObj>
        <w:docPartGallery w:val="Page Numbers (Bottom of Page)"/>
        <w:docPartUnique/>
      </w:docPartObj>
    </w:sdtPr>
    <w:sdtEndPr>
      <w:rPr>
        <w:rFonts w:ascii="Palatino Linotype" w:hAnsi="Palatino Linotype"/>
        <w:noProof/>
      </w:rPr>
    </w:sdtEndPr>
    <w:sdtContent>
      <w:p w14:paraId="2D18EF9E" w14:textId="7EDEA0D0" w:rsidR="00053198" w:rsidRPr="00053198" w:rsidRDefault="00053198">
        <w:pPr>
          <w:pStyle w:val="Footer"/>
          <w:jc w:val="center"/>
          <w:rPr>
            <w:rFonts w:ascii="Palatino Linotype" w:hAnsi="Palatino Linotype"/>
          </w:rPr>
        </w:pPr>
        <w:r w:rsidRPr="00053198">
          <w:rPr>
            <w:rFonts w:ascii="Palatino Linotype" w:hAnsi="Palatino Linotype"/>
          </w:rPr>
          <w:fldChar w:fldCharType="begin"/>
        </w:r>
        <w:r w:rsidRPr="00053198">
          <w:rPr>
            <w:rFonts w:ascii="Palatino Linotype" w:hAnsi="Palatino Linotype"/>
          </w:rPr>
          <w:instrText xml:space="preserve"> PAGE   \* MERGEFORMAT </w:instrText>
        </w:r>
        <w:r w:rsidRPr="00053198">
          <w:rPr>
            <w:rFonts w:ascii="Palatino Linotype" w:hAnsi="Palatino Linotype"/>
          </w:rPr>
          <w:fldChar w:fldCharType="separate"/>
        </w:r>
        <w:r w:rsidR="0094190C">
          <w:rPr>
            <w:rFonts w:ascii="Palatino Linotype" w:hAnsi="Palatino Linotype"/>
            <w:noProof/>
          </w:rPr>
          <w:t>7</w:t>
        </w:r>
        <w:r w:rsidRPr="00053198">
          <w:rPr>
            <w:rFonts w:ascii="Palatino Linotype" w:hAnsi="Palatino Linotype"/>
            <w:noProof/>
          </w:rPr>
          <w:fldChar w:fldCharType="end"/>
        </w:r>
      </w:p>
    </w:sdtContent>
  </w:sdt>
  <w:p w14:paraId="34DF17BB" w14:textId="77777777" w:rsidR="00053198" w:rsidRDefault="000531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8BCFA0" w14:textId="77777777" w:rsidR="009A3C57" w:rsidRDefault="009A3C57" w:rsidP="00053198">
      <w:pPr>
        <w:spacing w:after="0" w:line="240" w:lineRule="auto"/>
      </w:pPr>
      <w:r>
        <w:separator/>
      </w:r>
    </w:p>
  </w:footnote>
  <w:footnote w:type="continuationSeparator" w:id="0">
    <w:p w14:paraId="46F97764" w14:textId="77777777" w:rsidR="009A3C57" w:rsidRDefault="009A3C57" w:rsidP="00053198">
      <w:pPr>
        <w:spacing w:after="0" w:line="240" w:lineRule="auto"/>
      </w:pPr>
      <w:r>
        <w:continuationSeparator/>
      </w:r>
    </w:p>
  </w:footnote>
  <w:footnote w:id="1">
    <w:p w14:paraId="51F3F60D" w14:textId="097531A4" w:rsidR="00DD0951" w:rsidRDefault="00DD0951" w:rsidP="00A25746">
      <w:pPr>
        <w:pStyle w:val="FootnoteText"/>
        <w:ind w:left="284" w:hanging="284"/>
      </w:pPr>
      <w:r>
        <w:rPr>
          <w:rStyle w:val="FootnoteReference"/>
        </w:rPr>
        <w:footnoteRef/>
      </w:r>
      <w:r>
        <w:t xml:space="preserve"> </w:t>
      </w:r>
      <w:r>
        <w:tab/>
      </w:r>
      <w:r>
        <w:rPr>
          <w:rFonts w:ascii="Palatino Linotype" w:hAnsi="Palatino Linotype"/>
        </w:rPr>
        <w:t xml:space="preserve">Described for convenience in this report as </w:t>
      </w:r>
      <w:r w:rsidR="00A25746">
        <w:rPr>
          <w:rFonts w:ascii="Palatino Linotype" w:hAnsi="Palatino Linotype"/>
        </w:rPr>
        <w:t xml:space="preserve">No. </w:t>
      </w:r>
      <w:r>
        <w:rPr>
          <w:rFonts w:ascii="Palatino Linotype" w:hAnsi="Palatino Linotype"/>
        </w:rPr>
        <w:t>26 at the north end and 26A in the centre, with No. 28 at the south end</w:t>
      </w:r>
    </w:p>
  </w:footnote>
  <w:footnote w:id="2">
    <w:p w14:paraId="7CA3A938" w14:textId="5E302C50" w:rsidR="00A25746" w:rsidRPr="00714E74" w:rsidRDefault="00A25746" w:rsidP="00A25746">
      <w:pPr>
        <w:pStyle w:val="FootnoteText"/>
        <w:ind w:left="426" w:hanging="426"/>
        <w:rPr>
          <w:rFonts w:ascii="Palatino Linotype" w:hAnsi="Palatino Linotype"/>
        </w:rPr>
      </w:pPr>
      <w:r w:rsidRPr="00714E74">
        <w:rPr>
          <w:rStyle w:val="FootnoteReference"/>
          <w:rFonts w:ascii="Palatino Linotype" w:hAnsi="Palatino Linotype"/>
        </w:rPr>
        <w:footnoteRef/>
      </w:r>
      <w:r w:rsidRPr="00714E74">
        <w:rPr>
          <w:rFonts w:ascii="Palatino Linotype" w:hAnsi="Palatino Linotype"/>
        </w:rPr>
        <w:t xml:space="preserve"> </w:t>
      </w:r>
      <w:r w:rsidRPr="00714E74">
        <w:rPr>
          <w:rFonts w:ascii="Palatino Linotype" w:hAnsi="Palatino Linotype"/>
        </w:rPr>
        <w:tab/>
        <w:t xml:space="preserve">The </w:t>
      </w:r>
      <w:r w:rsidR="0045750F">
        <w:rPr>
          <w:rFonts w:ascii="Palatino Linotype" w:hAnsi="Palatino Linotype"/>
        </w:rPr>
        <w:t xml:space="preserve">statutory </w:t>
      </w:r>
      <w:r w:rsidRPr="00714E74">
        <w:rPr>
          <w:rFonts w:ascii="Palatino Linotype" w:hAnsi="Palatino Linotype"/>
        </w:rPr>
        <w:t>listers might have noted the medieval timber window in the front wall, and with access to the rear could have seen the one surviving external post, but otherwise the age of the building</w:t>
      </w:r>
      <w:r w:rsidR="00714E74">
        <w:rPr>
          <w:rFonts w:ascii="Palatino Linotype" w:hAnsi="Palatino Linotype"/>
        </w:rPr>
        <w:t xml:space="preserve"> i</w:t>
      </w:r>
      <w:r w:rsidRPr="00714E74">
        <w:rPr>
          <w:rFonts w:ascii="Palatino Linotype" w:hAnsi="Palatino Linotype"/>
        </w:rPr>
        <w:t>s not immediately apparent externally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66BDC" w14:textId="399A1942" w:rsidR="0045750F" w:rsidRPr="0045750F" w:rsidRDefault="0045750F" w:rsidP="0045750F">
    <w:pPr>
      <w:pStyle w:val="Header"/>
      <w:rPr>
        <w:rFonts w:ascii="Palatino Linotype" w:hAnsi="Palatino Linotype"/>
        <w:i/>
        <w:sz w:val="20"/>
        <w:szCs w:val="20"/>
      </w:rPr>
    </w:pPr>
    <w:r>
      <w:rPr>
        <w:rFonts w:ascii="Palatino Linotype" w:hAnsi="Palatino Linotype"/>
        <w:i/>
        <w:sz w:val="20"/>
        <w:szCs w:val="20"/>
      </w:rPr>
      <w:t>Oxford Archaeology</w:t>
    </w:r>
    <w:r>
      <w:rPr>
        <w:rFonts w:ascii="Palatino Linotype" w:hAnsi="Palatino Linotype"/>
        <w:i/>
        <w:sz w:val="20"/>
        <w:szCs w:val="20"/>
      </w:rPr>
      <w:tab/>
    </w:r>
    <w:r>
      <w:rPr>
        <w:rFonts w:ascii="Palatino Linotype" w:hAnsi="Palatino Linotype"/>
        <w:i/>
        <w:sz w:val="20"/>
        <w:szCs w:val="20"/>
      </w:rPr>
      <w:tab/>
    </w:r>
    <w:r w:rsidRPr="0045750F">
      <w:rPr>
        <w:rFonts w:ascii="Palatino Linotype" w:hAnsi="Palatino Linotype"/>
        <w:sz w:val="20"/>
        <w:szCs w:val="20"/>
      </w:rPr>
      <w:t>26-28 Southampton Street, Reading</w:t>
    </w:r>
  </w:p>
  <w:p w14:paraId="14FD080D" w14:textId="77777777" w:rsidR="0045750F" w:rsidRDefault="004575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44A2F"/>
    <w:multiLevelType w:val="hybridMultilevel"/>
    <w:tmpl w:val="3F54E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95A87"/>
    <w:multiLevelType w:val="hybridMultilevel"/>
    <w:tmpl w:val="7576D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66711A"/>
    <w:multiLevelType w:val="multilevel"/>
    <w:tmpl w:val="8F868462"/>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rFonts w:ascii="Times New Roman Bold" w:hAnsi="Times New Roman Bold" w:hint="default"/>
        <w:b/>
        <w:i w:val="0"/>
        <w:sz w:val="22"/>
      </w:rPr>
    </w:lvl>
    <w:lvl w:ilvl="2">
      <w:start w:val="1"/>
      <w:numFmt w:val="decimal"/>
      <w:pStyle w:val="Heading3"/>
      <w:lvlText w:val="%1.%2.%3"/>
      <w:lvlJc w:val="left"/>
      <w:pPr>
        <w:tabs>
          <w:tab w:val="num" w:pos="720"/>
        </w:tabs>
        <w:ind w:left="720" w:hanging="720"/>
      </w:pPr>
      <w:rPr>
        <w:rFonts w:ascii="Times New Roman" w:hAnsi="Times New Roman" w:hint="default"/>
        <w:b w:val="0"/>
        <w:i w:val="0"/>
        <w:sz w:val="22"/>
      </w:r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 w15:restartNumberingAfterBreak="0">
    <w:nsid w:val="3D24412D"/>
    <w:multiLevelType w:val="hybridMultilevel"/>
    <w:tmpl w:val="1FE26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B33CC7"/>
    <w:multiLevelType w:val="hybridMultilevel"/>
    <w:tmpl w:val="DDA2481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C710E8E6-C461-460E-8A9B-13CAE294056F}"/>
    <w:docVar w:name="dgnword-eventsink" w:val="304548112"/>
  </w:docVars>
  <w:rsids>
    <w:rsidRoot w:val="00407BA8"/>
    <w:rsid w:val="00006358"/>
    <w:rsid w:val="000262DE"/>
    <w:rsid w:val="00043733"/>
    <w:rsid w:val="00053198"/>
    <w:rsid w:val="00054DED"/>
    <w:rsid w:val="0007730C"/>
    <w:rsid w:val="000F4654"/>
    <w:rsid w:val="001153DB"/>
    <w:rsid w:val="001253B2"/>
    <w:rsid w:val="0014459F"/>
    <w:rsid w:val="00156C0B"/>
    <w:rsid w:val="00170A8E"/>
    <w:rsid w:val="001859D2"/>
    <w:rsid w:val="00186191"/>
    <w:rsid w:val="001A3304"/>
    <w:rsid w:val="001B3CD6"/>
    <w:rsid w:val="001D7673"/>
    <w:rsid w:val="001E5E97"/>
    <w:rsid w:val="00213B3E"/>
    <w:rsid w:val="00230D11"/>
    <w:rsid w:val="00232098"/>
    <w:rsid w:val="00240BA7"/>
    <w:rsid w:val="002737B7"/>
    <w:rsid w:val="00292AB8"/>
    <w:rsid w:val="002E2F6B"/>
    <w:rsid w:val="00310971"/>
    <w:rsid w:val="00370657"/>
    <w:rsid w:val="003B70BE"/>
    <w:rsid w:val="004046F2"/>
    <w:rsid w:val="00407BA8"/>
    <w:rsid w:val="004101B8"/>
    <w:rsid w:val="00410480"/>
    <w:rsid w:val="00417298"/>
    <w:rsid w:val="0043720F"/>
    <w:rsid w:val="0045750F"/>
    <w:rsid w:val="00477BE6"/>
    <w:rsid w:val="004A099C"/>
    <w:rsid w:val="004A28A5"/>
    <w:rsid w:val="004B1FFE"/>
    <w:rsid w:val="004C1B6F"/>
    <w:rsid w:val="004E597E"/>
    <w:rsid w:val="004E71CA"/>
    <w:rsid w:val="005115C1"/>
    <w:rsid w:val="00512DB9"/>
    <w:rsid w:val="0051374D"/>
    <w:rsid w:val="005173E9"/>
    <w:rsid w:val="005407AF"/>
    <w:rsid w:val="00550B22"/>
    <w:rsid w:val="00562975"/>
    <w:rsid w:val="00563FC8"/>
    <w:rsid w:val="005722CE"/>
    <w:rsid w:val="005917F2"/>
    <w:rsid w:val="00594B27"/>
    <w:rsid w:val="005F7FBC"/>
    <w:rsid w:val="0060120E"/>
    <w:rsid w:val="006173DA"/>
    <w:rsid w:val="007030A6"/>
    <w:rsid w:val="00703557"/>
    <w:rsid w:val="00711853"/>
    <w:rsid w:val="00714E74"/>
    <w:rsid w:val="007226CD"/>
    <w:rsid w:val="00725FF2"/>
    <w:rsid w:val="00764C59"/>
    <w:rsid w:val="00796213"/>
    <w:rsid w:val="007B02A3"/>
    <w:rsid w:val="007B4943"/>
    <w:rsid w:val="007B5F32"/>
    <w:rsid w:val="00816503"/>
    <w:rsid w:val="00850DBF"/>
    <w:rsid w:val="00852992"/>
    <w:rsid w:val="00876753"/>
    <w:rsid w:val="008B0F7C"/>
    <w:rsid w:val="008C0CE4"/>
    <w:rsid w:val="008C60ED"/>
    <w:rsid w:val="00902CC1"/>
    <w:rsid w:val="00934232"/>
    <w:rsid w:val="0094190C"/>
    <w:rsid w:val="00941BF5"/>
    <w:rsid w:val="00957D50"/>
    <w:rsid w:val="009A3C57"/>
    <w:rsid w:val="009B6A36"/>
    <w:rsid w:val="009C6343"/>
    <w:rsid w:val="009D76AE"/>
    <w:rsid w:val="009E1A9D"/>
    <w:rsid w:val="009E2417"/>
    <w:rsid w:val="009E4467"/>
    <w:rsid w:val="00A00DF9"/>
    <w:rsid w:val="00A16181"/>
    <w:rsid w:val="00A25746"/>
    <w:rsid w:val="00A5740B"/>
    <w:rsid w:val="00A91DD2"/>
    <w:rsid w:val="00AE1A27"/>
    <w:rsid w:val="00AE3AF8"/>
    <w:rsid w:val="00AF0F4E"/>
    <w:rsid w:val="00B12E90"/>
    <w:rsid w:val="00B23109"/>
    <w:rsid w:val="00B4169C"/>
    <w:rsid w:val="00B443FB"/>
    <w:rsid w:val="00B72A94"/>
    <w:rsid w:val="00B74943"/>
    <w:rsid w:val="00BA30C2"/>
    <w:rsid w:val="00BA629D"/>
    <w:rsid w:val="00BC2759"/>
    <w:rsid w:val="00BD6F74"/>
    <w:rsid w:val="00C078B4"/>
    <w:rsid w:val="00C17CBB"/>
    <w:rsid w:val="00C22B67"/>
    <w:rsid w:val="00C449F3"/>
    <w:rsid w:val="00C52F0E"/>
    <w:rsid w:val="00C83A59"/>
    <w:rsid w:val="00CD1CA9"/>
    <w:rsid w:val="00D56769"/>
    <w:rsid w:val="00D6471E"/>
    <w:rsid w:val="00DD0951"/>
    <w:rsid w:val="00DE337C"/>
    <w:rsid w:val="00DF291B"/>
    <w:rsid w:val="00DF6AF9"/>
    <w:rsid w:val="00E06201"/>
    <w:rsid w:val="00E20ED4"/>
    <w:rsid w:val="00E326CB"/>
    <w:rsid w:val="00E54DCB"/>
    <w:rsid w:val="00E81AF4"/>
    <w:rsid w:val="00E86CAD"/>
    <w:rsid w:val="00EE17F7"/>
    <w:rsid w:val="00F31E84"/>
    <w:rsid w:val="00F67BC1"/>
    <w:rsid w:val="00F81477"/>
    <w:rsid w:val="00F9516D"/>
    <w:rsid w:val="00FC3F35"/>
    <w:rsid w:val="00FE6DED"/>
    <w:rsid w:val="00FE7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293BF"/>
  <w15:chartTrackingRefBased/>
  <w15:docId w15:val="{52ECF90D-875B-45D7-A6A1-C24EC038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TITLE 1,Chapters,grey,for contents page,L1,Heading 1 Char1,Heading 1 Char Char,Heading 1 Char2,Heading 1 Char1 Char,Heading 1 Char Char Char,Heading 1 Char Char1,Heading 1 Char1 Char Char,Heading 1 Char Char Char Char,Chapter Heading,heading 1"/>
    <w:basedOn w:val="Normal"/>
    <w:next w:val="Heading2"/>
    <w:link w:val="Heading1Char"/>
    <w:qFormat/>
    <w:rsid w:val="00AF0F4E"/>
    <w:pPr>
      <w:keepNext/>
      <w:numPr>
        <w:numId w:val="5"/>
      </w:numPr>
      <w:spacing w:before="360" w:after="60" w:line="240" w:lineRule="auto"/>
      <w:jc w:val="both"/>
      <w:outlineLvl w:val="0"/>
    </w:pPr>
    <w:rPr>
      <w:rFonts w:ascii="Times New Roman Bold" w:eastAsia="Times New Roman" w:hAnsi="Times New Roman Bold" w:cs="Times New Roman"/>
      <w:b/>
      <w:smallCaps/>
      <w:kern w:val="28"/>
      <w:szCs w:val="20"/>
      <w:lang w:eastAsia="en-GB"/>
    </w:rPr>
  </w:style>
  <w:style w:type="paragraph" w:styleId="Heading2">
    <w:name w:val="heading 2"/>
    <w:aliases w:val="Section,TITLE 2,Sections,Subsection,L2,textbit,h2,Level 2,Heading 2 AGT ESIA,DNV-H2,RSKH2,carter ecological heading 2,Heading 2 Char Char Char Char,Heading 2 Char Char,Heading 2 Char Char Char,Paragraph,Oscar Faber 2,title 2,Title Level 2,2"/>
    <w:basedOn w:val="Normal"/>
    <w:next w:val="Heading3"/>
    <w:link w:val="Heading2Char"/>
    <w:qFormat/>
    <w:rsid w:val="00AF0F4E"/>
    <w:pPr>
      <w:numPr>
        <w:ilvl w:val="1"/>
        <w:numId w:val="5"/>
      </w:numPr>
      <w:tabs>
        <w:tab w:val="left" w:pos="0"/>
      </w:tabs>
      <w:spacing w:before="240" w:after="60" w:line="240" w:lineRule="auto"/>
      <w:jc w:val="both"/>
      <w:outlineLvl w:val="1"/>
    </w:pPr>
    <w:rPr>
      <w:rFonts w:ascii="Times New Roman Bold" w:eastAsia="Times New Roman" w:hAnsi="Times New Roman Bold" w:cs="Times New Roman"/>
      <w:szCs w:val="20"/>
      <w:lang w:eastAsia="en-GB"/>
    </w:rPr>
  </w:style>
  <w:style w:type="paragraph" w:styleId="Heading3">
    <w:name w:val="heading 3"/>
    <w:aliases w:val="Body text,Normal 3,Text,TITLE 3,Heading 3 numbered text,main text,L3,Heading 3 Christine,subsection,Do Not Use 3,Sub heading for each content,(Numpara),- (Paragraph Text - numbered),Main text,Level 3,Report 3,bold italic,CES Heading 3,Minor,H3"/>
    <w:basedOn w:val="Normal"/>
    <w:link w:val="Heading3Char"/>
    <w:qFormat/>
    <w:rsid w:val="00AF0F4E"/>
    <w:pPr>
      <w:numPr>
        <w:ilvl w:val="2"/>
        <w:numId w:val="5"/>
      </w:numPr>
      <w:tabs>
        <w:tab w:val="left" w:pos="1077"/>
      </w:tabs>
      <w:spacing w:before="60" w:after="60" w:line="240" w:lineRule="auto"/>
      <w:outlineLvl w:val="2"/>
    </w:pPr>
    <w:rPr>
      <w:rFonts w:ascii="Times New Roman" w:eastAsia="Times New Roman" w:hAnsi="Times New Roman" w:cs="Times New Roman"/>
      <w:szCs w:val="20"/>
      <w:lang w:eastAsia="en-GB"/>
    </w:rPr>
  </w:style>
  <w:style w:type="paragraph" w:styleId="Heading5">
    <w:name w:val="heading 5"/>
    <w:aliases w:val="before/after OAU bullet,Heading 5/4,bullets,Do Not Use 5,TITLE 4,Sub-heading 3,h5, Char Char Char Char, Char, Char Char Char, Char Char Char Char Char Char Char Char Char Char,Char Char,Char,Char Char Char Char,Char Char Char,TITLE ,TITLE"/>
    <w:basedOn w:val="Normal"/>
    <w:next w:val="Normal"/>
    <w:link w:val="Heading5Char"/>
    <w:qFormat/>
    <w:rsid w:val="00AF0F4E"/>
    <w:pPr>
      <w:numPr>
        <w:ilvl w:val="4"/>
        <w:numId w:val="5"/>
      </w:numPr>
      <w:spacing w:before="240" w:after="60" w:line="240" w:lineRule="auto"/>
      <w:jc w:val="both"/>
      <w:outlineLvl w:val="4"/>
    </w:pPr>
    <w:rPr>
      <w:rFonts w:ascii="Times New Roman" w:eastAsia="Times New Roman" w:hAnsi="Times New Roman" w:cs="Times New Roman"/>
      <w:szCs w:val="20"/>
      <w:lang w:eastAsia="en-GB"/>
    </w:rPr>
  </w:style>
  <w:style w:type="paragraph" w:styleId="Heading6">
    <w:name w:val="heading 6"/>
    <w:aliases w:val="Do Not Use 6,TITLE 5,. (a.),Lev 6"/>
    <w:basedOn w:val="Normal"/>
    <w:next w:val="Normal"/>
    <w:link w:val="Heading6Char"/>
    <w:qFormat/>
    <w:rsid w:val="00AF0F4E"/>
    <w:pPr>
      <w:numPr>
        <w:ilvl w:val="5"/>
        <w:numId w:val="5"/>
      </w:numPr>
      <w:spacing w:before="240" w:after="60" w:line="240" w:lineRule="auto"/>
      <w:jc w:val="both"/>
      <w:outlineLvl w:val="5"/>
    </w:pPr>
    <w:rPr>
      <w:rFonts w:ascii="Times New Roman" w:eastAsia="Times New Roman" w:hAnsi="Times New Roman" w:cs="Times New Roman"/>
      <w:i/>
      <w:szCs w:val="20"/>
      <w:lang w:eastAsia="en-GB"/>
    </w:rPr>
  </w:style>
  <w:style w:type="paragraph" w:styleId="Heading7">
    <w:name w:val="heading 7"/>
    <w:aliases w:val="Do Not Use 7,Ignore,. [(1)]"/>
    <w:basedOn w:val="Normal"/>
    <w:next w:val="Normal"/>
    <w:link w:val="Heading7Char"/>
    <w:qFormat/>
    <w:rsid w:val="00AF0F4E"/>
    <w:pPr>
      <w:numPr>
        <w:ilvl w:val="6"/>
        <w:numId w:val="5"/>
      </w:numPr>
      <w:spacing w:before="240" w:after="60" w:line="240" w:lineRule="auto"/>
      <w:jc w:val="both"/>
      <w:outlineLvl w:val="6"/>
    </w:pPr>
    <w:rPr>
      <w:rFonts w:ascii="Arial" w:eastAsia="Times New Roman" w:hAnsi="Arial" w:cs="Times New Roman"/>
      <w:szCs w:val="20"/>
      <w:lang w:eastAsia="en-GB"/>
    </w:rPr>
  </w:style>
  <w:style w:type="paragraph" w:styleId="Heading8">
    <w:name w:val="heading 8"/>
    <w:aliases w:val="Do Not Use 8"/>
    <w:basedOn w:val="Normal"/>
    <w:next w:val="Normal"/>
    <w:link w:val="Heading8Char"/>
    <w:qFormat/>
    <w:rsid w:val="00AF0F4E"/>
    <w:pPr>
      <w:numPr>
        <w:ilvl w:val="7"/>
        <w:numId w:val="5"/>
      </w:numPr>
      <w:spacing w:before="240" w:after="60" w:line="240" w:lineRule="auto"/>
      <w:jc w:val="both"/>
      <w:outlineLvl w:val="7"/>
    </w:pPr>
    <w:rPr>
      <w:rFonts w:ascii="Arial" w:eastAsia="Times New Roman" w:hAnsi="Arial" w:cs="Times New Roman"/>
      <w:i/>
      <w:szCs w:val="20"/>
      <w:lang w:eastAsia="en-GB"/>
    </w:rPr>
  </w:style>
  <w:style w:type="paragraph" w:styleId="Heading9">
    <w:name w:val="heading 9"/>
    <w:aliases w:val="Do Not Use 9,Table header,Table header1,Table header2,Table header11,Table header3,Table header12,. [(iii)]"/>
    <w:basedOn w:val="Normal"/>
    <w:next w:val="Normal"/>
    <w:link w:val="Heading9Char"/>
    <w:qFormat/>
    <w:rsid w:val="00AF0F4E"/>
    <w:pPr>
      <w:numPr>
        <w:ilvl w:val="8"/>
        <w:numId w:val="5"/>
      </w:numPr>
      <w:spacing w:before="240" w:after="60" w:line="240" w:lineRule="auto"/>
      <w:jc w:val="both"/>
      <w:outlineLvl w:val="8"/>
    </w:pPr>
    <w:rPr>
      <w:rFonts w:ascii="Arial" w:eastAsia="Times New Roman" w:hAnsi="Arial" w:cs="Times New Roman"/>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47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1E"/>
    <w:rPr>
      <w:rFonts w:ascii="Segoe UI" w:hAnsi="Segoe UI" w:cs="Segoe UI"/>
      <w:sz w:val="18"/>
      <w:szCs w:val="18"/>
    </w:rPr>
  </w:style>
  <w:style w:type="paragraph" w:styleId="BodyText">
    <w:name w:val="Body Text"/>
    <w:basedOn w:val="Normal"/>
    <w:link w:val="BodyTextChar"/>
    <w:semiHidden/>
    <w:unhideWhenUsed/>
    <w:rsid w:val="009D76AE"/>
    <w:pPr>
      <w:spacing w:after="220" w:line="180" w:lineRule="atLeast"/>
      <w:ind w:left="835"/>
    </w:pPr>
    <w:rPr>
      <w:rFonts w:ascii="Arial" w:eastAsia="Times New Roman" w:hAnsi="Arial" w:cs="Times New Roman"/>
      <w:spacing w:val="-5"/>
      <w:sz w:val="20"/>
      <w:szCs w:val="20"/>
      <w:lang w:val="en-US"/>
    </w:rPr>
  </w:style>
  <w:style w:type="character" w:customStyle="1" w:styleId="BodyTextChar">
    <w:name w:val="Body Text Char"/>
    <w:basedOn w:val="DefaultParagraphFont"/>
    <w:link w:val="BodyText"/>
    <w:semiHidden/>
    <w:rsid w:val="009D76AE"/>
    <w:rPr>
      <w:rFonts w:ascii="Arial" w:eastAsia="Times New Roman" w:hAnsi="Arial" w:cs="Times New Roman"/>
      <w:spacing w:val="-5"/>
      <w:sz w:val="20"/>
      <w:szCs w:val="20"/>
      <w:lang w:val="en-US"/>
    </w:rPr>
  </w:style>
  <w:style w:type="character" w:styleId="Emphasis">
    <w:name w:val="Emphasis"/>
    <w:basedOn w:val="DefaultParagraphFont"/>
    <w:qFormat/>
    <w:rsid w:val="009D76AE"/>
    <w:rPr>
      <w:i/>
      <w:iCs/>
    </w:rPr>
  </w:style>
  <w:style w:type="paragraph" w:styleId="ListParagraph">
    <w:name w:val="List Paragraph"/>
    <w:basedOn w:val="Normal"/>
    <w:uiPriority w:val="34"/>
    <w:qFormat/>
    <w:rsid w:val="00850DBF"/>
    <w:pPr>
      <w:ind w:left="720"/>
      <w:contextualSpacing/>
    </w:pPr>
  </w:style>
  <w:style w:type="paragraph" w:styleId="Header">
    <w:name w:val="header"/>
    <w:basedOn w:val="Normal"/>
    <w:link w:val="HeaderChar"/>
    <w:uiPriority w:val="99"/>
    <w:unhideWhenUsed/>
    <w:rsid w:val="00053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198"/>
  </w:style>
  <w:style w:type="paragraph" w:styleId="Footer">
    <w:name w:val="footer"/>
    <w:basedOn w:val="Normal"/>
    <w:link w:val="FooterChar"/>
    <w:unhideWhenUsed/>
    <w:rsid w:val="00053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198"/>
  </w:style>
  <w:style w:type="character" w:customStyle="1" w:styleId="Heading1Char">
    <w:name w:val="Heading 1 Char"/>
    <w:aliases w:val="TITLE 1 Char,Chapters Char,grey Char,for contents page Char,L1 Char,Heading 1 Char1 Char1,Heading 1 Char Char Char1,Heading 1 Char2 Char,Heading 1 Char1 Char Char1,Heading 1 Char Char Char Char1,Heading 1 Char Char1 Char,heading 1 Char"/>
    <w:basedOn w:val="DefaultParagraphFont"/>
    <w:link w:val="Heading1"/>
    <w:rsid w:val="00AF0F4E"/>
    <w:rPr>
      <w:rFonts w:ascii="Times New Roman Bold" w:eastAsia="Times New Roman" w:hAnsi="Times New Roman Bold" w:cs="Times New Roman"/>
      <w:b/>
      <w:smallCaps/>
      <w:kern w:val="28"/>
      <w:szCs w:val="20"/>
      <w:lang w:eastAsia="en-GB"/>
    </w:rPr>
  </w:style>
  <w:style w:type="character" w:customStyle="1" w:styleId="Heading2Char">
    <w:name w:val="Heading 2 Char"/>
    <w:aliases w:val="Section Char,TITLE 2 Char,Sections Char,Subsection Char,L2 Char,textbit Char,h2 Char,Level 2 Char,Heading 2 AGT ESIA Char,DNV-H2 Char,RSKH2 Char,carter ecological heading 2 Char,Heading 2 Char Char Char Char Char,Heading 2 Char Char Char1"/>
    <w:basedOn w:val="DefaultParagraphFont"/>
    <w:link w:val="Heading2"/>
    <w:rsid w:val="00AF0F4E"/>
    <w:rPr>
      <w:rFonts w:ascii="Times New Roman Bold" w:eastAsia="Times New Roman" w:hAnsi="Times New Roman Bold" w:cs="Times New Roman"/>
      <w:szCs w:val="20"/>
      <w:lang w:eastAsia="en-GB"/>
    </w:rPr>
  </w:style>
  <w:style w:type="character" w:customStyle="1" w:styleId="Heading3Char">
    <w:name w:val="Heading 3 Char"/>
    <w:aliases w:val="Body text Char,Normal 3 Char,Text Char,TITLE 3 Char,Heading 3 numbered text Char,main text Char,L3 Char,Heading 3 Christine Char,subsection Char,Do Not Use 3 Char,Sub heading for each content Char,(Numpara) Char,Main text Char,Minor Char"/>
    <w:basedOn w:val="DefaultParagraphFont"/>
    <w:link w:val="Heading3"/>
    <w:rsid w:val="00AF0F4E"/>
    <w:rPr>
      <w:rFonts w:ascii="Times New Roman" w:eastAsia="Times New Roman" w:hAnsi="Times New Roman" w:cs="Times New Roman"/>
      <w:szCs w:val="20"/>
      <w:lang w:eastAsia="en-GB"/>
    </w:rPr>
  </w:style>
  <w:style w:type="character" w:customStyle="1" w:styleId="Heading5Char">
    <w:name w:val="Heading 5 Char"/>
    <w:aliases w:val="before/after OAU bullet Char,Heading 5/4 Char,bullets Char,Do Not Use 5 Char,TITLE 4 Char,Sub-heading 3 Char,h5 Char, Char Char Char Char Char, Char Char, Char Char Char Char1, Char Char Char Char Char Char Char Char Char Char Char"/>
    <w:basedOn w:val="DefaultParagraphFont"/>
    <w:link w:val="Heading5"/>
    <w:rsid w:val="00AF0F4E"/>
    <w:rPr>
      <w:rFonts w:ascii="Times New Roman" w:eastAsia="Times New Roman" w:hAnsi="Times New Roman" w:cs="Times New Roman"/>
      <w:szCs w:val="20"/>
      <w:lang w:eastAsia="en-GB"/>
    </w:rPr>
  </w:style>
  <w:style w:type="character" w:customStyle="1" w:styleId="Heading6Char">
    <w:name w:val="Heading 6 Char"/>
    <w:aliases w:val="Do Not Use 6 Char,TITLE 5 Char,. (a.) Char,Lev 6 Char"/>
    <w:basedOn w:val="DefaultParagraphFont"/>
    <w:link w:val="Heading6"/>
    <w:rsid w:val="00AF0F4E"/>
    <w:rPr>
      <w:rFonts w:ascii="Times New Roman" w:eastAsia="Times New Roman" w:hAnsi="Times New Roman" w:cs="Times New Roman"/>
      <w:i/>
      <w:szCs w:val="20"/>
      <w:lang w:eastAsia="en-GB"/>
    </w:rPr>
  </w:style>
  <w:style w:type="character" w:customStyle="1" w:styleId="Heading7Char">
    <w:name w:val="Heading 7 Char"/>
    <w:aliases w:val="Do Not Use 7 Char,Ignore Char,. [(1)] Char"/>
    <w:basedOn w:val="DefaultParagraphFont"/>
    <w:link w:val="Heading7"/>
    <w:rsid w:val="00AF0F4E"/>
    <w:rPr>
      <w:rFonts w:ascii="Arial" w:eastAsia="Times New Roman" w:hAnsi="Arial" w:cs="Times New Roman"/>
      <w:szCs w:val="20"/>
      <w:lang w:eastAsia="en-GB"/>
    </w:rPr>
  </w:style>
  <w:style w:type="character" w:customStyle="1" w:styleId="Heading8Char">
    <w:name w:val="Heading 8 Char"/>
    <w:aliases w:val="Do Not Use 8 Char"/>
    <w:basedOn w:val="DefaultParagraphFont"/>
    <w:link w:val="Heading8"/>
    <w:rsid w:val="00AF0F4E"/>
    <w:rPr>
      <w:rFonts w:ascii="Arial" w:eastAsia="Times New Roman" w:hAnsi="Arial" w:cs="Times New Roman"/>
      <w:i/>
      <w:szCs w:val="20"/>
      <w:lang w:eastAsia="en-GB"/>
    </w:rPr>
  </w:style>
  <w:style w:type="character" w:customStyle="1" w:styleId="Heading9Char">
    <w:name w:val="Heading 9 Char"/>
    <w:aliases w:val="Do Not Use 9 Char,Table header Char,Table header1 Char,Table header2 Char,Table header11 Char,Table header3 Char,Table header12 Char,. [(iii)] Char"/>
    <w:basedOn w:val="DefaultParagraphFont"/>
    <w:link w:val="Heading9"/>
    <w:rsid w:val="00AF0F4E"/>
    <w:rPr>
      <w:rFonts w:ascii="Arial" w:eastAsia="Times New Roman" w:hAnsi="Arial" w:cs="Times New Roman"/>
      <w:b/>
      <w:i/>
      <w:sz w:val="18"/>
      <w:szCs w:val="20"/>
      <w:lang w:eastAsia="en-GB"/>
    </w:rPr>
  </w:style>
  <w:style w:type="character" w:styleId="CommentReference">
    <w:name w:val="annotation reference"/>
    <w:basedOn w:val="DefaultParagraphFont"/>
    <w:uiPriority w:val="99"/>
    <w:semiHidden/>
    <w:unhideWhenUsed/>
    <w:rsid w:val="0060120E"/>
    <w:rPr>
      <w:sz w:val="16"/>
      <w:szCs w:val="16"/>
    </w:rPr>
  </w:style>
  <w:style w:type="paragraph" w:styleId="CommentText">
    <w:name w:val="annotation text"/>
    <w:basedOn w:val="Normal"/>
    <w:link w:val="CommentTextChar"/>
    <w:uiPriority w:val="99"/>
    <w:semiHidden/>
    <w:unhideWhenUsed/>
    <w:rsid w:val="0060120E"/>
    <w:pPr>
      <w:spacing w:line="240" w:lineRule="auto"/>
    </w:pPr>
    <w:rPr>
      <w:sz w:val="20"/>
      <w:szCs w:val="20"/>
    </w:rPr>
  </w:style>
  <w:style w:type="character" w:customStyle="1" w:styleId="CommentTextChar">
    <w:name w:val="Comment Text Char"/>
    <w:basedOn w:val="DefaultParagraphFont"/>
    <w:link w:val="CommentText"/>
    <w:uiPriority w:val="99"/>
    <w:semiHidden/>
    <w:rsid w:val="0060120E"/>
    <w:rPr>
      <w:sz w:val="20"/>
      <w:szCs w:val="20"/>
    </w:rPr>
  </w:style>
  <w:style w:type="paragraph" w:styleId="CommentSubject">
    <w:name w:val="annotation subject"/>
    <w:basedOn w:val="CommentText"/>
    <w:next w:val="CommentText"/>
    <w:link w:val="CommentSubjectChar"/>
    <w:uiPriority w:val="99"/>
    <w:semiHidden/>
    <w:unhideWhenUsed/>
    <w:rsid w:val="0060120E"/>
    <w:rPr>
      <w:b/>
      <w:bCs/>
    </w:rPr>
  </w:style>
  <w:style w:type="character" w:customStyle="1" w:styleId="CommentSubjectChar">
    <w:name w:val="Comment Subject Char"/>
    <w:basedOn w:val="CommentTextChar"/>
    <w:link w:val="CommentSubject"/>
    <w:uiPriority w:val="99"/>
    <w:semiHidden/>
    <w:rsid w:val="0060120E"/>
    <w:rPr>
      <w:b/>
      <w:bCs/>
      <w:sz w:val="20"/>
      <w:szCs w:val="20"/>
    </w:rPr>
  </w:style>
  <w:style w:type="paragraph" w:styleId="FootnoteText">
    <w:name w:val="footnote text"/>
    <w:basedOn w:val="Normal"/>
    <w:link w:val="FootnoteTextChar"/>
    <w:uiPriority w:val="99"/>
    <w:semiHidden/>
    <w:unhideWhenUsed/>
    <w:rsid w:val="00DD09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0951"/>
    <w:rPr>
      <w:sz w:val="20"/>
      <w:szCs w:val="20"/>
    </w:rPr>
  </w:style>
  <w:style w:type="character" w:styleId="FootnoteReference">
    <w:name w:val="footnote reference"/>
    <w:basedOn w:val="DefaultParagraphFont"/>
    <w:uiPriority w:val="99"/>
    <w:semiHidden/>
    <w:unhideWhenUsed/>
    <w:rsid w:val="00DD0951"/>
    <w:rPr>
      <w:vertAlign w:val="superscript"/>
    </w:rPr>
  </w:style>
  <w:style w:type="paragraph" w:styleId="NormalWeb">
    <w:name w:val="Normal (Web)"/>
    <w:basedOn w:val="Normal"/>
    <w:uiPriority w:val="99"/>
    <w:semiHidden/>
    <w:unhideWhenUsed/>
    <w:rsid w:val="00594B2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048686">
      <w:bodyDiv w:val="1"/>
      <w:marLeft w:val="0"/>
      <w:marRight w:val="0"/>
      <w:marTop w:val="0"/>
      <w:marBottom w:val="0"/>
      <w:divBdr>
        <w:top w:val="none" w:sz="0" w:space="0" w:color="auto"/>
        <w:left w:val="none" w:sz="0" w:space="0" w:color="auto"/>
        <w:bottom w:val="none" w:sz="0" w:space="0" w:color="auto"/>
        <w:right w:val="none" w:sz="0" w:space="0" w:color="auto"/>
      </w:divBdr>
      <w:divsChild>
        <w:div w:id="1536383869">
          <w:marLeft w:val="0"/>
          <w:marRight w:val="0"/>
          <w:marTop w:val="0"/>
          <w:marBottom w:val="0"/>
          <w:divBdr>
            <w:top w:val="none" w:sz="0" w:space="0" w:color="auto"/>
            <w:left w:val="none" w:sz="0" w:space="0" w:color="auto"/>
            <w:bottom w:val="none" w:sz="0" w:space="0" w:color="auto"/>
            <w:right w:val="none" w:sz="0" w:space="0" w:color="auto"/>
          </w:divBdr>
        </w:div>
        <w:div w:id="1599368270">
          <w:marLeft w:val="0"/>
          <w:marRight w:val="0"/>
          <w:marTop w:val="0"/>
          <w:marBottom w:val="0"/>
          <w:divBdr>
            <w:top w:val="none" w:sz="0" w:space="0" w:color="auto"/>
            <w:left w:val="none" w:sz="0" w:space="0" w:color="auto"/>
            <w:bottom w:val="none" w:sz="0" w:space="0" w:color="auto"/>
            <w:right w:val="none" w:sz="0" w:space="0" w:color="auto"/>
          </w:divBdr>
        </w:div>
        <w:div w:id="473186288">
          <w:marLeft w:val="0"/>
          <w:marRight w:val="0"/>
          <w:marTop w:val="0"/>
          <w:marBottom w:val="0"/>
          <w:divBdr>
            <w:top w:val="none" w:sz="0" w:space="0" w:color="auto"/>
            <w:left w:val="none" w:sz="0" w:space="0" w:color="auto"/>
            <w:bottom w:val="none" w:sz="0" w:space="0" w:color="auto"/>
            <w:right w:val="none" w:sz="0" w:space="0" w:color="auto"/>
          </w:divBdr>
        </w:div>
        <w:div w:id="2024431903">
          <w:marLeft w:val="0"/>
          <w:marRight w:val="0"/>
          <w:marTop w:val="0"/>
          <w:marBottom w:val="0"/>
          <w:divBdr>
            <w:top w:val="none" w:sz="0" w:space="0" w:color="auto"/>
            <w:left w:val="none" w:sz="0" w:space="0" w:color="auto"/>
            <w:bottom w:val="none" w:sz="0" w:space="0" w:color="auto"/>
            <w:right w:val="none" w:sz="0" w:space="0" w:color="auto"/>
          </w:divBdr>
        </w:div>
        <w:div w:id="396562268">
          <w:marLeft w:val="0"/>
          <w:marRight w:val="0"/>
          <w:marTop w:val="0"/>
          <w:marBottom w:val="0"/>
          <w:divBdr>
            <w:top w:val="none" w:sz="0" w:space="0" w:color="auto"/>
            <w:left w:val="none" w:sz="0" w:space="0" w:color="auto"/>
            <w:bottom w:val="none" w:sz="0" w:space="0" w:color="auto"/>
            <w:right w:val="none" w:sz="0" w:space="0" w:color="auto"/>
          </w:divBdr>
        </w:div>
        <w:div w:id="1400980047">
          <w:marLeft w:val="0"/>
          <w:marRight w:val="0"/>
          <w:marTop w:val="0"/>
          <w:marBottom w:val="0"/>
          <w:divBdr>
            <w:top w:val="none" w:sz="0" w:space="0" w:color="auto"/>
            <w:left w:val="none" w:sz="0" w:space="0" w:color="auto"/>
            <w:bottom w:val="none" w:sz="0" w:space="0" w:color="auto"/>
            <w:right w:val="none" w:sz="0" w:space="0" w:color="auto"/>
          </w:divBdr>
        </w:div>
        <w:div w:id="1660841368">
          <w:marLeft w:val="0"/>
          <w:marRight w:val="0"/>
          <w:marTop w:val="0"/>
          <w:marBottom w:val="0"/>
          <w:divBdr>
            <w:top w:val="none" w:sz="0" w:space="0" w:color="auto"/>
            <w:left w:val="none" w:sz="0" w:space="0" w:color="auto"/>
            <w:bottom w:val="none" w:sz="0" w:space="0" w:color="auto"/>
            <w:right w:val="none" w:sz="0" w:space="0" w:color="auto"/>
          </w:divBdr>
        </w:div>
      </w:divsChild>
    </w:div>
    <w:div w:id="433476491">
      <w:bodyDiv w:val="1"/>
      <w:marLeft w:val="0"/>
      <w:marRight w:val="0"/>
      <w:marTop w:val="0"/>
      <w:marBottom w:val="0"/>
      <w:divBdr>
        <w:top w:val="none" w:sz="0" w:space="0" w:color="auto"/>
        <w:left w:val="none" w:sz="0" w:space="0" w:color="auto"/>
        <w:bottom w:val="none" w:sz="0" w:space="0" w:color="auto"/>
        <w:right w:val="none" w:sz="0" w:space="0" w:color="auto"/>
      </w:divBdr>
    </w:div>
    <w:div w:id="684789642">
      <w:bodyDiv w:val="1"/>
      <w:marLeft w:val="0"/>
      <w:marRight w:val="0"/>
      <w:marTop w:val="0"/>
      <w:marBottom w:val="0"/>
      <w:divBdr>
        <w:top w:val="none" w:sz="0" w:space="0" w:color="auto"/>
        <w:left w:val="none" w:sz="0" w:space="0" w:color="auto"/>
        <w:bottom w:val="none" w:sz="0" w:space="0" w:color="auto"/>
        <w:right w:val="none" w:sz="0" w:space="0" w:color="auto"/>
      </w:divBdr>
    </w:div>
    <w:div w:id="1035811639">
      <w:bodyDiv w:val="1"/>
      <w:marLeft w:val="0"/>
      <w:marRight w:val="0"/>
      <w:marTop w:val="0"/>
      <w:marBottom w:val="0"/>
      <w:divBdr>
        <w:top w:val="none" w:sz="0" w:space="0" w:color="auto"/>
        <w:left w:val="none" w:sz="0" w:space="0" w:color="auto"/>
        <w:bottom w:val="none" w:sz="0" w:space="0" w:color="auto"/>
        <w:right w:val="none" w:sz="0" w:space="0" w:color="auto"/>
      </w:divBdr>
    </w:div>
    <w:div w:id="1274904288">
      <w:bodyDiv w:val="1"/>
      <w:marLeft w:val="0"/>
      <w:marRight w:val="0"/>
      <w:marTop w:val="0"/>
      <w:marBottom w:val="0"/>
      <w:divBdr>
        <w:top w:val="none" w:sz="0" w:space="0" w:color="auto"/>
        <w:left w:val="none" w:sz="0" w:space="0" w:color="auto"/>
        <w:bottom w:val="none" w:sz="0" w:space="0" w:color="auto"/>
        <w:right w:val="none" w:sz="0" w:space="0" w:color="auto"/>
      </w:divBdr>
    </w:div>
    <w:div w:id="167919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98733-9FE7-4351-9D82-257753766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2051</Words>
  <Characters>11694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Mathias</dc:creator>
  <cp:keywords/>
  <dc:description/>
  <cp:lastModifiedBy>pati-svc</cp:lastModifiedBy>
  <cp:revision>2</cp:revision>
  <cp:lastPrinted>2019-08-28T15:15:00Z</cp:lastPrinted>
  <dcterms:created xsi:type="dcterms:W3CDTF">2019-09-11T14:12:00Z</dcterms:created>
  <dcterms:modified xsi:type="dcterms:W3CDTF">2019-09-11T14:12:00Z</dcterms:modified>
</cp:coreProperties>
</file>