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181B11">
        <w:rPr>
          <w:rFonts w:ascii="Trebuchet MS" w:hAnsi="Trebuchet MS"/>
        </w:rPr>
        <w:t>17/12/19</w:t>
      </w:r>
    </w:p>
    <w:p w:rsidR="00625504" w:rsidRPr="00181B11" w:rsidRDefault="00625504" w:rsidP="00AF3FE4">
      <w:pPr>
        <w:spacing w:line="240" w:lineRule="auto"/>
        <w:rPr>
          <w:rFonts w:ascii="Trebuchet MS" w:hAnsi="Trebuchet MS"/>
        </w:rPr>
      </w:pPr>
      <w:r w:rsidRPr="005F041D">
        <w:rPr>
          <w:rFonts w:ascii="Trebuchet MS" w:hAnsi="Trebuchet MS"/>
          <w:b/>
        </w:rPr>
        <w:t xml:space="preserve">Address: </w:t>
      </w:r>
      <w:r w:rsidR="00181B11">
        <w:rPr>
          <w:rFonts w:ascii="Trebuchet MS" w:hAnsi="Trebuchet MS"/>
        </w:rPr>
        <w:t>14 Twin Oaks</w:t>
      </w:r>
    </w:p>
    <w:p w:rsidR="00625504" w:rsidRPr="00181B11" w:rsidRDefault="00625504" w:rsidP="00AF3FE4">
      <w:pPr>
        <w:spacing w:line="240" w:lineRule="auto"/>
        <w:rPr>
          <w:rFonts w:ascii="Trebuchet MS" w:hAnsi="Trebuchet MS"/>
        </w:rPr>
      </w:pPr>
      <w:r w:rsidRPr="005F041D">
        <w:rPr>
          <w:rFonts w:ascii="Trebuchet MS" w:hAnsi="Trebuchet MS"/>
          <w:b/>
        </w:rPr>
        <w:t xml:space="preserve">Application No: </w:t>
      </w:r>
      <w:r w:rsidR="00181B11">
        <w:rPr>
          <w:rFonts w:ascii="Trebuchet MS" w:hAnsi="Trebuchet MS"/>
        </w:rPr>
        <w:t>191694/CLP</w:t>
      </w:r>
    </w:p>
    <w:p w:rsidR="00625504" w:rsidRPr="00181B11" w:rsidRDefault="00625504" w:rsidP="00AF3FE4">
      <w:pPr>
        <w:spacing w:line="240" w:lineRule="auto"/>
        <w:rPr>
          <w:rFonts w:ascii="Trebuchet MS" w:hAnsi="Trebuchet MS"/>
        </w:rPr>
      </w:pPr>
      <w:r w:rsidRPr="005F041D">
        <w:rPr>
          <w:rFonts w:ascii="Trebuchet MS" w:hAnsi="Trebuchet MS"/>
          <w:b/>
        </w:rPr>
        <w:t xml:space="preserve">Proposal: </w:t>
      </w:r>
      <w:r w:rsidR="00181B11">
        <w:rPr>
          <w:rFonts w:ascii="Trebuchet MS" w:hAnsi="Trebuchet MS"/>
        </w:rPr>
        <w:t>Demolition of conservatory and elevational alterations</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181B11" w:rsidRDefault="00181B11" w:rsidP="00AF3FE4">
      <w:pPr>
        <w:spacing w:line="240" w:lineRule="auto"/>
        <w:rPr>
          <w:rFonts w:ascii="Trebuchet MS" w:hAnsi="Trebuchet MS"/>
        </w:rPr>
      </w:pPr>
      <w:r>
        <w:rPr>
          <w:rFonts w:ascii="Trebuchet MS" w:hAnsi="Trebuchet MS"/>
        </w:rPr>
        <w:t>The application site is a two-storey detached dwelling with a rear conservatory.</w:t>
      </w:r>
    </w:p>
    <w:p w:rsidR="00181B11" w:rsidRPr="00181B11" w:rsidRDefault="00181B11" w:rsidP="00AF3FE4">
      <w:pPr>
        <w:spacing w:line="240" w:lineRule="auto"/>
        <w:rPr>
          <w:rFonts w:ascii="Trebuchet MS" w:hAnsi="Trebuchet MS"/>
        </w:rPr>
      </w:pPr>
      <w:r>
        <w:rPr>
          <w:rFonts w:ascii="Trebuchet MS" w:hAnsi="Trebuchet MS"/>
        </w:rPr>
        <w:t xml:space="preserve">The proposal is for the demolition of the conservatory and various elevational alterations including the provision of bi-fold doors to the rear.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AB216D" w:rsidRDefault="00AB216D" w:rsidP="00181B11">
      <w:pPr>
        <w:spacing w:line="240" w:lineRule="auto"/>
        <w:rPr>
          <w:rFonts w:ascii="Trebuchet MS" w:hAnsi="Trebuchet MS"/>
        </w:rPr>
      </w:pPr>
      <w:r>
        <w:rPr>
          <w:rFonts w:ascii="Trebuchet MS" w:hAnsi="Trebuchet MS"/>
        </w:rPr>
        <w:t>The a</w:t>
      </w:r>
      <w:r w:rsidR="00181B11">
        <w:rPr>
          <w:rFonts w:ascii="Trebuchet MS" w:hAnsi="Trebuchet MS"/>
        </w:rPr>
        <w:t>gen</w:t>
      </w:r>
      <w:r w:rsidR="00625504" w:rsidRPr="005F041D">
        <w:rPr>
          <w:rFonts w:ascii="Trebuchet MS" w:hAnsi="Trebuchet MS"/>
        </w:rPr>
        <w:t>t</w:t>
      </w:r>
      <w:r w:rsidR="00D330DE" w:rsidRPr="005F041D">
        <w:rPr>
          <w:rFonts w:ascii="Trebuchet MS" w:hAnsi="Trebuchet MS"/>
        </w:rPr>
        <w:t xml:space="preserve"> supplied the following</w:t>
      </w:r>
      <w:r w:rsidR="00625504" w:rsidRPr="005F041D">
        <w:rPr>
          <w:rFonts w:ascii="Trebuchet MS" w:hAnsi="Trebuchet MS"/>
        </w:rPr>
        <w:t>, received</w:t>
      </w:r>
      <w:r w:rsidR="00D330DE" w:rsidRPr="005F041D">
        <w:rPr>
          <w:rFonts w:ascii="Trebuchet MS" w:hAnsi="Trebuchet MS"/>
        </w:rPr>
        <w:t xml:space="preserve"> on </w:t>
      </w:r>
      <w:r w:rsidR="00181B11">
        <w:rPr>
          <w:rFonts w:ascii="Trebuchet MS" w:hAnsi="Trebuchet MS"/>
        </w:rPr>
        <w:t>23/10/19:</w:t>
      </w:r>
    </w:p>
    <w:p w:rsidR="00181B11" w:rsidRDefault="00181B11" w:rsidP="00181B11">
      <w:pPr>
        <w:spacing w:line="240" w:lineRule="auto"/>
        <w:rPr>
          <w:rFonts w:ascii="Trebuchet MS" w:hAnsi="Trebuchet MS"/>
        </w:rPr>
      </w:pPr>
      <w:r>
        <w:rPr>
          <w:rFonts w:ascii="Trebuchet MS" w:hAnsi="Trebuchet MS"/>
        </w:rPr>
        <w:t>Drawing No: BA 0150 01 – Site Location, Site Plan, Existing Floor Plans and Elevations</w:t>
      </w:r>
    </w:p>
    <w:p w:rsidR="00181B11" w:rsidRPr="005F041D" w:rsidRDefault="00181B11" w:rsidP="00181B11">
      <w:pPr>
        <w:spacing w:line="240" w:lineRule="auto"/>
        <w:rPr>
          <w:rFonts w:ascii="Trebuchet MS" w:hAnsi="Trebuchet MS"/>
        </w:rPr>
      </w:pPr>
      <w:r>
        <w:rPr>
          <w:rFonts w:ascii="Trebuchet MS" w:hAnsi="Trebuchet MS"/>
        </w:rPr>
        <w:t>Drawing No: BA 0150 02 – Site Location, Block Plan, Proposed Floor Plans and Elevations</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181B11" w:rsidRPr="00181B11" w:rsidRDefault="00181B11" w:rsidP="00AF3FE4">
      <w:pPr>
        <w:spacing w:line="240" w:lineRule="auto"/>
        <w:rPr>
          <w:rFonts w:ascii="Trebuchet MS" w:hAnsi="Trebuchet MS"/>
        </w:rPr>
      </w:pPr>
      <w:r>
        <w:rPr>
          <w:rFonts w:ascii="Trebuchet MS" w:hAnsi="Trebuchet MS"/>
        </w:rPr>
        <w:t>None.</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Pr="005F041D"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625504" w:rsidRPr="005F041D" w:rsidRDefault="00625504" w:rsidP="00AF3FE4">
      <w:pPr>
        <w:spacing w:line="240" w:lineRule="auto"/>
        <w:rPr>
          <w:rFonts w:ascii="Trebuchet MS" w:hAnsi="Trebuchet MS"/>
          <w:b/>
        </w:rPr>
      </w:pPr>
      <w:r w:rsidRPr="005F041D">
        <w:rPr>
          <w:rFonts w:ascii="Trebuchet MS" w:hAnsi="Trebuchet MS"/>
          <w:b/>
        </w:rPr>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075F51" w:rsidRPr="005F041D">
        <w:rPr>
          <w:rFonts w:ascii="Trebuchet MS" w:eastAsia="Times New Roman" w:hAnsi="Trebuchet MS"/>
          <w:color w:val="000000"/>
        </w:rPr>
        <w:t xml:space="preserve"> </w:t>
      </w:r>
      <w:r w:rsidR="00181B11">
        <w:rPr>
          <w:rFonts w:ascii="Trebuchet MS" w:eastAsia="Times New Roman" w:hAnsi="Trebuchet MS"/>
          <w:color w:val="000000"/>
        </w:rPr>
        <w:t xml:space="preserve">demolition of a conservatory and elevational alterations </w:t>
      </w:r>
      <w:r w:rsidRPr="005F041D">
        <w:rPr>
          <w:rFonts w:ascii="Trebuchet MS" w:eastAsia="Times New Roman" w:hAnsi="Trebuchet MS"/>
          <w:color w:val="000000"/>
        </w:rPr>
        <w:t>must be assessed to ensure that it complies with the conditions of Class A</w:t>
      </w:r>
      <w:r w:rsidR="00181B11">
        <w:rPr>
          <w:rFonts w:ascii="Trebuchet MS" w:eastAsia="Times New Roman" w:hAnsi="Trebuchet MS"/>
          <w:color w:val="000000"/>
        </w:rPr>
        <w:t>,</w:t>
      </w:r>
      <w:r w:rsidRPr="005F041D">
        <w:rPr>
          <w:rFonts w:ascii="Trebuchet MS" w:eastAsia="Times New Roman" w:hAnsi="Trebuchet MS"/>
          <w:color w:val="000000"/>
        </w:rPr>
        <w:t xml:space="preserve"> Part 1, Schedule 2 of the Town and Country Planning (General Permitted Development) (En</w:t>
      </w:r>
      <w:r w:rsidR="00F57F89">
        <w:rPr>
          <w:rFonts w:ascii="Trebuchet MS" w:eastAsia="Times New Roman" w:hAnsi="Trebuchet MS"/>
          <w:color w:val="000000"/>
        </w:rPr>
        <w:t>gland) Order 2015, which relate</w:t>
      </w:r>
      <w:r w:rsidR="00181B11">
        <w:rPr>
          <w:rFonts w:ascii="Trebuchet MS" w:eastAsia="Times New Roman" w:hAnsi="Trebuchet MS"/>
          <w:color w:val="000000"/>
        </w:rPr>
        <w:t>s</w:t>
      </w:r>
      <w:r w:rsidR="00F57F89">
        <w:rPr>
          <w:rFonts w:ascii="Trebuchet MS" w:eastAsia="Times New Roman" w:hAnsi="Trebuchet MS"/>
          <w:color w:val="000000"/>
        </w:rPr>
        <w:t xml:space="preserve"> to</w:t>
      </w:r>
      <w:r w:rsidRPr="005F041D">
        <w:rPr>
          <w:rFonts w:ascii="Trebuchet MS" w:eastAsia="Times New Roman" w:hAnsi="Trebuchet MS"/>
          <w:color w:val="000000"/>
        </w:rPr>
        <w:t xml:space="preserve"> ‘enlargement, improvement or other alteration of a dwellinghouse’.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releva</w:t>
      </w:r>
      <w:r w:rsidR="00075F51" w:rsidRPr="005F041D">
        <w:rPr>
          <w:rFonts w:ascii="Trebuchet MS" w:eastAsia="Times New Roman" w:hAnsi="Trebuchet MS"/>
          <w:color w:val="000000"/>
        </w:rPr>
        <w:t>nt conditions of the GPDO for</w:t>
      </w:r>
      <w:r w:rsidR="00181B11">
        <w:rPr>
          <w:rFonts w:ascii="Trebuchet MS" w:eastAsia="Times New Roman" w:hAnsi="Trebuchet MS"/>
          <w:color w:val="000000"/>
        </w:rPr>
        <w:t xml:space="preserve"> demolition of a conservatory and elevational alterations</w:t>
      </w:r>
      <w:r w:rsidRPr="005F041D">
        <w:rPr>
          <w:rFonts w:ascii="Trebuchet MS" w:eastAsia="Times New Roman" w:hAnsi="Trebuchet MS"/>
          <w:color w:val="000000"/>
        </w:rPr>
        <w:t xml:space="preserve">, which is not listed or in a conservation area, are as follows: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A.1 Development is not permitted by Class A if:  </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(a) permission to use the dwellinghouse as a dwellinghouse has been granted only by virtue of Class M, N, P or Q of Part 3 of this Schedule (changes of 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lastRenderedPageBreak/>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(c) the height of the part of the dwellinghouse enlarged, improved or altered would exceed the height of the highest part of the roof of the existing dwellinghouse; </w:t>
      </w:r>
      <w:r w:rsidR="00075F51" w:rsidRPr="005F041D">
        <w:rPr>
          <w:rFonts w:ascii="Trebuchet MS" w:eastAsia="Times New Roman" w:hAnsi="Trebuchet MS"/>
          <w:b/>
          <w:color w:val="000000"/>
        </w:rPr>
        <w:t>complies</w:t>
      </w:r>
    </w:p>
    <w:p w:rsidR="00075F51"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(d) the height of the eaves of the part of the dwellinghouse enlarged, improved or altered would exceed the height of the eaves of the existing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A.1 (e) the enlarged part of the dwellinghouse would extend beyond a wall which (i) forms the principle elevation of the original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fronts a highway and forms a side elevation of the original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(f) subject to paragraph (g),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extend beyond the rear wall of the original dwellinghouse by more than 4 metres in the case of a detached dwellinghouse, or 3 metres in the case of any other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(g) until 30</w:t>
      </w:r>
      <w:r w:rsidRPr="005F041D">
        <w:rPr>
          <w:rFonts w:ascii="Trebuchet MS" w:eastAsia="Times New Roman" w:hAnsi="Trebuchet MS"/>
          <w:color w:val="000000"/>
          <w:vertAlign w:val="superscript"/>
        </w:rPr>
        <w:t>th</w:t>
      </w:r>
      <w:r w:rsidRPr="005F041D">
        <w:rPr>
          <w:rFonts w:ascii="Trebuchet MS" w:eastAsia="Times New Roman" w:hAnsi="Trebuchet MS"/>
          <w:color w:val="000000"/>
        </w:rPr>
        <w:t xml:space="preserve"> May 2019, for a dwellinghouse not on article 2(3) land nor on a site of special scientific interest, the enlarged part of the dwellinghouse would have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8 metres in the case of a detached dwellinghouse, or 6 metres in the case of any other dwellinghouse,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or (ii) exceed 4 metres in height;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(h) the enlarged part of the dwellinghouse would have more than a single storey and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extend beyond the rear wall of the original dwellinghouse by more than 3 metres,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(ii) be within 7 metres of any boundary of the curtilage of the dwellinghouse opposite the rear wall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enlarged part of the dwellinghouse would be within 2 metres of the boundary of the curtilage of the dwellinghouse, and the height of the eaves of the enlarged part would exceed 3 metres;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A.1 (j) the enlarged part of the dwellinghouse would extend beyond a wall forming a side elevation of the original dwellinghouse, and would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exceed 4 metres in height,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(ii) have more than a single storey,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or (iii) have a width greater than half the width of the original dwellinghouse;</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p>
    <w:p w:rsidR="00246D7F" w:rsidRPr="00181B11" w:rsidRDefault="00246D7F"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(ja) any total enlargement (being the enlarged part together with any existing enlargement of the original dwellinghouse to which it will be joined) exceeds or would exceed the limits set out in sub-paragraphs (e) to (j);</w:t>
      </w:r>
      <w:r w:rsidR="00181B11">
        <w:rPr>
          <w:rFonts w:ascii="Trebuchet MS" w:eastAsia="Times New Roman" w:hAnsi="Trebuchet MS"/>
          <w:color w:val="000000"/>
        </w:rPr>
        <w:t xml:space="preserve"> </w:t>
      </w:r>
      <w:r w:rsidR="00181B11">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A.1 (k) it would consist of or include –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the construction or provision of a verandah, balcony or raised platform,</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 the installation, alteration or replacement of a microwave antenna,</w:t>
      </w:r>
      <w:r w:rsidR="00075F51"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complies</w:t>
      </w:r>
      <w:r w:rsidRPr="005F041D">
        <w:rPr>
          <w:rFonts w:ascii="Trebuchet MS" w:eastAsia="Times New Roman" w:hAnsi="Trebuchet MS"/>
          <w:color w:val="000000"/>
        </w:rPr>
        <w:t xml:space="preserve"> (iii) the installation, alteration or replacement of a chimney, flue or soil and vent pipe, </w:t>
      </w:r>
      <w:r w:rsidR="00075F51" w:rsidRPr="005F041D">
        <w:rPr>
          <w:rFonts w:ascii="Trebuchet MS" w:eastAsia="Times New Roman" w:hAnsi="Trebuchet MS"/>
          <w:b/>
          <w:color w:val="000000"/>
        </w:rPr>
        <w:t xml:space="preserve">complies </w:t>
      </w:r>
      <w:r w:rsidRPr="005F041D">
        <w:rPr>
          <w:rFonts w:ascii="Trebuchet MS" w:eastAsia="Times New Roman" w:hAnsi="Trebuchet MS"/>
          <w:color w:val="000000"/>
        </w:rPr>
        <w:t xml:space="preserve">or (iv) an alteration to any part of the roof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In the case of a dwellinghouse on article 2(3) land, development is not permitted by Class A if:</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A.2 (a) it would consist of or include the cladding of any part of the exterior of the dwellinghouse with stone, artificial stone, pebble dash, render, timber, plastic or tiles; </w:t>
      </w:r>
      <w:r w:rsidR="00075F51"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A.2 (b) the enlarged part of the dwellinghouse would extend beyond a wall forming a side elevation of the original dwellinghouse;</w:t>
      </w:r>
      <w:r w:rsidR="00075F51" w:rsidRPr="005F041D">
        <w:rPr>
          <w:rFonts w:ascii="Trebuchet MS" w:eastAsia="Times New Roman" w:hAnsi="Trebuchet MS"/>
          <w:color w:val="000000"/>
        </w:rPr>
        <w:t xml:space="preserve"> </w:t>
      </w:r>
      <w:r w:rsidR="00246D7F"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A.2 (c) the enlarged part of the dwellinghouse would have more than a single storey and extend beyond the rear wal</w:t>
      </w:r>
      <w:r w:rsidR="00246D7F" w:rsidRPr="005F041D">
        <w:rPr>
          <w:rFonts w:ascii="Trebuchet MS" w:eastAsia="Times New Roman" w:hAnsi="Trebuchet MS"/>
          <w:color w:val="000000"/>
        </w:rPr>
        <w:t>l of the original dwellinghouse;</w:t>
      </w:r>
      <w:r w:rsidRPr="005F041D">
        <w:rPr>
          <w:rFonts w:ascii="Trebuchet MS" w:eastAsia="Times New Roman" w:hAnsi="Trebuchet MS"/>
          <w:color w:val="000000"/>
        </w:rPr>
        <w:t xml:space="preserve"> </w:t>
      </w:r>
      <w:r w:rsidR="00075F51" w:rsidRPr="005F041D">
        <w:rPr>
          <w:rFonts w:ascii="Trebuchet MS" w:eastAsia="Times New Roman" w:hAnsi="Trebuchet MS"/>
          <w:b/>
          <w:color w:val="000000"/>
        </w:rPr>
        <w:t>n/a</w:t>
      </w:r>
    </w:p>
    <w:p w:rsidR="00246D7F" w:rsidRPr="005F041D" w:rsidRDefault="00246D7F" w:rsidP="00AF3FE4">
      <w:pPr>
        <w:spacing w:line="240" w:lineRule="auto"/>
        <w:rPr>
          <w:rFonts w:ascii="Trebuchet MS" w:eastAsia="Times New Roman" w:hAnsi="Trebuchet MS"/>
          <w:color w:val="000000"/>
        </w:rPr>
      </w:pPr>
      <w:r w:rsidRPr="005F041D">
        <w:rPr>
          <w:rFonts w:ascii="Trebuchet MS" w:eastAsia="Times New Roman" w:hAnsi="Trebuchet MS"/>
          <w:color w:val="000000"/>
        </w:rPr>
        <w:t>A.2 (d) any total enlargement (being the enlarged part together with any existing enlargement of the original dwellinghouse to which it will be joined) exceeds or would exceed the limits set out in sub-paragraphs (b) and (c)</w:t>
      </w:r>
      <w:r w:rsidR="00F57F89">
        <w:rPr>
          <w:rFonts w:ascii="Trebuchet MS" w:eastAsia="Times New Roman" w:hAnsi="Trebuchet MS"/>
          <w:color w:val="000000"/>
        </w:rPr>
        <w:t xml:space="preserve">. </w:t>
      </w:r>
      <w:r w:rsidR="00F57F89">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625504" w:rsidRPr="005F041D" w:rsidRDefault="00E1716B" w:rsidP="00AF3FE4">
      <w:pPr>
        <w:spacing w:line="240" w:lineRule="auto"/>
        <w:rPr>
          <w:rFonts w:ascii="Trebuchet MS" w:eastAsia="Times New Roman" w:hAnsi="Trebuchet MS"/>
          <w:color w:val="000000"/>
        </w:rPr>
      </w:pPr>
      <w:r w:rsidRPr="005F041D">
        <w:rPr>
          <w:rFonts w:ascii="Trebuchet MS" w:eastAsia="Times New Roman" w:hAnsi="Trebuchet MS"/>
          <w:color w:val="000000"/>
        </w:rPr>
        <w:t>Development</w:t>
      </w:r>
      <w:r w:rsidR="00625504" w:rsidRPr="005F041D">
        <w:rPr>
          <w:rFonts w:ascii="Trebuchet MS" w:eastAsia="Times New Roman" w:hAnsi="Trebuchet MS"/>
          <w:color w:val="000000"/>
        </w:rPr>
        <w:t xml:space="preserve"> is permitted by Class A subject to the following conditions: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(a) the materials used in any exterior work (other than materials used in the construction of a conservatory) must be of a similar appearance to those used in the construction of the exterior of the dwellinghouse; </w:t>
      </w:r>
      <w:r w:rsidR="00075F51" w:rsidRPr="005F041D">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A.3 (b) any upper-floor window located in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075F51" w:rsidRPr="005F041D">
        <w:rPr>
          <w:rFonts w:ascii="Trebuchet MS" w:eastAsia="Times New Roman" w:hAnsi="Trebuchet MS"/>
          <w:b/>
          <w:color w:val="000000"/>
        </w:rPr>
        <w:t xml:space="preserve">n/a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sidR="00075F51" w:rsidRPr="005F041D">
        <w:rPr>
          <w:rFonts w:ascii="Trebuchet MS" w:eastAsia="Times New Roman" w:hAnsi="Trebuchet MS"/>
          <w:b/>
          <w:color w:val="000000"/>
        </w:rPr>
        <w:t>n/a</w:t>
      </w:r>
      <w:r w:rsidRPr="005F041D">
        <w:rPr>
          <w:rFonts w:ascii="Trebuchet MS" w:eastAsia="Times New Roman" w:hAnsi="Trebuchet MS"/>
          <w:color w:val="000000"/>
        </w:rPr>
        <w:t xml:space="preserve"> and</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A.3 (c) where the enlarged part of the dwellinghouse has more than a single storey, </w:t>
      </w:r>
      <w:r w:rsidR="00246D7F" w:rsidRPr="005F041D">
        <w:rPr>
          <w:rFonts w:ascii="Trebuchet MS" w:eastAsia="Times New Roman" w:hAnsi="Trebuchet MS"/>
          <w:color w:val="000000"/>
        </w:rPr>
        <w:t>or forms an upper storey on an existing enlargement of the original dwellinghouse, the roof pitch of the enlarged part must, so far as practicable, be the same as the roof pitch</w:t>
      </w:r>
      <w:r w:rsidR="0041701F" w:rsidRPr="005F041D">
        <w:rPr>
          <w:rFonts w:ascii="Trebuchet MS" w:eastAsia="Times New Roman" w:hAnsi="Trebuchet MS"/>
          <w:color w:val="000000"/>
        </w:rPr>
        <w:t xml:space="preserve"> of the original dwellinghouse. </w:t>
      </w:r>
      <w:r w:rsidR="00075F51" w:rsidRPr="005F041D">
        <w:rPr>
          <w:rFonts w:ascii="Trebuchet MS" w:eastAsia="Times New Roman" w:hAnsi="Trebuchet MS"/>
          <w:b/>
          <w:color w:val="000000"/>
        </w:rPr>
        <w:t>n/a</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t>The proposal has been assessed against the Town and Country Planning Act 1990 (as amended) and Class</w:t>
      </w:r>
      <w:r w:rsidR="00C81FD7">
        <w:rPr>
          <w:rFonts w:ascii="Trebuchet MS" w:hAnsi="Trebuchet MS"/>
        </w:rPr>
        <w:t xml:space="preserve"> A</w:t>
      </w:r>
      <w:r w:rsidRPr="005F041D">
        <w:rPr>
          <w:rFonts w:ascii="Trebuchet MS" w:hAnsi="Trebuchet MS"/>
        </w:rPr>
        <w:t xml:space="preserve">, Part 1, Schedule 2 of the Town and Country Planning (General Permitted Development) (England) Order 2015. </w:t>
      </w:r>
    </w:p>
    <w:p w:rsidR="00181B11" w:rsidRDefault="003A191B" w:rsidP="00181B11">
      <w:pPr>
        <w:spacing w:line="240" w:lineRule="auto"/>
        <w:rPr>
          <w:rFonts w:ascii="Trebuchet MS" w:hAnsi="Trebuchet MS"/>
        </w:rPr>
      </w:pPr>
      <w:r w:rsidRPr="005F041D">
        <w:rPr>
          <w:rFonts w:ascii="Trebuchet MS" w:hAnsi="Trebuchet MS"/>
        </w:rPr>
        <w:t xml:space="preserve">It can be confirmed that the proposed operation would be lawful for planning purposes </w:t>
      </w:r>
      <w:proofErr w:type="gramStart"/>
      <w:r w:rsidRPr="005F041D">
        <w:rPr>
          <w:rFonts w:ascii="Trebuchet MS" w:hAnsi="Trebuchet MS"/>
        </w:rPr>
        <w:t>on the basis of</w:t>
      </w:r>
      <w:proofErr w:type="gramEnd"/>
      <w:r w:rsidRPr="005F041D">
        <w:rPr>
          <w:rFonts w:ascii="Trebuchet MS" w:hAnsi="Trebuchet MS"/>
        </w:rPr>
        <w:t xml:space="preserve"> the drawings received on </w:t>
      </w:r>
      <w:r w:rsidR="00181B11">
        <w:rPr>
          <w:rFonts w:ascii="Trebuchet MS" w:hAnsi="Trebuchet MS"/>
        </w:rPr>
        <w:t>23/10/19:</w:t>
      </w:r>
    </w:p>
    <w:p w:rsidR="00181B11" w:rsidRPr="005F041D" w:rsidRDefault="00181B11" w:rsidP="00181B11">
      <w:pPr>
        <w:spacing w:line="240" w:lineRule="auto"/>
        <w:rPr>
          <w:rFonts w:ascii="Trebuchet MS" w:hAnsi="Trebuchet MS"/>
        </w:rPr>
      </w:pPr>
      <w:r>
        <w:rPr>
          <w:rFonts w:ascii="Trebuchet MS" w:hAnsi="Trebuchet MS"/>
        </w:rPr>
        <w:t>Drawing No: BA 0150 02 – Site Location, Block Plan, Proposed Floor Plans and Elevations</w:t>
      </w:r>
    </w:p>
    <w:p w:rsidR="003A191B" w:rsidRPr="005F041D" w:rsidRDefault="003A191B" w:rsidP="00C81FD7">
      <w:pPr>
        <w:rPr>
          <w:rFonts w:ascii="Trebuchet MS" w:hAnsi="Trebuchet MS"/>
        </w:rPr>
      </w:pPr>
      <w:proofErr w:type="gramStart"/>
      <w:r w:rsidRPr="005F041D">
        <w:rPr>
          <w:rFonts w:ascii="Trebuchet MS" w:hAnsi="Trebuchet MS"/>
          <w:color w:val="000000"/>
        </w:rPr>
        <w:t>Sufficient</w:t>
      </w:r>
      <w:proofErr w:type="gramEnd"/>
      <w:r w:rsidRPr="005F041D">
        <w:rPr>
          <w:rFonts w:ascii="Trebuchet MS" w:hAnsi="Trebuchet MS"/>
          <w:color w:val="000000"/>
        </w:rPr>
        <w:t xml:space="preserve"> evidence has been provided to demonstrate that a Certificate of Lawfulness should be granted for the proposed</w:t>
      </w:r>
      <w:r w:rsidR="00181B11">
        <w:rPr>
          <w:rFonts w:ascii="Trebuchet MS" w:eastAsia="Times New Roman" w:hAnsi="Trebuchet MS"/>
          <w:color w:val="000000"/>
        </w:rPr>
        <w:t xml:space="preserve"> demolition of a conservatory and elevational alterations</w:t>
      </w:r>
      <w:r w:rsidRPr="005F041D">
        <w:rPr>
          <w:rFonts w:ascii="Trebuchet MS" w:hAnsi="Trebuchet MS"/>
          <w:color w:val="000000"/>
        </w:rPr>
        <w:t xml:space="preserve">. </w:t>
      </w:r>
    </w:p>
    <w:p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rsidR="00C81FD7"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bookmarkStart w:id="0" w:name="_GoBack"/>
      <w:bookmarkEnd w:id="0"/>
    </w:p>
    <w:p w:rsidR="00021541" w:rsidRDefault="00181B11" w:rsidP="00AF3FE4">
      <w:pPr>
        <w:spacing w:line="240" w:lineRule="auto"/>
        <w:rPr>
          <w:rFonts w:ascii="Trebuchet MS" w:eastAsia="Times New Roman" w:hAnsi="Trebuchet MS"/>
        </w:rPr>
      </w:pPr>
      <w:r>
        <w:rPr>
          <w:noProof/>
        </w:rPr>
        <w:lastRenderedPageBreak/>
        <w:drawing>
          <wp:inline distT="0" distB="0" distL="0" distR="0" wp14:anchorId="7DA28641" wp14:editId="6D87885C">
            <wp:extent cx="4076700" cy="487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76700" cy="4876800"/>
                    </a:xfrm>
                    <a:prstGeom prst="rect">
                      <a:avLst/>
                    </a:prstGeom>
                  </pic:spPr>
                </pic:pic>
              </a:graphicData>
            </a:graphic>
          </wp:inline>
        </w:drawing>
      </w:r>
    </w:p>
    <w:p w:rsidR="00181B11" w:rsidRPr="00FC3158" w:rsidRDefault="00FC3158" w:rsidP="00AF3FE4">
      <w:pPr>
        <w:spacing w:line="240" w:lineRule="auto"/>
        <w:rPr>
          <w:rFonts w:ascii="Trebuchet MS" w:eastAsia="Times New Roman" w:hAnsi="Trebuchet MS"/>
          <w:b/>
        </w:rPr>
      </w:pPr>
      <w:r>
        <w:rPr>
          <w:rFonts w:ascii="Trebuchet MS" w:eastAsia="Times New Roman" w:hAnsi="Trebuchet MS"/>
          <w:b/>
        </w:rPr>
        <w:t>Site Location</w:t>
      </w:r>
    </w:p>
    <w:sectPr w:rsidR="00181B11" w:rsidRPr="00FC315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790B" w:rsidRDefault="00227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04"/>
    <w:rsid w:val="00021541"/>
    <w:rsid w:val="00037BAF"/>
    <w:rsid w:val="0007503E"/>
    <w:rsid w:val="00075F51"/>
    <w:rsid w:val="000E5A3F"/>
    <w:rsid w:val="0014241C"/>
    <w:rsid w:val="0017663F"/>
    <w:rsid w:val="00181B11"/>
    <w:rsid w:val="00215C25"/>
    <w:rsid w:val="00225DA7"/>
    <w:rsid w:val="0022790B"/>
    <w:rsid w:val="00246D7F"/>
    <w:rsid w:val="00270CCE"/>
    <w:rsid w:val="003065BE"/>
    <w:rsid w:val="003A191B"/>
    <w:rsid w:val="003C6957"/>
    <w:rsid w:val="003C6A9F"/>
    <w:rsid w:val="003D179A"/>
    <w:rsid w:val="00407804"/>
    <w:rsid w:val="0041701F"/>
    <w:rsid w:val="00443835"/>
    <w:rsid w:val="005B391B"/>
    <w:rsid w:val="005F041D"/>
    <w:rsid w:val="00625504"/>
    <w:rsid w:val="00661E1D"/>
    <w:rsid w:val="006A17A0"/>
    <w:rsid w:val="006A5B04"/>
    <w:rsid w:val="007B11DE"/>
    <w:rsid w:val="007F7924"/>
    <w:rsid w:val="008A59CB"/>
    <w:rsid w:val="00912B7D"/>
    <w:rsid w:val="0095495C"/>
    <w:rsid w:val="009A3326"/>
    <w:rsid w:val="009F782D"/>
    <w:rsid w:val="00AB216D"/>
    <w:rsid w:val="00AF3FE4"/>
    <w:rsid w:val="00BC092F"/>
    <w:rsid w:val="00C40D2F"/>
    <w:rsid w:val="00C81FD7"/>
    <w:rsid w:val="00D330DE"/>
    <w:rsid w:val="00E1716B"/>
    <w:rsid w:val="00E302F2"/>
    <w:rsid w:val="00E43672"/>
    <w:rsid w:val="00EB3EF1"/>
    <w:rsid w:val="00F57F89"/>
    <w:rsid w:val="00F954D8"/>
    <w:rsid w:val="00FC31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D7111"/>
  <w15:docId w15:val="{E59C1E89-CBB5-40ED-B5D7-4B20E17B9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2019-12-17T12:23:00Z</dcterms:created>
  <dcterms:modified xsi:type="dcterms:W3CDTF">2019-12-17T12:25:00Z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