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17061C">
        <w:rPr>
          <w:rFonts w:ascii="Trebuchet MS" w:hAnsi="Trebuchet MS"/>
        </w:rPr>
        <w:t>06/01/20</w:t>
      </w:r>
    </w:p>
    <w:p w:rsidR="00625504" w:rsidRPr="00D12102" w:rsidRDefault="00625504" w:rsidP="00AF3FE4">
      <w:pPr>
        <w:spacing w:line="240" w:lineRule="auto"/>
        <w:rPr>
          <w:rFonts w:ascii="Trebuchet MS" w:hAnsi="Trebuchet MS"/>
        </w:rPr>
      </w:pPr>
      <w:r w:rsidRPr="005F041D">
        <w:rPr>
          <w:rFonts w:ascii="Trebuchet MS" w:hAnsi="Trebuchet MS"/>
          <w:b/>
        </w:rPr>
        <w:t xml:space="preserve">Address: </w:t>
      </w:r>
      <w:r w:rsidR="00D12102">
        <w:rPr>
          <w:rFonts w:ascii="Trebuchet MS" w:hAnsi="Trebuchet MS"/>
        </w:rPr>
        <w:t>34 Hogarth Avenue</w:t>
      </w:r>
    </w:p>
    <w:p w:rsidR="00625504" w:rsidRPr="00D12102" w:rsidRDefault="00625504" w:rsidP="00AF3FE4">
      <w:pPr>
        <w:spacing w:line="240" w:lineRule="auto"/>
        <w:rPr>
          <w:rFonts w:ascii="Trebuchet MS" w:hAnsi="Trebuchet MS"/>
        </w:rPr>
      </w:pPr>
      <w:r w:rsidRPr="005F041D">
        <w:rPr>
          <w:rFonts w:ascii="Trebuchet MS" w:hAnsi="Trebuchet MS"/>
          <w:b/>
        </w:rPr>
        <w:t xml:space="preserve">Application No: </w:t>
      </w:r>
      <w:r w:rsidR="00D12102">
        <w:rPr>
          <w:rFonts w:ascii="Trebuchet MS" w:hAnsi="Trebuchet MS"/>
        </w:rPr>
        <w:t>191812/CLP</w:t>
      </w:r>
    </w:p>
    <w:p w:rsidR="00625504" w:rsidRPr="00D12102" w:rsidRDefault="00625504" w:rsidP="00AF3FE4">
      <w:pPr>
        <w:spacing w:line="240" w:lineRule="auto"/>
        <w:rPr>
          <w:rFonts w:ascii="Trebuchet MS" w:hAnsi="Trebuchet MS"/>
        </w:rPr>
      </w:pPr>
      <w:r w:rsidRPr="005F041D">
        <w:rPr>
          <w:rFonts w:ascii="Trebuchet MS" w:hAnsi="Trebuchet MS"/>
          <w:b/>
        </w:rPr>
        <w:t xml:space="preserve">Proposal: </w:t>
      </w:r>
      <w:r w:rsidR="00D12102">
        <w:rPr>
          <w:rFonts w:ascii="Trebuchet MS" w:hAnsi="Trebuchet MS"/>
        </w:rPr>
        <w:t>Erection of outbuilding at rear</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D12102" w:rsidRPr="00D12102" w:rsidRDefault="00D12102" w:rsidP="00D12102">
      <w:pPr>
        <w:spacing w:line="240" w:lineRule="auto"/>
        <w:rPr>
          <w:rFonts w:ascii="Trebuchet MS" w:eastAsia="Times New Roman" w:hAnsi="Trebuchet MS" w:cs="Times New Roman"/>
          <w:szCs w:val="24"/>
        </w:rPr>
      </w:pPr>
      <w:r w:rsidRPr="00D12102">
        <w:rPr>
          <w:rFonts w:ascii="Trebuchet MS" w:eastAsia="Times New Roman" w:hAnsi="Trebuchet MS" w:cs="Times New Roman"/>
          <w:szCs w:val="24"/>
        </w:rPr>
        <w:t xml:space="preserve">The application site is a </w:t>
      </w:r>
      <w:proofErr w:type="gramStart"/>
      <w:r w:rsidRPr="00D12102">
        <w:rPr>
          <w:rFonts w:ascii="Trebuchet MS" w:eastAsia="Times New Roman" w:hAnsi="Trebuchet MS" w:cs="Times New Roman"/>
          <w:szCs w:val="24"/>
        </w:rPr>
        <w:t>two storey</w:t>
      </w:r>
      <w:proofErr w:type="gramEnd"/>
      <w:r w:rsidRPr="00D12102">
        <w:rPr>
          <w:rFonts w:ascii="Trebuchet MS" w:eastAsia="Times New Roman" w:hAnsi="Trebuchet MS" w:cs="Times New Roman"/>
          <w:szCs w:val="24"/>
        </w:rPr>
        <w:t xml:space="preserve"> semi-detached property with a hipped roof. The site occupies a corner plot at the junction of Hogarth Avenue and Haywood Way. A single storey extension with a hipped roof extends to the side and rear of the property. Two sheds are located at the end of the rear garden. The site benefits from gated access at the end of the rear garden onto Haywood Way. A sub-station is located beyond the rear boundary of the site. The surrounding area is predominantly residential. </w:t>
      </w:r>
    </w:p>
    <w:p w:rsidR="00D12102" w:rsidRPr="00D12102" w:rsidRDefault="00D12102" w:rsidP="00D12102">
      <w:pPr>
        <w:spacing w:line="240" w:lineRule="auto"/>
        <w:rPr>
          <w:rFonts w:ascii="Trebuchet MS" w:hAnsi="Trebuchet MS"/>
          <w:b/>
          <w:sz w:val="20"/>
        </w:rPr>
      </w:pPr>
      <w:r w:rsidRPr="00D12102">
        <w:rPr>
          <w:rFonts w:ascii="Trebuchet MS" w:eastAsia="Times New Roman" w:hAnsi="Trebuchet MS" w:cs="Times New Roman"/>
          <w:szCs w:val="24"/>
        </w:rPr>
        <w:t>The proposal is for an outbuilding, to be located at the end of the rear garden. The two existing sheds would be removed in order to facilitate the proposal.</w:t>
      </w:r>
      <w:r>
        <w:rPr>
          <w:rFonts w:ascii="Trebuchet MS" w:eastAsia="Times New Roman" w:hAnsi="Trebuchet MS" w:cs="Times New Roman"/>
          <w:szCs w:val="24"/>
        </w:rPr>
        <w:t xml:space="preserve"> The outbuilding would have a flat roof, with a maximum height of 2.5m. The outbuilding would be used partly as a gym, a playroom and a home office.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D12102" w:rsidRDefault="00AB216D" w:rsidP="00246138">
      <w:pPr>
        <w:spacing w:line="240" w:lineRule="auto"/>
        <w:rPr>
          <w:rFonts w:ascii="Trebuchet MS" w:hAnsi="Trebuchet MS"/>
        </w:rPr>
      </w:pPr>
      <w:r>
        <w:rPr>
          <w:rFonts w:ascii="Trebuchet MS" w:hAnsi="Trebuchet MS"/>
        </w:rPr>
        <w:t>The a</w:t>
      </w:r>
      <w:r w:rsidR="00D12102">
        <w:rPr>
          <w:rFonts w:ascii="Trebuchet MS" w:hAnsi="Trebuchet MS"/>
        </w:rPr>
        <w:t>gen</w:t>
      </w:r>
      <w:r w:rsidR="00625504" w:rsidRPr="005F041D">
        <w:rPr>
          <w:rFonts w:ascii="Trebuchet MS" w:hAnsi="Trebuchet MS"/>
        </w:rPr>
        <w:t>t</w:t>
      </w:r>
      <w:r w:rsidR="00D330DE" w:rsidRPr="005F041D">
        <w:rPr>
          <w:rFonts w:ascii="Trebuchet MS" w:hAnsi="Trebuchet MS"/>
        </w:rPr>
        <w:t xml:space="preserve"> supplied the following</w:t>
      </w:r>
      <w:r w:rsidR="00625504" w:rsidRPr="005F041D">
        <w:rPr>
          <w:rFonts w:ascii="Trebuchet MS" w:hAnsi="Trebuchet MS"/>
        </w:rPr>
        <w:t>, received</w:t>
      </w:r>
      <w:r w:rsidR="00D330DE" w:rsidRPr="005F041D">
        <w:rPr>
          <w:rFonts w:ascii="Trebuchet MS" w:hAnsi="Trebuchet MS"/>
        </w:rPr>
        <w:t xml:space="preserve"> on</w:t>
      </w:r>
      <w:r w:rsidR="00D12102">
        <w:rPr>
          <w:rFonts w:ascii="Trebuchet MS" w:hAnsi="Trebuchet MS"/>
        </w:rPr>
        <w:t xml:space="preserve"> 12/11/19:</w:t>
      </w:r>
    </w:p>
    <w:p w:rsidR="00DA0CA3" w:rsidRDefault="00DA0CA3" w:rsidP="00246138">
      <w:pPr>
        <w:spacing w:line="240" w:lineRule="auto"/>
        <w:rPr>
          <w:rFonts w:ascii="Trebuchet MS" w:hAnsi="Trebuchet MS"/>
        </w:rPr>
      </w:pPr>
      <w:r>
        <w:rPr>
          <w:rFonts w:ascii="Trebuchet MS" w:hAnsi="Trebuchet MS"/>
        </w:rPr>
        <w:t>Drawing No: AS01719-SP01 – Site Location</w:t>
      </w:r>
    </w:p>
    <w:p w:rsidR="00DA0CA3" w:rsidRDefault="00DA0CA3" w:rsidP="00246138">
      <w:pPr>
        <w:spacing w:line="240" w:lineRule="auto"/>
        <w:rPr>
          <w:rFonts w:ascii="Trebuchet MS" w:hAnsi="Trebuchet MS"/>
        </w:rPr>
      </w:pPr>
      <w:r>
        <w:rPr>
          <w:rFonts w:ascii="Trebuchet MS" w:hAnsi="Trebuchet MS"/>
        </w:rPr>
        <w:t>Drawing No: AS01719-BP01 – Block Plan</w:t>
      </w:r>
    </w:p>
    <w:p w:rsidR="00DA0CA3" w:rsidRDefault="00DA0CA3" w:rsidP="00246138">
      <w:pPr>
        <w:spacing w:line="240" w:lineRule="auto"/>
        <w:rPr>
          <w:rFonts w:ascii="Trebuchet MS" w:hAnsi="Trebuchet MS"/>
        </w:rPr>
      </w:pPr>
      <w:r>
        <w:rPr>
          <w:rFonts w:ascii="Trebuchet MS" w:hAnsi="Trebuchet MS"/>
        </w:rPr>
        <w:t>Drawing No: AS01719-01 – Existing Site Plan</w:t>
      </w:r>
    </w:p>
    <w:p w:rsidR="00DA0CA3" w:rsidRDefault="00DA0CA3" w:rsidP="00246138">
      <w:pPr>
        <w:spacing w:line="240" w:lineRule="auto"/>
        <w:rPr>
          <w:rFonts w:ascii="Trebuchet MS" w:hAnsi="Trebuchet MS"/>
        </w:rPr>
      </w:pPr>
      <w:r>
        <w:rPr>
          <w:rFonts w:ascii="Trebuchet MS" w:hAnsi="Trebuchet MS"/>
        </w:rPr>
        <w:t>Drawing No: AS01719-02 – Proposed Floor Plan</w:t>
      </w:r>
    </w:p>
    <w:p w:rsidR="00DA0CA3" w:rsidRDefault="00DA0CA3" w:rsidP="00246138">
      <w:pPr>
        <w:spacing w:line="240" w:lineRule="auto"/>
        <w:rPr>
          <w:rFonts w:ascii="Trebuchet MS" w:hAnsi="Trebuchet MS"/>
        </w:rPr>
      </w:pPr>
      <w:r>
        <w:rPr>
          <w:rFonts w:ascii="Trebuchet MS" w:hAnsi="Trebuchet MS"/>
        </w:rPr>
        <w:t>Drawing No: AS01719-03 Rev. A – Proposed Elevations</w:t>
      </w:r>
    </w:p>
    <w:p w:rsidR="000E1865" w:rsidRDefault="000E1865" w:rsidP="00246138">
      <w:pPr>
        <w:spacing w:line="240" w:lineRule="auto"/>
        <w:rPr>
          <w:rFonts w:ascii="Trebuchet MS" w:hAnsi="Trebuchet MS"/>
        </w:rPr>
      </w:pPr>
      <w:r>
        <w:rPr>
          <w:rFonts w:ascii="Trebuchet MS" w:hAnsi="Trebuchet MS"/>
        </w:rPr>
        <w:t>On 19/12/19 the agent was advised of concerns relating to the size and use of the proposed outbuilding. The agent was asked to justify how such a large structure would be incidental to the enjoyment of the dwellinghouse, and to clarify the height of the structure.</w:t>
      </w:r>
    </w:p>
    <w:p w:rsidR="00DA0CA3" w:rsidRDefault="00DA0CA3" w:rsidP="00246138">
      <w:pPr>
        <w:spacing w:line="240" w:lineRule="auto"/>
        <w:rPr>
          <w:rFonts w:ascii="Trebuchet MS" w:hAnsi="Trebuchet MS"/>
        </w:rPr>
      </w:pPr>
      <w:r>
        <w:rPr>
          <w:rFonts w:ascii="Trebuchet MS" w:hAnsi="Trebuchet MS"/>
        </w:rPr>
        <w:t>Subsequently the agent supplied the following, received on 21/01/20:</w:t>
      </w:r>
    </w:p>
    <w:p w:rsidR="00AB216D" w:rsidRPr="005F041D" w:rsidRDefault="00DA0CA3" w:rsidP="003C6957">
      <w:pPr>
        <w:spacing w:line="240" w:lineRule="auto"/>
        <w:rPr>
          <w:rFonts w:ascii="Trebuchet MS" w:hAnsi="Trebuchet MS"/>
        </w:rPr>
      </w:pPr>
      <w:r>
        <w:rPr>
          <w:rFonts w:ascii="Trebuchet MS" w:hAnsi="Trebuchet MS"/>
        </w:rPr>
        <w:t xml:space="preserve">Drawing No: AS01719-03 – Rev. B </w:t>
      </w:r>
      <w:r w:rsidR="000E1865">
        <w:rPr>
          <w:rFonts w:ascii="Trebuchet MS" w:hAnsi="Trebuchet MS"/>
        </w:rPr>
        <w:t>– Proposed Elevations</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0E1865" w:rsidRPr="000E1865" w:rsidRDefault="000E1865" w:rsidP="000E1865">
      <w:pPr>
        <w:spacing w:line="240" w:lineRule="auto"/>
        <w:rPr>
          <w:rFonts w:ascii="Trebuchet MS" w:eastAsia="Times New Roman" w:hAnsi="Trebuchet MS" w:cs="Times New Roman"/>
        </w:rPr>
      </w:pPr>
      <w:r w:rsidRPr="000E1865">
        <w:rPr>
          <w:rFonts w:ascii="Trebuchet MS" w:eastAsia="Times New Roman" w:hAnsi="Trebuchet MS" w:cs="Times New Roman"/>
        </w:rPr>
        <w:t>070893/FUL – Two storey side and single storey rear extension – Withdrawn 16/10/07</w:t>
      </w:r>
    </w:p>
    <w:p w:rsidR="000E1865" w:rsidRPr="000E1865" w:rsidRDefault="000E1865" w:rsidP="000E1865">
      <w:pPr>
        <w:spacing w:line="240" w:lineRule="auto"/>
        <w:rPr>
          <w:rFonts w:ascii="Trebuchet MS" w:eastAsia="Times New Roman" w:hAnsi="Trebuchet MS" w:cs="Times New Roman"/>
        </w:rPr>
      </w:pPr>
      <w:r w:rsidRPr="000E1865">
        <w:rPr>
          <w:rFonts w:ascii="Trebuchet MS" w:eastAsia="Times New Roman" w:hAnsi="Trebuchet MS" w:cs="Times New Roman"/>
        </w:rPr>
        <w:t>101200/FUL – Demolition of existing garage and erection of replacement single storey garage – Permitted 04/08/10</w:t>
      </w:r>
    </w:p>
    <w:p w:rsidR="000E1865" w:rsidRPr="000E1865" w:rsidRDefault="000E1865" w:rsidP="000E1865">
      <w:pPr>
        <w:spacing w:line="240" w:lineRule="auto"/>
        <w:rPr>
          <w:rFonts w:ascii="Trebuchet MS" w:eastAsia="Times New Roman" w:hAnsi="Trebuchet MS" w:cs="Times New Roman"/>
        </w:rPr>
      </w:pPr>
      <w:r w:rsidRPr="000E1865">
        <w:rPr>
          <w:rFonts w:ascii="Trebuchet MS" w:eastAsia="Times New Roman" w:hAnsi="Trebuchet MS" w:cs="Times New Roman"/>
        </w:rPr>
        <w:t>121846/FUL – Single storey side extension – Permitted 08/10/12</w:t>
      </w:r>
    </w:p>
    <w:p w:rsidR="000E1865" w:rsidRPr="000E1865" w:rsidRDefault="000E1865" w:rsidP="000E1865">
      <w:pPr>
        <w:spacing w:line="240" w:lineRule="auto"/>
        <w:rPr>
          <w:rFonts w:ascii="Trebuchet MS" w:eastAsia="Times New Roman" w:hAnsi="Trebuchet MS" w:cs="Times New Roman"/>
        </w:rPr>
      </w:pPr>
      <w:r w:rsidRPr="000E1865">
        <w:rPr>
          <w:rFonts w:ascii="Trebuchet MS" w:eastAsia="Times New Roman" w:hAnsi="Trebuchet MS" w:cs="Times New Roman"/>
        </w:rPr>
        <w:t>170584/HOU – Single storey outbuilding and garage – Withdrawn 01/06/17</w:t>
      </w:r>
    </w:p>
    <w:p w:rsidR="000E1865" w:rsidRPr="000E1865" w:rsidRDefault="000E1865" w:rsidP="00AF3FE4">
      <w:pPr>
        <w:spacing w:line="240" w:lineRule="auto"/>
        <w:rPr>
          <w:rFonts w:ascii="Trebuchet MS" w:hAnsi="Trebuchet MS"/>
        </w:rPr>
      </w:pPr>
      <w:r w:rsidRPr="000E1865">
        <w:rPr>
          <w:rFonts w:ascii="Trebuchet MS" w:hAnsi="Trebuchet MS"/>
        </w:rPr>
        <w:t>170934/CLP – Outbuilding – Permitted 28/06/17</w:t>
      </w:r>
    </w:p>
    <w:p w:rsidR="00625504" w:rsidRPr="005F041D" w:rsidRDefault="00625504" w:rsidP="00AF3FE4">
      <w:pPr>
        <w:spacing w:line="240" w:lineRule="auto"/>
        <w:rPr>
          <w:rFonts w:ascii="Trebuchet MS" w:hAnsi="Trebuchet MS"/>
          <w:b/>
        </w:rPr>
      </w:pPr>
      <w:r w:rsidRPr="005F041D">
        <w:rPr>
          <w:rFonts w:ascii="Trebuchet MS" w:hAnsi="Trebuchet MS"/>
          <w:b/>
        </w:rPr>
        <w:lastRenderedPageBreak/>
        <w:t>Summary of Consultations</w:t>
      </w:r>
    </w:p>
    <w:p w:rsidR="00625504" w:rsidRPr="005F041D"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r w:rsidR="000E1865">
        <w:rPr>
          <w:rFonts w:ascii="Trebuchet MS" w:eastAsia="Times New Roman" w:hAnsi="Trebuchet MS"/>
          <w:color w:val="000000"/>
        </w:rPr>
        <w:t xml:space="preserve"> (as amended)</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Permitted development rights for householders</w:t>
      </w:r>
      <w:r w:rsidR="00246D7F" w:rsidRPr="005F041D">
        <w:rPr>
          <w:rFonts w:ascii="Trebuchet MS" w:eastAsia="Times New Roman" w:hAnsi="Trebuchet MS"/>
          <w:color w:val="000000"/>
        </w:rPr>
        <w:t xml:space="preserve"> – Technical Guidance April 2017</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5477D5" w:rsidRPr="005477D5" w:rsidRDefault="00625504" w:rsidP="005477D5">
      <w:pPr>
        <w:spacing w:line="240" w:lineRule="auto"/>
        <w:rPr>
          <w:rFonts w:ascii="Trebuchet MS" w:eastAsia="Times New Roman" w:hAnsi="Trebuchet MS" w:cs="Times New Roman"/>
          <w:color w:val="000000"/>
        </w:rPr>
      </w:pPr>
      <w:r w:rsidRPr="005F041D">
        <w:rPr>
          <w:rFonts w:ascii="Trebuchet MS" w:eastAsia="Times New Roman" w:hAnsi="Trebuchet MS"/>
          <w:color w:val="000000"/>
        </w:rPr>
        <w:t>The proposed</w:t>
      </w:r>
      <w:r w:rsidR="00075F51" w:rsidRPr="005F041D">
        <w:rPr>
          <w:rFonts w:ascii="Trebuchet MS" w:eastAsia="Times New Roman" w:hAnsi="Trebuchet MS"/>
          <w:color w:val="000000"/>
        </w:rPr>
        <w:t xml:space="preserve"> </w:t>
      </w:r>
      <w:r w:rsidR="000E1865">
        <w:rPr>
          <w:rFonts w:ascii="Trebuchet MS" w:eastAsia="Times New Roman" w:hAnsi="Trebuchet MS"/>
          <w:color w:val="000000"/>
        </w:rPr>
        <w:t xml:space="preserve">outbuilding </w:t>
      </w:r>
      <w:r w:rsidRPr="005477D5">
        <w:rPr>
          <w:rFonts w:ascii="Trebuchet MS" w:eastAsia="Times New Roman" w:hAnsi="Trebuchet MS"/>
          <w:color w:val="000000"/>
        </w:rPr>
        <w:t>must be assessed to ensure that it complies with the conditions of Clas</w:t>
      </w:r>
      <w:r w:rsidR="000E1865" w:rsidRPr="005477D5">
        <w:rPr>
          <w:rFonts w:ascii="Trebuchet MS" w:eastAsia="Times New Roman" w:hAnsi="Trebuchet MS"/>
          <w:color w:val="000000"/>
        </w:rPr>
        <w:t>s E</w:t>
      </w:r>
      <w:r w:rsidR="00F57F89" w:rsidRPr="005477D5">
        <w:rPr>
          <w:rFonts w:ascii="Trebuchet MS" w:eastAsia="Times New Roman" w:hAnsi="Trebuchet MS"/>
          <w:color w:val="000000"/>
        </w:rPr>
        <w:t>,</w:t>
      </w:r>
      <w:r w:rsidRPr="005477D5">
        <w:rPr>
          <w:rFonts w:ascii="Trebuchet MS" w:eastAsia="Times New Roman" w:hAnsi="Trebuchet MS"/>
          <w:color w:val="000000"/>
        </w:rPr>
        <w:t xml:space="preserve"> Part 1, Schedule 2 of the Town and Country Planning (General Permitted Development) (En</w:t>
      </w:r>
      <w:r w:rsidR="00F57F89" w:rsidRPr="005477D5">
        <w:rPr>
          <w:rFonts w:ascii="Trebuchet MS" w:eastAsia="Times New Roman" w:hAnsi="Trebuchet MS"/>
          <w:color w:val="000000"/>
        </w:rPr>
        <w:t>gland) Order 2015, which</w:t>
      </w:r>
      <w:r w:rsidR="005477D5" w:rsidRPr="005477D5">
        <w:rPr>
          <w:rFonts w:ascii="Trebuchet MS" w:eastAsia="Times New Roman" w:hAnsi="Trebuchet MS"/>
          <w:color w:val="000000"/>
        </w:rPr>
        <w:t xml:space="preserve"> relates to</w:t>
      </w:r>
      <w:r w:rsidR="00F57F89" w:rsidRPr="005477D5">
        <w:rPr>
          <w:rFonts w:ascii="Trebuchet MS" w:eastAsia="Times New Roman" w:hAnsi="Trebuchet MS"/>
          <w:color w:val="000000"/>
        </w:rPr>
        <w:t xml:space="preserve"> </w:t>
      </w:r>
      <w:r w:rsidR="005477D5" w:rsidRPr="005477D5">
        <w:rPr>
          <w:rFonts w:ascii="Trebuchet MS" w:eastAsia="Times New Roman" w:hAnsi="Trebuchet MS" w:cs="Times New Roman"/>
          <w:color w:val="000000"/>
        </w:rPr>
        <w:t>‘buildings etc incidental to the enjoyment of a dwellinghouse’.</w:t>
      </w:r>
    </w:p>
    <w:p w:rsidR="005477D5" w:rsidRPr="005477D5" w:rsidRDefault="005477D5" w:rsidP="005477D5">
      <w:pPr>
        <w:spacing w:line="240" w:lineRule="auto"/>
        <w:rPr>
          <w:rFonts w:ascii="Trebuchet MS" w:eastAsia="Times New Roman" w:hAnsi="Trebuchet MS" w:cs="Times New Roman"/>
          <w:color w:val="000000"/>
        </w:rPr>
      </w:pPr>
      <w:r w:rsidRPr="005477D5">
        <w:rPr>
          <w:rFonts w:ascii="Trebuchet MS" w:eastAsia="Times New Roman" w:hAnsi="Trebuchet MS" w:cs="Times New Roman"/>
          <w:color w:val="000000"/>
        </w:rPr>
        <w:t xml:space="preserve">The relevant conditions of the GPDO for an outbuilding, which is not listed or in a conservation area, are as follows: </w:t>
      </w:r>
    </w:p>
    <w:p w:rsidR="005477D5" w:rsidRPr="005477D5" w:rsidRDefault="005477D5" w:rsidP="005477D5">
      <w:pPr>
        <w:spacing w:line="240" w:lineRule="auto"/>
        <w:rPr>
          <w:rFonts w:ascii="Trebuchet MS" w:eastAsia="Times New Roman" w:hAnsi="Trebuchet MS" w:cs="Times New Roman"/>
          <w:color w:val="000000"/>
        </w:rPr>
      </w:pPr>
      <w:r w:rsidRPr="005477D5">
        <w:rPr>
          <w:rFonts w:ascii="Trebuchet MS" w:eastAsia="Times New Roman" w:hAnsi="Trebuchet MS" w:cs="Times New Roman"/>
          <w:color w:val="000000"/>
        </w:rPr>
        <w:t>E.1 Development is not permitted by Class E if:</w:t>
      </w:r>
    </w:p>
    <w:p w:rsidR="005477D5" w:rsidRPr="005477D5" w:rsidRDefault="005477D5" w:rsidP="005477D5">
      <w:pPr>
        <w:spacing w:line="240" w:lineRule="auto"/>
        <w:rPr>
          <w:rFonts w:ascii="Trebuchet MS" w:eastAsia="Times New Roman" w:hAnsi="Trebuchet MS" w:cs="Times New Roman"/>
          <w:b/>
          <w:color w:val="000000"/>
        </w:rPr>
      </w:pPr>
      <w:r w:rsidRPr="005477D5">
        <w:rPr>
          <w:rFonts w:ascii="Trebuchet MS" w:eastAsia="Times New Roman" w:hAnsi="Trebuchet MS" w:cs="Times New Roman"/>
          <w:color w:val="000000"/>
        </w:rPr>
        <w:t xml:space="preserve">E.1 (a) permission to use the dwellinghouse as a dwellinghouse has been granted only by virtue of Class M, N, P or Q of Part 3 of this Schedule (changes of use); </w:t>
      </w:r>
      <w:r w:rsidRPr="005477D5">
        <w:rPr>
          <w:rFonts w:ascii="Trebuchet MS" w:eastAsia="Times New Roman" w:hAnsi="Trebuchet MS" w:cs="Times New Roman"/>
          <w:b/>
          <w:color w:val="000000"/>
        </w:rPr>
        <w:t>complies</w:t>
      </w:r>
    </w:p>
    <w:p w:rsidR="005477D5" w:rsidRPr="005477D5" w:rsidRDefault="005477D5" w:rsidP="005477D5">
      <w:pPr>
        <w:spacing w:line="240" w:lineRule="auto"/>
        <w:rPr>
          <w:rFonts w:ascii="Trebuchet MS" w:eastAsia="Times New Roman" w:hAnsi="Trebuchet MS" w:cs="Times New Roman"/>
          <w:b/>
          <w:color w:val="000000"/>
        </w:rPr>
      </w:pPr>
      <w:r w:rsidRPr="005477D5">
        <w:rPr>
          <w:rFonts w:ascii="Trebuchet MS" w:eastAsia="Times New Roman" w:hAnsi="Trebuchet MS" w:cs="Times New Roman"/>
          <w:color w:val="000000"/>
        </w:rPr>
        <w:t xml:space="preserve">E.1 (b) the total area of ground covered by buildings, enclosures and containers within the curtilage (other than the original dwellinghouse) would exceed 50% of the total area of the curtilage (excluding the ground area of the original dwellinghouse); </w:t>
      </w:r>
      <w:r w:rsidRPr="005477D5">
        <w:rPr>
          <w:rFonts w:ascii="Trebuchet MS" w:eastAsia="Times New Roman" w:hAnsi="Trebuchet MS" w:cs="Times New Roman"/>
          <w:b/>
          <w:color w:val="000000"/>
        </w:rPr>
        <w:t>complies</w:t>
      </w:r>
    </w:p>
    <w:p w:rsidR="005477D5" w:rsidRPr="005477D5" w:rsidRDefault="005477D5" w:rsidP="005477D5">
      <w:pPr>
        <w:spacing w:line="240" w:lineRule="auto"/>
        <w:rPr>
          <w:rFonts w:ascii="Trebuchet MS" w:eastAsia="Times New Roman" w:hAnsi="Trebuchet MS" w:cs="Times New Roman"/>
          <w:b/>
          <w:color w:val="000000"/>
        </w:rPr>
      </w:pPr>
      <w:r w:rsidRPr="005477D5">
        <w:rPr>
          <w:rFonts w:ascii="Trebuchet MS" w:eastAsia="Times New Roman" w:hAnsi="Trebuchet MS" w:cs="Times New Roman"/>
          <w:color w:val="000000"/>
        </w:rPr>
        <w:t xml:space="preserve">E.1 (c) any part of the building, enclosure, pool or container would be situated on land forward of a wall forming the principal elevation of the original dwellinghouse; </w:t>
      </w:r>
      <w:r w:rsidRPr="005477D5">
        <w:rPr>
          <w:rFonts w:ascii="Trebuchet MS" w:eastAsia="Times New Roman" w:hAnsi="Trebuchet MS" w:cs="Times New Roman"/>
          <w:b/>
          <w:color w:val="000000"/>
        </w:rPr>
        <w:t>complies</w:t>
      </w:r>
    </w:p>
    <w:p w:rsidR="005477D5" w:rsidRPr="005477D5" w:rsidRDefault="005477D5" w:rsidP="005477D5">
      <w:pPr>
        <w:spacing w:line="240" w:lineRule="auto"/>
        <w:rPr>
          <w:rFonts w:ascii="Trebuchet MS" w:eastAsia="Times New Roman" w:hAnsi="Trebuchet MS" w:cs="Times New Roman"/>
          <w:b/>
          <w:color w:val="000000"/>
        </w:rPr>
      </w:pPr>
      <w:r w:rsidRPr="005477D5">
        <w:rPr>
          <w:rFonts w:ascii="Trebuchet MS" w:eastAsia="Times New Roman" w:hAnsi="Trebuchet MS" w:cs="Times New Roman"/>
          <w:color w:val="000000"/>
        </w:rPr>
        <w:t xml:space="preserve">E.1 (d) the building would have more than a single storey; </w:t>
      </w:r>
      <w:r w:rsidRPr="005477D5">
        <w:rPr>
          <w:rFonts w:ascii="Trebuchet MS" w:eastAsia="Times New Roman" w:hAnsi="Trebuchet MS" w:cs="Times New Roman"/>
          <w:b/>
          <w:color w:val="000000"/>
        </w:rPr>
        <w:t>complies</w:t>
      </w:r>
    </w:p>
    <w:p w:rsidR="005477D5" w:rsidRPr="005477D5" w:rsidRDefault="005477D5" w:rsidP="005477D5">
      <w:pPr>
        <w:spacing w:line="240" w:lineRule="auto"/>
        <w:rPr>
          <w:rFonts w:ascii="Trebuchet MS" w:eastAsia="Times New Roman" w:hAnsi="Trebuchet MS" w:cs="Times New Roman"/>
          <w:b/>
          <w:color w:val="000000"/>
        </w:rPr>
      </w:pPr>
      <w:r w:rsidRPr="005477D5">
        <w:rPr>
          <w:rFonts w:ascii="Trebuchet MS" w:eastAsia="Times New Roman" w:hAnsi="Trebuchet MS" w:cs="Times New Roman"/>
          <w:color w:val="000000"/>
        </w:rPr>
        <w:t>E.1 (e) the height of the building, enclosure or container would exceed (</w:t>
      </w:r>
      <w:proofErr w:type="spellStart"/>
      <w:r w:rsidRPr="005477D5">
        <w:rPr>
          <w:rFonts w:ascii="Trebuchet MS" w:eastAsia="Times New Roman" w:hAnsi="Trebuchet MS" w:cs="Times New Roman"/>
          <w:color w:val="000000"/>
        </w:rPr>
        <w:t>i</w:t>
      </w:r>
      <w:proofErr w:type="spellEnd"/>
      <w:r w:rsidRPr="005477D5">
        <w:rPr>
          <w:rFonts w:ascii="Trebuchet MS" w:eastAsia="Times New Roman" w:hAnsi="Trebuchet MS" w:cs="Times New Roman"/>
          <w:color w:val="000000"/>
        </w:rPr>
        <w:t xml:space="preserve">) 4 metres in the case of a building with a dual-pitched roof, </w:t>
      </w:r>
      <w:r w:rsidRPr="005477D5">
        <w:rPr>
          <w:rFonts w:ascii="Trebuchet MS" w:eastAsia="Times New Roman" w:hAnsi="Trebuchet MS" w:cs="Times New Roman"/>
          <w:b/>
          <w:color w:val="000000"/>
        </w:rPr>
        <w:t xml:space="preserve">n/a </w:t>
      </w:r>
      <w:r w:rsidRPr="005477D5">
        <w:rPr>
          <w:rFonts w:ascii="Trebuchet MS" w:eastAsia="Times New Roman" w:hAnsi="Trebuchet MS" w:cs="Times New Roman"/>
          <w:color w:val="000000"/>
        </w:rPr>
        <w:t xml:space="preserve">(ii) 2.5 metres in the case of a building, enclosure or container within 2 metres of the boundary of the curtilage of the dwellinghouse, </w:t>
      </w:r>
      <w:r w:rsidRPr="005477D5">
        <w:rPr>
          <w:rFonts w:ascii="Trebuchet MS" w:eastAsia="Times New Roman" w:hAnsi="Trebuchet MS" w:cs="Times New Roman"/>
          <w:b/>
          <w:color w:val="000000"/>
        </w:rPr>
        <w:t xml:space="preserve">complies </w:t>
      </w:r>
      <w:r w:rsidRPr="005477D5">
        <w:rPr>
          <w:rFonts w:ascii="Trebuchet MS" w:eastAsia="Times New Roman" w:hAnsi="Trebuchet MS" w:cs="Times New Roman"/>
          <w:color w:val="000000"/>
        </w:rPr>
        <w:t xml:space="preserve">or (iii) 3 metres in any other case; </w:t>
      </w:r>
      <w:r w:rsidRPr="005477D5">
        <w:rPr>
          <w:rFonts w:ascii="Trebuchet MS" w:eastAsia="Times New Roman" w:hAnsi="Trebuchet MS" w:cs="Times New Roman"/>
          <w:b/>
          <w:color w:val="000000"/>
        </w:rPr>
        <w:t>n/a</w:t>
      </w:r>
    </w:p>
    <w:p w:rsidR="005477D5" w:rsidRPr="005477D5" w:rsidRDefault="005477D5" w:rsidP="005477D5">
      <w:pPr>
        <w:spacing w:line="240" w:lineRule="auto"/>
        <w:rPr>
          <w:rFonts w:ascii="Trebuchet MS" w:eastAsia="Times New Roman" w:hAnsi="Trebuchet MS" w:cs="Times New Roman"/>
          <w:b/>
          <w:color w:val="000000"/>
        </w:rPr>
      </w:pPr>
      <w:r w:rsidRPr="005477D5">
        <w:rPr>
          <w:rFonts w:ascii="Trebuchet MS" w:eastAsia="Times New Roman" w:hAnsi="Trebuchet MS" w:cs="Times New Roman"/>
          <w:color w:val="000000"/>
        </w:rPr>
        <w:t xml:space="preserve">E.1 (f) the height of the eaves of the building would exceed 2.5 metres; </w:t>
      </w:r>
      <w:r w:rsidRPr="005477D5">
        <w:rPr>
          <w:rFonts w:ascii="Trebuchet MS" w:eastAsia="Times New Roman" w:hAnsi="Trebuchet MS" w:cs="Times New Roman"/>
          <w:b/>
          <w:color w:val="000000"/>
        </w:rPr>
        <w:t>complies</w:t>
      </w:r>
    </w:p>
    <w:p w:rsidR="005477D5" w:rsidRPr="005477D5" w:rsidRDefault="005477D5" w:rsidP="005477D5">
      <w:pPr>
        <w:spacing w:line="240" w:lineRule="auto"/>
        <w:rPr>
          <w:rFonts w:ascii="Trebuchet MS" w:eastAsia="Times New Roman" w:hAnsi="Trebuchet MS" w:cs="Times New Roman"/>
          <w:b/>
          <w:color w:val="000000"/>
        </w:rPr>
      </w:pPr>
      <w:r w:rsidRPr="005477D5">
        <w:rPr>
          <w:rFonts w:ascii="Trebuchet MS" w:eastAsia="Times New Roman" w:hAnsi="Trebuchet MS" w:cs="Times New Roman"/>
          <w:color w:val="000000"/>
        </w:rPr>
        <w:t xml:space="preserve">E.1 (g) the building, enclosure, pool or container would be situated within the curtilage of a listed building; </w:t>
      </w:r>
      <w:r w:rsidRPr="005477D5">
        <w:rPr>
          <w:rFonts w:ascii="Trebuchet MS" w:eastAsia="Times New Roman" w:hAnsi="Trebuchet MS" w:cs="Times New Roman"/>
          <w:b/>
          <w:color w:val="000000"/>
        </w:rPr>
        <w:t>complies</w:t>
      </w:r>
    </w:p>
    <w:p w:rsidR="005477D5" w:rsidRPr="005477D5" w:rsidRDefault="005477D5" w:rsidP="005477D5">
      <w:pPr>
        <w:spacing w:line="240" w:lineRule="auto"/>
        <w:rPr>
          <w:rFonts w:ascii="Trebuchet MS" w:eastAsia="Times New Roman" w:hAnsi="Trebuchet MS" w:cs="Times New Roman"/>
          <w:b/>
          <w:color w:val="000000"/>
        </w:rPr>
      </w:pPr>
      <w:r w:rsidRPr="005477D5">
        <w:rPr>
          <w:rFonts w:ascii="Trebuchet MS" w:eastAsia="Times New Roman" w:hAnsi="Trebuchet MS" w:cs="Times New Roman"/>
          <w:color w:val="000000"/>
        </w:rPr>
        <w:t xml:space="preserve">E.1 (h) it would include the construction or provision of a </w:t>
      </w:r>
      <w:proofErr w:type="spellStart"/>
      <w:r w:rsidRPr="005477D5">
        <w:rPr>
          <w:rFonts w:ascii="Trebuchet MS" w:eastAsia="Times New Roman" w:hAnsi="Trebuchet MS" w:cs="Times New Roman"/>
          <w:color w:val="000000"/>
        </w:rPr>
        <w:t>verandah</w:t>
      </w:r>
      <w:proofErr w:type="spellEnd"/>
      <w:r w:rsidRPr="005477D5">
        <w:rPr>
          <w:rFonts w:ascii="Trebuchet MS" w:eastAsia="Times New Roman" w:hAnsi="Trebuchet MS" w:cs="Times New Roman"/>
          <w:color w:val="000000"/>
        </w:rPr>
        <w:t xml:space="preserve">, balcony or raised platform; </w:t>
      </w:r>
      <w:r w:rsidRPr="005477D5">
        <w:rPr>
          <w:rFonts w:ascii="Trebuchet MS" w:eastAsia="Times New Roman" w:hAnsi="Trebuchet MS" w:cs="Times New Roman"/>
          <w:b/>
          <w:color w:val="000000"/>
        </w:rPr>
        <w:t>complies</w:t>
      </w:r>
    </w:p>
    <w:p w:rsidR="005477D5" w:rsidRPr="005477D5" w:rsidRDefault="005477D5" w:rsidP="005477D5">
      <w:pPr>
        <w:spacing w:line="240" w:lineRule="auto"/>
        <w:rPr>
          <w:rFonts w:ascii="Trebuchet MS" w:eastAsia="Times New Roman" w:hAnsi="Trebuchet MS" w:cs="Times New Roman"/>
          <w:color w:val="000000"/>
        </w:rPr>
      </w:pPr>
      <w:r w:rsidRPr="005477D5">
        <w:rPr>
          <w:rFonts w:ascii="Trebuchet MS" w:eastAsia="Times New Roman" w:hAnsi="Trebuchet MS" w:cs="Times New Roman"/>
          <w:color w:val="000000"/>
        </w:rPr>
        <w:t>E.1 (</w:t>
      </w:r>
      <w:proofErr w:type="spellStart"/>
      <w:r w:rsidRPr="005477D5">
        <w:rPr>
          <w:rFonts w:ascii="Trebuchet MS" w:eastAsia="Times New Roman" w:hAnsi="Trebuchet MS" w:cs="Times New Roman"/>
          <w:color w:val="000000"/>
        </w:rPr>
        <w:t>i</w:t>
      </w:r>
      <w:proofErr w:type="spellEnd"/>
      <w:r w:rsidRPr="005477D5">
        <w:rPr>
          <w:rFonts w:ascii="Trebuchet MS" w:eastAsia="Times New Roman" w:hAnsi="Trebuchet MS" w:cs="Times New Roman"/>
          <w:color w:val="000000"/>
        </w:rPr>
        <w:t xml:space="preserve">) it relates to a dwelling or a microwave antenna; </w:t>
      </w:r>
      <w:r w:rsidRPr="005477D5">
        <w:rPr>
          <w:rFonts w:ascii="Trebuchet MS" w:eastAsia="Times New Roman" w:hAnsi="Trebuchet MS" w:cs="Times New Roman"/>
          <w:b/>
          <w:color w:val="000000"/>
        </w:rPr>
        <w:t xml:space="preserve">complies </w:t>
      </w:r>
      <w:r w:rsidRPr="005477D5">
        <w:rPr>
          <w:rFonts w:ascii="Trebuchet MS" w:eastAsia="Times New Roman" w:hAnsi="Trebuchet MS" w:cs="Times New Roman"/>
          <w:color w:val="000000"/>
        </w:rPr>
        <w:t>or</w:t>
      </w:r>
    </w:p>
    <w:p w:rsidR="005477D5" w:rsidRPr="005477D5" w:rsidRDefault="005477D5" w:rsidP="005477D5">
      <w:pPr>
        <w:spacing w:line="240" w:lineRule="auto"/>
        <w:rPr>
          <w:rFonts w:ascii="Trebuchet MS" w:eastAsia="Times New Roman" w:hAnsi="Trebuchet MS" w:cs="Times New Roman"/>
          <w:b/>
          <w:color w:val="000000"/>
        </w:rPr>
      </w:pPr>
      <w:r w:rsidRPr="005477D5">
        <w:rPr>
          <w:rFonts w:ascii="Trebuchet MS" w:eastAsia="Times New Roman" w:hAnsi="Trebuchet MS" w:cs="Times New Roman"/>
          <w:color w:val="000000"/>
        </w:rPr>
        <w:t xml:space="preserve">E.1 (j) the capacity of the container would exceed 3,500 litres. </w:t>
      </w:r>
      <w:r w:rsidRPr="005477D5">
        <w:rPr>
          <w:rFonts w:ascii="Trebuchet MS" w:eastAsia="Times New Roman" w:hAnsi="Trebuchet MS" w:cs="Times New Roman"/>
          <w:b/>
          <w:color w:val="000000"/>
        </w:rPr>
        <w:t>complies</w:t>
      </w:r>
    </w:p>
    <w:p w:rsidR="005477D5" w:rsidRPr="005477D5" w:rsidRDefault="005477D5" w:rsidP="005477D5">
      <w:pPr>
        <w:spacing w:line="240" w:lineRule="auto"/>
        <w:rPr>
          <w:rFonts w:ascii="Trebuchet MS" w:eastAsia="Times New Roman" w:hAnsi="Trebuchet MS" w:cs="Times New Roman"/>
          <w:color w:val="000000"/>
        </w:rPr>
      </w:pPr>
      <w:r w:rsidRPr="005477D5">
        <w:rPr>
          <w:rFonts w:ascii="Trebuchet MS" w:eastAsia="Times New Roman" w:hAnsi="Trebuchet MS" w:cs="Times New Roman"/>
          <w:color w:val="000000"/>
        </w:rPr>
        <w:t>E.2 In the case of any land within the curtilage of the dwellinghouse which is within:</w:t>
      </w:r>
    </w:p>
    <w:p w:rsidR="005477D5" w:rsidRPr="005477D5" w:rsidRDefault="005477D5" w:rsidP="005477D5">
      <w:pPr>
        <w:spacing w:line="240" w:lineRule="auto"/>
        <w:rPr>
          <w:rFonts w:ascii="Trebuchet MS" w:eastAsia="Times New Roman" w:hAnsi="Trebuchet MS" w:cs="Times New Roman"/>
          <w:color w:val="000000"/>
        </w:rPr>
      </w:pPr>
      <w:r w:rsidRPr="005477D5">
        <w:rPr>
          <w:rFonts w:ascii="Trebuchet MS" w:eastAsia="Times New Roman" w:hAnsi="Trebuchet MS" w:cs="Times New Roman"/>
          <w:color w:val="000000"/>
        </w:rPr>
        <w:lastRenderedPageBreak/>
        <w:t>(a) an area of outstanding natural beauty;</w:t>
      </w:r>
    </w:p>
    <w:p w:rsidR="005477D5" w:rsidRPr="005477D5" w:rsidRDefault="005477D5" w:rsidP="005477D5">
      <w:pPr>
        <w:spacing w:line="240" w:lineRule="auto"/>
        <w:rPr>
          <w:rFonts w:ascii="Trebuchet MS" w:eastAsia="Times New Roman" w:hAnsi="Trebuchet MS" w:cs="Times New Roman"/>
          <w:color w:val="000000"/>
        </w:rPr>
      </w:pPr>
      <w:r w:rsidRPr="005477D5">
        <w:rPr>
          <w:rFonts w:ascii="Trebuchet MS" w:eastAsia="Times New Roman" w:hAnsi="Trebuchet MS" w:cs="Times New Roman"/>
          <w:color w:val="000000"/>
        </w:rPr>
        <w:t>(b) the Broads;</w:t>
      </w:r>
    </w:p>
    <w:p w:rsidR="005477D5" w:rsidRPr="005477D5" w:rsidRDefault="005477D5" w:rsidP="005477D5">
      <w:pPr>
        <w:spacing w:line="240" w:lineRule="auto"/>
        <w:rPr>
          <w:rFonts w:ascii="Trebuchet MS" w:eastAsia="Times New Roman" w:hAnsi="Trebuchet MS" w:cs="Times New Roman"/>
          <w:color w:val="000000"/>
        </w:rPr>
      </w:pPr>
      <w:r w:rsidRPr="005477D5">
        <w:rPr>
          <w:rFonts w:ascii="Trebuchet MS" w:eastAsia="Times New Roman" w:hAnsi="Trebuchet MS" w:cs="Times New Roman"/>
          <w:color w:val="000000"/>
        </w:rPr>
        <w:t xml:space="preserve">(c) a National Park; or </w:t>
      </w:r>
    </w:p>
    <w:p w:rsidR="005477D5" w:rsidRPr="005477D5" w:rsidRDefault="005477D5" w:rsidP="005477D5">
      <w:pPr>
        <w:spacing w:line="240" w:lineRule="auto"/>
        <w:rPr>
          <w:rFonts w:ascii="Trebuchet MS" w:eastAsia="Times New Roman" w:hAnsi="Trebuchet MS" w:cs="Times New Roman"/>
          <w:color w:val="000000"/>
        </w:rPr>
      </w:pPr>
      <w:r w:rsidRPr="005477D5">
        <w:rPr>
          <w:rFonts w:ascii="Trebuchet MS" w:eastAsia="Times New Roman" w:hAnsi="Trebuchet MS" w:cs="Times New Roman"/>
          <w:color w:val="000000"/>
        </w:rPr>
        <w:t>(d) a World Heritage Site,</w:t>
      </w:r>
    </w:p>
    <w:p w:rsidR="005477D5" w:rsidRPr="005477D5" w:rsidRDefault="005477D5" w:rsidP="005477D5">
      <w:pPr>
        <w:spacing w:line="240" w:lineRule="auto"/>
        <w:rPr>
          <w:rFonts w:ascii="Trebuchet MS" w:eastAsia="Times New Roman" w:hAnsi="Trebuchet MS" w:cs="Times New Roman"/>
          <w:b/>
          <w:color w:val="000000"/>
        </w:rPr>
      </w:pPr>
      <w:r w:rsidRPr="005477D5">
        <w:rPr>
          <w:rFonts w:ascii="Trebuchet MS" w:eastAsia="Times New Roman" w:hAnsi="Trebuchet MS" w:cs="Times New Roman"/>
          <w:color w:val="000000"/>
        </w:rPr>
        <w:t xml:space="preserve">development is not permitted by Class E if the total area of ground covered by buildings, enclosures, pools and containers situated more than 20 metres from any wall of the dwellinghouse would exceed 10 square metres. </w:t>
      </w:r>
      <w:r w:rsidRPr="005477D5">
        <w:rPr>
          <w:rFonts w:ascii="Trebuchet MS" w:eastAsia="Times New Roman" w:hAnsi="Trebuchet MS" w:cs="Times New Roman"/>
          <w:b/>
          <w:color w:val="000000"/>
        </w:rPr>
        <w:t>complies</w:t>
      </w:r>
    </w:p>
    <w:p w:rsidR="005477D5" w:rsidRPr="005477D5" w:rsidRDefault="005477D5" w:rsidP="005477D5">
      <w:pPr>
        <w:spacing w:line="240" w:lineRule="auto"/>
        <w:rPr>
          <w:rFonts w:ascii="Trebuchet MS" w:eastAsia="Times New Roman" w:hAnsi="Trebuchet MS" w:cs="Times New Roman"/>
          <w:b/>
          <w:color w:val="000000"/>
        </w:rPr>
      </w:pPr>
      <w:r w:rsidRPr="005477D5">
        <w:rPr>
          <w:rFonts w:ascii="Trebuchet MS" w:eastAsia="Times New Roman" w:hAnsi="Trebuchet MS" w:cs="Times New Roman"/>
          <w:color w:val="000000"/>
        </w:rPr>
        <w:t xml:space="preserve">E.3 In the case of any land within the curtilage of the dwellinghouse which </w:t>
      </w:r>
      <w:proofErr w:type="gramStart"/>
      <w:r w:rsidRPr="005477D5">
        <w:rPr>
          <w:rFonts w:ascii="Trebuchet MS" w:eastAsia="Times New Roman" w:hAnsi="Trebuchet MS" w:cs="Times New Roman"/>
          <w:color w:val="000000"/>
        </w:rPr>
        <w:t>is article 2(3) land</w:t>
      </w:r>
      <w:proofErr w:type="gramEnd"/>
      <w:r w:rsidRPr="005477D5">
        <w:rPr>
          <w:rFonts w:ascii="Trebuchet MS" w:eastAsia="Times New Roman" w:hAnsi="Trebuchet MS" w:cs="Times New Roman"/>
          <w:color w:val="000000"/>
        </w:rPr>
        <w:t xml:space="preserve">, development is not permitted by Class E if any part of the building, enclosure, pool or container would be situated on land between a wall forming a side elevation of the dwellinghouse and the boundary of the curtilage of the dwellinghouse. </w:t>
      </w:r>
      <w:r w:rsidRPr="005477D5">
        <w:rPr>
          <w:rFonts w:ascii="Trebuchet MS" w:eastAsia="Times New Roman" w:hAnsi="Trebuchet MS" w:cs="Times New Roman"/>
          <w:b/>
          <w:color w:val="000000"/>
        </w:rPr>
        <w:t>complies</w:t>
      </w:r>
    </w:p>
    <w:p w:rsidR="005477D5" w:rsidRPr="005477D5" w:rsidRDefault="005477D5" w:rsidP="005477D5">
      <w:pPr>
        <w:spacing w:line="240" w:lineRule="auto"/>
        <w:rPr>
          <w:rFonts w:ascii="Trebuchet MS" w:eastAsia="Times New Roman" w:hAnsi="Trebuchet MS" w:cs="Times New Roman"/>
          <w:b/>
          <w:color w:val="000000"/>
        </w:rPr>
      </w:pPr>
      <w:r w:rsidRPr="005477D5">
        <w:rPr>
          <w:rFonts w:ascii="Trebuchet MS" w:eastAsia="Times New Roman" w:hAnsi="Trebuchet MS" w:cs="Times New Roman"/>
          <w:b/>
          <w:color w:val="000000"/>
        </w:rPr>
        <w:t>Recommendation</w:t>
      </w:r>
    </w:p>
    <w:p w:rsidR="005477D5" w:rsidRPr="005477D5" w:rsidRDefault="005477D5" w:rsidP="005477D5">
      <w:pPr>
        <w:spacing w:line="240" w:lineRule="auto"/>
        <w:rPr>
          <w:rFonts w:ascii="Trebuchet MS" w:eastAsia="Times New Roman" w:hAnsi="Trebuchet MS" w:cs="Times New Roman"/>
          <w:color w:val="000000"/>
        </w:rPr>
      </w:pPr>
      <w:proofErr w:type="gramStart"/>
      <w:r w:rsidRPr="005477D5">
        <w:rPr>
          <w:rFonts w:ascii="Trebuchet MS" w:eastAsia="Times New Roman" w:hAnsi="Trebuchet MS" w:cs="Times New Roman"/>
          <w:color w:val="000000"/>
        </w:rPr>
        <w:t>Sufficient</w:t>
      </w:r>
      <w:proofErr w:type="gramEnd"/>
      <w:r w:rsidRPr="005477D5">
        <w:rPr>
          <w:rFonts w:ascii="Trebuchet MS" w:eastAsia="Times New Roman" w:hAnsi="Trebuchet MS" w:cs="Times New Roman"/>
          <w:color w:val="000000"/>
        </w:rPr>
        <w:t xml:space="preserve"> evidence has been provided to demonstrate that a Certificate of Lawfulness should be granted for the proposed outbuilding.</w:t>
      </w:r>
      <w:r w:rsidR="001F6EA2">
        <w:rPr>
          <w:rFonts w:ascii="Trebuchet MS" w:eastAsia="Times New Roman" w:hAnsi="Trebuchet MS" w:cs="Times New Roman"/>
          <w:color w:val="000000"/>
        </w:rPr>
        <w:t xml:space="preserve"> Though sizeable in floor area, officers are satisfied that the use of the outbuilding would remain incidental to the enjoyment of the principal </w:t>
      </w:r>
      <w:bookmarkStart w:id="0" w:name="_GoBack"/>
      <w:bookmarkEnd w:id="0"/>
      <w:r w:rsidR="001F6EA2">
        <w:rPr>
          <w:rFonts w:ascii="Trebuchet MS" w:eastAsia="Times New Roman" w:hAnsi="Trebuchet MS" w:cs="Times New Roman"/>
          <w:color w:val="000000"/>
        </w:rPr>
        <w:t>dwellinghouse.</w:t>
      </w:r>
    </w:p>
    <w:p w:rsidR="005477D5" w:rsidRPr="005477D5" w:rsidRDefault="005477D5" w:rsidP="005477D5">
      <w:pPr>
        <w:spacing w:line="240" w:lineRule="auto"/>
        <w:rPr>
          <w:rFonts w:ascii="Trebuchet MS" w:eastAsia="Times New Roman" w:hAnsi="Trebuchet MS" w:cs="Times New Roman"/>
        </w:rPr>
      </w:pPr>
      <w:r w:rsidRPr="005477D5">
        <w:rPr>
          <w:rFonts w:ascii="Trebuchet MS" w:eastAsia="Times New Roman" w:hAnsi="Trebuchet MS" w:cs="Times New Roman"/>
        </w:rPr>
        <w:t xml:space="preserve">The proposal has been assessed against the Town and Country Planning Act 1990 (as amended) and Class E, Part 1, Schedule 2 of the Town and Country Planning (General Permitted Development) (England) Order 2015. It can be confirmed that the proposed operation would be lawful for planning purposes </w:t>
      </w:r>
      <w:proofErr w:type="gramStart"/>
      <w:r w:rsidRPr="005477D5">
        <w:rPr>
          <w:rFonts w:ascii="Trebuchet MS" w:eastAsia="Times New Roman" w:hAnsi="Trebuchet MS" w:cs="Times New Roman"/>
        </w:rPr>
        <w:t>on the basis of</w:t>
      </w:r>
      <w:proofErr w:type="gramEnd"/>
      <w:r w:rsidRPr="005477D5">
        <w:rPr>
          <w:rFonts w:ascii="Trebuchet MS" w:eastAsia="Times New Roman" w:hAnsi="Trebuchet MS" w:cs="Times New Roman"/>
        </w:rPr>
        <w:t xml:space="preserve"> the </w:t>
      </w:r>
      <w:r>
        <w:rPr>
          <w:rFonts w:ascii="Trebuchet MS" w:eastAsia="Times New Roman" w:hAnsi="Trebuchet MS" w:cs="Times New Roman"/>
        </w:rPr>
        <w:t xml:space="preserve">following </w:t>
      </w:r>
      <w:r w:rsidRPr="005477D5">
        <w:rPr>
          <w:rFonts w:ascii="Trebuchet MS" w:eastAsia="Times New Roman" w:hAnsi="Trebuchet MS" w:cs="Times New Roman"/>
        </w:rPr>
        <w:t>drawings:</w:t>
      </w:r>
    </w:p>
    <w:p w:rsidR="005477D5" w:rsidRDefault="005477D5" w:rsidP="005477D5">
      <w:pPr>
        <w:spacing w:line="240" w:lineRule="auto"/>
        <w:rPr>
          <w:rFonts w:ascii="Trebuchet MS" w:hAnsi="Trebuchet MS"/>
        </w:rPr>
      </w:pPr>
      <w:r>
        <w:rPr>
          <w:rFonts w:ascii="Trebuchet MS" w:hAnsi="Trebuchet MS"/>
        </w:rPr>
        <w:t>Drawing No: AS01719-BP01 – Block Plan</w:t>
      </w:r>
      <w:r>
        <w:rPr>
          <w:rFonts w:ascii="Trebuchet MS" w:hAnsi="Trebuchet MS"/>
        </w:rPr>
        <w:t xml:space="preserve"> (received 12/11/19)</w:t>
      </w:r>
    </w:p>
    <w:p w:rsidR="005477D5" w:rsidRDefault="005477D5" w:rsidP="005477D5">
      <w:pPr>
        <w:spacing w:line="240" w:lineRule="auto"/>
        <w:rPr>
          <w:rFonts w:ascii="Trebuchet MS" w:hAnsi="Trebuchet MS"/>
        </w:rPr>
      </w:pPr>
      <w:r>
        <w:rPr>
          <w:rFonts w:ascii="Trebuchet MS" w:hAnsi="Trebuchet MS"/>
        </w:rPr>
        <w:t>Drawing No: AS01719-02 – Proposed Floor Plan</w:t>
      </w:r>
      <w:r>
        <w:rPr>
          <w:rFonts w:ascii="Trebuchet MS" w:hAnsi="Trebuchet MS"/>
        </w:rPr>
        <w:t xml:space="preserve"> (received 12/11/19)</w:t>
      </w:r>
    </w:p>
    <w:p w:rsidR="005477D5" w:rsidRPr="005F041D" w:rsidRDefault="005477D5" w:rsidP="005477D5">
      <w:pPr>
        <w:spacing w:line="240" w:lineRule="auto"/>
        <w:rPr>
          <w:rFonts w:ascii="Trebuchet MS" w:hAnsi="Trebuchet MS"/>
        </w:rPr>
      </w:pPr>
      <w:r>
        <w:rPr>
          <w:rFonts w:ascii="Trebuchet MS" w:hAnsi="Trebuchet MS"/>
        </w:rPr>
        <w:t>Drawing No: AS01719-03 – Rev. B – Proposed Elevations</w:t>
      </w:r>
      <w:r>
        <w:rPr>
          <w:rFonts w:ascii="Trebuchet MS" w:hAnsi="Trebuchet MS"/>
        </w:rPr>
        <w:t xml:space="preserve"> (received 21/01/20)</w:t>
      </w:r>
    </w:p>
    <w:p w:rsidR="005477D5" w:rsidRPr="005477D5" w:rsidRDefault="005477D5" w:rsidP="005477D5">
      <w:pPr>
        <w:spacing w:line="240" w:lineRule="auto"/>
        <w:rPr>
          <w:rFonts w:ascii="Trebuchet MS" w:eastAsia="Times New Roman" w:hAnsi="Trebuchet MS" w:cs="Times New Roman"/>
        </w:rPr>
      </w:pPr>
      <w:proofErr w:type="gramStart"/>
      <w:r w:rsidRPr="005477D5">
        <w:rPr>
          <w:rFonts w:ascii="Trebuchet MS" w:eastAsia="Times New Roman" w:hAnsi="Trebuchet MS" w:cs="Times New Roman"/>
        </w:rPr>
        <w:t>Therefore</w:t>
      </w:r>
      <w:proofErr w:type="gramEnd"/>
      <w:r w:rsidRPr="005477D5">
        <w:rPr>
          <w:rFonts w:ascii="Trebuchet MS" w:eastAsia="Times New Roman" w:hAnsi="Trebuchet MS" w:cs="Times New Roman"/>
        </w:rPr>
        <w:t xml:space="preserve"> the Local Planning Authority can issue the applicant with a Certificate of Lawfulness for the proposed development.</w:t>
      </w:r>
    </w:p>
    <w:p w:rsidR="005477D5" w:rsidRPr="005477D5" w:rsidRDefault="005477D5" w:rsidP="005477D5">
      <w:pPr>
        <w:spacing w:line="240" w:lineRule="auto"/>
        <w:rPr>
          <w:rFonts w:ascii="Trebuchet MS" w:eastAsia="Times New Roman" w:hAnsi="Trebuchet MS" w:cs="Times New Roman"/>
          <w:b/>
        </w:rPr>
      </w:pPr>
      <w:r w:rsidRPr="005477D5">
        <w:rPr>
          <w:rFonts w:ascii="Trebuchet MS" w:eastAsia="Times New Roman" w:hAnsi="Trebuchet MS" w:cs="Times New Roman"/>
          <w:b/>
        </w:rPr>
        <w:t>Informatives</w:t>
      </w:r>
    </w:p>
    <w:p w:rsidR="005477D5" w:rsidRPr="005477D5" w:rsidRDefault="005477D5" w:rsidP="005477D5">
      <w:pPr>
        <w:spacing w:line="240" w:lineRule="auto"/>
        <w:rPr>
          <w:rFonts w:ascii="Trebuchet MS" w:eastAsia="Times New Roman" w:hAnsi="Trebuchet MS" w:cs="Times New Roman"/>
        </w:rPr>
      </w:pPr>
      <w:r w:rsidRPr="005477D5">
        <w:rPr>
          <w:rFonts w:ascii="Trebuchet MS" w:eastAsia="Times New Roman" w:hAnsi="Trebuchet MS" w:cs="Times New Roman"/>
        </w:rPr>
        <w:t>Building Regulations</w:t>
      </w:r>
    </w:p>
    <w:p w:rsidR="005477D5" w:rsidRPr="005477D5" w:rsidRDefault="005477D5" w:rsidP="005477D5">
      <w:pPr>
        <w:spacing w:line="240" w:lineRule="auto"/>
        <w:rPr>
          <w:rFonts w:ascii="Trebuchet MS" w:eastAsia="Times New Roman" w:hAnsi="Trebuchet MS" w:cs="Times New Roman"/>
        </w:rPr>
      </w:pPr>
      <w:r w:rsidRPr="005477D5">
        <w:rPr>
          <w:rFonts w:ascii="Trebuchet MS" w:eastAsia="Times New Roman" w:hAnsi="Trebuchet MS" w:cs="Times New Roman"/>
        </w:rPr>
        <w:t>Encroachment and Party Wall Act</w:t>
      </w:r>
    </w:p>
    <w:p w:rsidR="005477D5" w:rsidRPr="005477D5" w:rsidRDefault="005477D5" w:rsidP="005477D5">
      <w:pPr>
        <w:spacing w:line="240" w:lineRule="auto"/>
        <w:rPr>
          <w:rFonts w:ascii="Trebuchet MS" w:eastAsia="Times New Roman" w:hAnsi="Trebuchet MS" w:cs="Times New Roman"/>
        </w:rPr>
      </w:pPr>
      <w:r w:rsidRPr="005477D5">
        <w:rPr>
          <w:rFonts w:ascii="Trebuchet MS" w:eastAsia="Times New Roman" w:hAnsi="Trebuchet MS" w:cs="Times New Roman"/>
        </w:rPr>
        <w:t>Construction and Demolition</w:t>
      </w:r>
    </w:p>
    <w:p w:rsidR="005477D5" w:rsidRPr="005477D5" w:rsidRDefault="005477D5" w:rsidP="005477D5">
      <w:pPr>
        <w:spacing w:line="240" w:lineRule="auto"/>
        <w:rPr>
          <w:rFonts w:ascii="Trebuchet MS" w:eastAsia="Times New Roman" w:hAnsi="Trebuchet MS" w:cs="Times New Roman"/>
        </w:rPr>
      </w:pPr>
      <w:r w:rsidRPr="005477D5">
        <w:rPr>
          <w:rFonts w:ascii="Trebuchet MS" w:eastAsia="Times New Roman" w:hAnsi="Trebuchet MS" w:cs="Times New Roman"/>
        </w:rPr>
        <w:t>Materials</w:t>
      </w:r>
    </w:p>
    <w:p w:rsidR="005477D5" w:rsidRPr="005477D5" w:rsidRDefault="005477D5" w:rsidP="005477D5">
      <w:pPr>
        <w:spacing w:line="240" w:lineRule="auto"/>
        <w:rPr>
          <w:rFonts w:ascii="Trebuchet MS" w:eastAsia="Times New Roman" w:hAnsi="Trebuchet MS" w:cs="Times New Roman"/>
        </w:rPr>
      </w:pPr>
      <w:r w:rsidRPr="005477D5">
        <w:rPr>
          <w:rFonts w:eastAsia="Times New Roman" w:cs="Times New Roman"/>
          <w:noProof/>
          <w:lang w:eastAsia="en-GB"/>
        </w:rPr>
        <w:lastRenderedPageBreak/>
        <w:drawing>
          <wp:inline distT="0" distB="0" distL="0" distR="0">
            <wp:extent cx="4984750" cy="697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4750" cy="6978650"/>
                    </a:xfrm>
                    <a:prstGeom prst="rect">
                      <a:avLst/>
                    </a:prstGeom>
                    <a:noFill/>
                    <a:ln>
                      <a:noFill/>
                    </a:ln>
                  </pic:spPr>
                </pic:pic>
              </a:graphicData>
            </a:graphic>
          </wp:inline>
        </w:drawing>
      </w:r>
    </w:p>
    <w:p w:rsidR="00021541" w:rsidRPr="005477D5" w:rsidRDefault="00021541" w:rsidP="005477D5">
      <w:pPr>
        <w:spacing w:line="240" w:lineRule="auto"/>
        <w:rPr>
          <w:rFonts w:ascii="Trebuchet MS" w:eastAsia="Times New Roman" w:hAnsi="Trebuchet MS"/>
        </w:rPr>
      </w:pPr>
    </w:p>
    <w:sectPr w:rsidR="00021541" w:rsidRPr="005477D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4"/>
    <w:rsid w:val="00021541"/>
    <w:rsid w:val="00037BAF"/>
    <w:rsid w:val="0007503E"/>
    <w:rsid w:val="00075F51"/>
    <w:rsid w:val="000E1865"/>
    <w:rsid w:val="000E5A3F"/>
    <w:rsid w:val="0014241C"/>
    <w:rsid w:val="0017061C"/>
    <w:rsid w:val="0017663F"/>
    <w:rsid w:val="001F6EA2"/>
    <w:rsid w:val="00215C25"/>
    <w:rsid w:val="00225DA7"/>
    <w:rsid w:val="0022790B"/>
    <w:rsid w:val="00246138"/>
    <w:rsid w:val="00246D7F"/>
    <w:rsid w:val="00270CCE"/>
    <w:rsid w:val="003065BE"/>
    <w:rsid w:val="003A191B"/>
    <w:rsid w:val="003C6957"/>
    <w:rsid w:val="003C6A9F"/>
    <w:rsid w:val="003D179A"/>
    <w:rsid w:val="00407804"/>
    <w:rsid w:val="0041701F"/>
    <w:rsid w:val="00443835"/>
    <w:rsid w:val="005477D5"/>
    <w:rsid w:val="005B391B"/>
    <w:rsid w:val="005F041D"/>
    <w:rsid w:val="00625504"/>
    <w:rsid w:val="006A17A0"/>
    <w:rsid w:val="006A5B04"/>
    <w:rsid w:val="007B11DE"/>
    <w:rsid w:val="007F7924"/>
    <w:rsid w:val="008A59CB"/>
    <w:rsid w:val="00912B7D"/>
    <w:rsid w:val="0095495C"/>
    <w:rsid w:val="009A3326"/>
    <w:rsid w:val="009F782D"/>
    <w:rsid w:val="00AB216D"/>
    <w:rsid w:val="00AF3FE4"/>
    <w:rsid w:val="00BC092F"/>
    <w:rsid w:val="00C40D2F"/>
    <w:rsid w:val="00C81FD7"/>
    <w:rsid w:val="00D12102"/>
    <w:rsid w:val="00D330DE"/>
    <w:rsid w:val="00DA0CA3"/>
    <w:rsid w:val="00E1716B"/>
    <w:rsid w:val="00E302F2"/>
    <w:rsid w:val="00E43672"/>
    <w:rsid w:val="00EB3EF1"/>
    <w:rsid w:val="00F57F89"/>
    <w:rsid w:val="00F95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64C85"/>
  <w15:docId w15:val="{C6D14AC3-597F-401D-B86D-93844ECAF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960</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2020-08-07T08:44:00Z</dcterms:created>
  <dcterms:modified xsi:type="dcterms:W3CDTF">2020-08-07T08:45:00Z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