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4E937" w14:textId="77777777" w:rsidR="00470A89" w:rsidRDefault="00470A89" w:rsidP="00316860">
      <w:pPr>
        <w:tabs>
          <w:tab w:val="clear" w:pos="7368"/>
        </w:tabs>
        <w:spacing w:before="100" w:after="180" w:line="260" w:lineRule="atLeast"/>
        <w:rPr>
          <w:rFonts w:eastAsia="Calibri"/>
          <w:smallCaps/>
          <w:color w:val="002060"/>
          <w:sz w:val="52"/>
          <w:szCs w:val="52"/>
        </w:rPr>
      </w:pPr>
      <w:bookmarkStart w:id="0" w:name="_GoBack"/>
      <w:bookmarkEnd w:id="0"/>
    </w:p>
    <w:p w14:paraId="2123DE17" w14:textId="77777777" w:rsidR="00470A89" w:rsidRDefault="00470A89" w:rsidP="00316860">
      <w:pPr>
        <w:tabs>
          <w:tab w:val="clear" w:pos="7368"/>
        </w:tabs>
        <w:spacing w:before="100" w:after="180" w:line="260" w:lineRule="atLeast"/>
        <w:rPr>
          <w:rFonts w:eastAsia="Calibri"/>
          <w:smallCaps/>
          <w:color w:val="002060"/>
          <w:sz w:val="52"/>
          <w:szCs w:val="52"/>
        </w:rPr>
      </w:pPr>
    </w:p>
    <w:p w14:paraId="780BDC9D" w14:textId="77777777" w:rsidR="00470A89" w:rsidRDefault="00470A89" w:rsidP="00316860">
      <w:pPr>
        <w:tabs>
          <w:tab w:val="clear" w:pos="7368"/>
        </w:tabs>
        <w:spacing w:before="100" w:after="180" w:line="260" w:lineRule="atLeast"/>
        <w:rPr>
          <w:rFonts w:eastAsia="Calibri"/>
          <w:smallCaps/>
          <w:color w:val="002060"/>
          <w:sz w:val="52"/>
          <w:szCs w:val="52"/>
        </w:rPr>
      </w:pPr>
    </w:p>
    <w:p w14:paraId="071B7FC6" w14:textId="789CC7EB" w:rsidR="00316860" w:rsidRPr="00316860" w:rsidRDefault="009047E8" w:rsidP="00316860">
      <w:pPr>
        <w:tabs>
          <w:tab w:val="clear" w:pos="7368"/>
        </w:tabs>
        <w:spacing w:before="100" w:after="180" w:line="260" w:lineRule="atLeast"/>
        <w:rPr>
          <w:rFonts w:eastAsia="Calibri"/>
          <w:color w:val="002060"/>
          <w:sz w:val="52"/>
          <w:szCs w:val="52"/>
        </w:rPr>
      </w:pPr>
      <w:r>
        <w:rPr>
          <w:rFonts w:eastAsia="Calibri"/>
          <w:smallCaps/>
          <w:color w:val="002060"/>
          <w:sz w:val="52"/>
          <w:szCs w:val="52"/>
        </w:rPr>
        <w:t>Environmental Statement Volume 3: Landscape and Visual Impact Assessment</w:t>
      </w:r>
      <w:r w:rsidR="00E1360E">
        <w:rPr>
          <w:rFonts w:eastAsia="Calibri"/>
          <w:smallCaps/>
          <w:color w:val="002060"/>
          <w:sz w:val="52"/>
          <w:szCs w:val="52"/>
        </w:rPr>
        <w:t xml:space="preserve"> </w:t>
      </w:r>
      <w:r w:rsidR="006867C8">
        <w:rPr>
          <w:rFonts w:eastAsia="Calibri"/>
          <w:smallCaps/>
          <w:color w:val="002060"/>
          <w:sz w:val="52"/>
          <w:szCs w:val="52"/>
        </w:rPr>
        <w:t>–</w:t>
      </w:r>
      <w:r w:rsidR="00E1360E">
        <w:rPr>
          <w:rFonts w:eastAsia="Calibri"/>
          <w:smallCaps/>
          <w:color w:val="002060"/>
          <w:sz w:val="52"/>
          <w:szCs w:val="52"/>
        </w:rPr>
        <w:t xml:space="preserve"> addendum</w:t>
      </w:r>
      <w:r w:rsidR="006867C8">
        <w:rPr>
          <w:rFonts w:eastAsia="Calibri"/>
          <w:smallCaps/>
          <w:color w:val="002060"/>
          <w:sz w:val="52"/>
          <w:szCs w:val="52"/>
        </w:rPr>
        <w:t xml:space="preserve"> </w:t>
      </w:r>
      <w:r w:rsidR="006867C8" w:rsidRPr="007A56CD">
        <w:rPr>
          <w:rFonts w:eastAsia="Calibri"/>
          <w:smallCaps/>
          <w:color w:val="002060"/>
          <w:sz w:val="52"/>
          <w:szCs w:val="52"/>
        </w:rPr>
        <w:t>(Revision)</w:t>
      </w:r>
    </w:p>
    <w:p w14:paraId="45018BFF" w14:textId="77777777" w:rsidR="00316860" w:rsidRDefault="00316860">
      <w:pPr>
        <w:tabs>
          <w:tab w:val="clear" w:pos="7368"/>
        </w:tabs>
      </w:pPr>
      <w:r>
        <w:br w:type="page"/>
      </w:r>
    </w:p>
    <w:p w14:paraId="676490E6" w14:textId="77777777" w:rsidR="00470A89" w:rsidRDefault="00470A89" w:rsidP="00316860">
      <w:pPr>
        <w:pStyle w:val="Quote"/>
      </w:pPr>
    </w:p>
    <w:p w14:paraId="1817AA8A" w14:textId="77777777" w:rsidR="00470A89" w:rsidRDefault="00316860" w:rsidP="00316860">
      <w:pPr>
        <w:pStyle w:val="Quote"/>
        <w:sectPr w:rsidR="00470A89" w:rsidSect="0051534A">
          <w:headerReference w:type="default" r:id="rId8"/>
          <w:footerReference w:type="default" r:id="rId9"/>
          <w:pgSz w:w="11906" w:h="16838"/>
          <w:pgMar w:top="1406" w:right="1133" w:bottom="1440" w:left="1134" w:header="1140" w:footer="336" w:gutter="0"/>
          <w:pgNumType w:start="1" w:chapStyle="1"/>
          <w:cols w:space="708"/>
          <w:docGrid w:linePitch="360"/>
        </w:sectPr>
      </w:pPr>
      <w:r w:rsidRPr="00316860">
        <w:t>This page has been left blank intentionally to enable double-sided printing.</w:t>
      </w:r>
    </w:p>
    <w:p w14:paraId="5EF62195" w14:textId="1FB9124B" w:rsidR="006C29CD" w:rsidRPr="00F2058C" w:rsidRDefault="00924E9F" w:rsidP="00924E9F">
      <w:pPr>
        <w:pStyle w:val="Heading1"/>
      </w:pPr>
      <w:r>
        <w:lastRenderedPageBreak/>
        <w:t>Introduction</w:t>
      </w:r>
    </w:p>
    <w:p w14:paraId="23734CD6" w14:textId="77777777" w:rsidR="00F2058C" w:rsidRDefault="00F2058C" w:rsidP="000E4979">
      <w:pPr>
        <w:pStyle w:val="Heading2"/>
      </w:pPr>
      <w:bookmarkStart w:id="1" w:name="_Toc437603757"/>
      <w:bookmarkStart w:id="2" w:name="_Toc441159673"/>
      <w:r w:rsidRPr="000E4979">
        <w:t>Introduction</w:t>
      </w:r>
    </w:p>
    <w:p w14:paraId="4210CB4B" w14:textId="526253CF" w:rsidR="00E1360E" w:rsidRPr="007A56CD" w:rsidRDefault="00993BB8" w:rsidP="00993BB8">
      <w:pPr>
        <w:pStyle w:val="Heading3"/>
      </w:pPr>
      <w:r w:rsidRPr="007A56CD">
        <w:t xml:space="preserve">This Landscape and Visual Impact Assessment (LVIA) ES </w:t>
      </w:r>
      <w:r w:rsidR="003438BE" w:rsidRPr="007A56CD">
        <w:t>Volume</w:t>
      </w:r>
      <w:r w:rsidR="00E1360E" w:rsidRPr="007A56CD">
        <w:t xml:space="preserve"> 3</w:t>
      </w:r>
      <w:r w:rsidR="003438BE" w:rsidRPr="007A56CD">
        <w:t xml:space="preserve"> </w:t>
      </w:r>
      <w:r w:rsidR="00E1360E" w:rsidRPr="007A56CD">
        <w:t xml:space="preserve">Addendum sets out the changes to the scheme as part of the application re-submission. </w:t>
      </w:r>
      <w:r w:rsidR="008873E5" w:rsidRPr="007A56CD">
        <w:t>The tree retention and proposals have been amended to address the Tree Officer’s comments dated the 11</w:t>
      </w:r>
      <w:r w:rsidR="008873E5" w:rsidRPr="007A56CD">
        <w:rPr>
          <w:vertAlign w:val="superscript"/>
        </w:rPr>
        <w:t>th</w:t>
      </w:r>
      <w:r w:rsidR="008873E5" w:rsidRPr="007A56CD">
        <w:t xml:space="preserve"> March 2021.</w:t>
      </w:r>
    </w:p>
    <w:p w14:paraId="342AD76C" w14:textId="416CE81C" w:rsidR="00E1360E" w:rsidRPr="007A56CD" w:rsidRDefault="00E1360E" w:rsidP="006C6D46">
      <w:pPr>
        <w:pStyle w:val="Heading3"/>
      </w:pPr>
      <w:r w:rsidRPr="007A56CD">
        <w:t xml:space="preserve">This Addendum is to be read in conjunction with Landscape and Visual Impact Assessment ES Chapter; the associated Figures and Photographs (including the key representative viewpoints) at </w:t>
      </w:r>
      <w:r w:rsidRPr="007A56CD">
        <w:rPr>
          <w:b/>
          <w:bCs w:val="0"/>
        </w:rPr>
        <w:t>Appendix A</w:t>
      </w:r>
      <w:r w:rsidRPr="007A56CD">
        <w:t xml:space="preserve">; the </w:t>
      </w:r>
      <w:r w:rsidRPr="007A56CD">
        <w:rPr>
          <w:b/>
          <w:bCs w:val="0"/>
        </w:rPr>
        <w:t>LVIA methodology at Appendix B</w:t>
      </w:r>
      <w:r w:rsidRPr="007A56CD">
        <w:t xml:space="preserve">; and the set of parameter plans which comprise: </w:t>
      </w:r>
      <w:bookmarkStart w:id="3" w:name="_Hlk58506274"/>
      <w:bookmarkStart w:id="4" w:name="_Hlk40260188"/>
      <w:r w:rsidRPr="007A56CD">
        <w:t>20</w:t>
      </w:r>
      <w:r w:rsidR="002873CA" w:rsidRPr="007A56CD">
        <w:t>54</w:t>
      </w:r>
      <w:r w:rsidRPr="007A56CD">
        <w:t xml:space="preserve">/PL.01 - </w:t>
      </w:r>
      <w:r w:rsidRPr="007A56CD">
        <w:rPr>
          <w:b/>
          <w:bCs w:val="0"/>
        </w:rPr>
        <w:t>Location Plan</w:t>
      </w:r>
      <w:r w:rsidRPr="007A56CD">
        <w:t>; 20</w:t>
      </w:r>
      <w:r w:rsidR="002873CA" w:rsidRPr="007A56CD">
        <w:t>54</w:t>
      </w:r>
      <w:r w:rsidRPr="007A56CD">
        <w:t>/PL.02</w:t>
      </w:r>
      <w:r w:rsidR="002873CA" w:rsidRPr="007A56CD">
        <w:t xml:space="preserve"> - </w:t>
      </w:r>
      <w:r w:rsidRPr="007A56CD">
        <w:rPr>
          <w:b/>
          <w:bCs w:val="0"/>
        </w:rPr>
        <w:t>Indicative Constraints Plan</w:t>
      </w:r>
      <w:r w:rsidRPr="007A56CD">
        <w:t>; 20</w:t>
      </w:r>
      <w:r w:rsidR="002873CA" w:rsidRPr="007A56CD">
        <w:t>54</w:t>
      </w:r>
      <w:r w:rsidRPr="007A56CD">
        <w:t>/PL.0</w:t>
      </w:r>
      <w:r w:rsidR="002873CA" w:rsidRPr="007A56CD">
        <w:t>3 -</w:t>
      </w:r>
      <w:r w:rsidRPr="007A56CD">
        <w:t xml:space="preserve"> </w:t>
      </w:r>
      <w:r w:rsidRPr="007A56CD">
        <w:rPr>
          <w:b/>
          <w:bCs w:val="0"/>
        </w:rPr>
        <w:t>Indicative Opportunities and Parameters Plan</w:t>
      </w:r>
      <w:r w:rsidRPr="007A56CD">
        <w:t>; 20</w:t>
      </w:r>
      <w:r w:rsidR="002873CA" w:rsidRPr="007A56CD">
        <w:t>54</w:t>
      </w:r>
      <w:r w:rsidRPr="007A56CD">
        <w:t xml:space="preserve">/PL.04 Rev </w:t>
      </w:r>
      <w:r w:rsidR="008873E5" w:rsidRPr="007A56CD">
        <w:t>G</w:t>
      </w:r>
      <w:r w:rsidRPr="007A56CD">
        <w:t xml:space="preserve"> </w:t>
      </w:r>
      <w:bookmarkStart w:id="5" w:name="_Hlk58506321"/>
      <w:bookmarkEnd w:id="3"/>
      <w:r w:rsidRPr="007A56CD">
        <w:rPr>
          <w:b/>
          <w:bCs w:val="0"/>
        </w:rPr>
        <w:t>Indicative Site Layout</w:t>
      </w:r>
      <w:r w:rsidRPr="007A56CD">
        <w:t xml:space="preserve">; </w:t>
      </w:r>
      <w:bookmarkEnd w:id="5"/>
      <w:r w:rsidRPr="007A56CD">
        <w:t>D2743.L101 –</w:t>
      </w:r>
      <w:bookmarkStart w:id="6" w:name="_Hlk40431767"/>
      <w:r w:rsidR="00A2763A" w:rsidRPr="007A56CD">
        <w:t xml:space="preserve"> </w:t>
      </w:r>
      <w:r w:rsidRPr="007A56CD">
        <w:rPr>
          <w:b/>
          <w:bCs w:val="0"/>
        </w:rPr>
        <w:t>Compensatory Tree Planting Plan</w:t>
      </w:r>
      <w:bookmarkEnd w:id="6"/>
      <w:r w:rsidRPr="007A56CD">
        <w:rPr>
          <w:b/>
          <w:bCs w:val="0"/>
        </w:rPr>
        <w:t>;</w:t>
      </w:r>
      <w:bookmarkEnd w:id="4"/>
      <w:r w:rsidRPr="007A56CD">
        <w:t xml:space="preserve"> </w:t>
      </w:r>
      <w:r w:rsidR="00A2763A" w:rsidRPr="007A56CD">
        <w:t xml:space="preserve">D2743.L103 Rev </w:t>
      </w:r>
      <w:r w:rsidR="00510A1A" w:rsidRPr="007A56CD">
        <w:t>P</w:t>
      </w:r>
      <w:r w:rsidR="00A2763A" w:rsidRPr="007A56CD">
        <w:t>1</w:t>
      </w:r>
      <w:r w:rsidR="008873E5" w:rsidRPr="007A56CD">
        <w:t>1</w:t>
      </w:r>
      <w:r w:rsidR="00A2763A" w:rsidRPr="007A56CD">
        <w:t xml:space="preserve"> – </w:t>
      </w:r>
      <w:r w:rsidR="00A2763A" w:rsidRPr="007A56CD">
        <w:rPr>
          <w:b/>
          <w:bCs w:val="0"/>
        </w:rPr>
        <w:t>Tree Planting Plan</w:t>
      </w:r>
      <w:r w:rsidR="00A2763A" w:rsidRPr="007A56CD">
        <w:t xml:space="preserve">; </w:t>
      </w:r>
      <w:r w:rsidRPr="007A56CD">
        <w:t xml:space="preserve">and the </w:t>
      </w:r>
      <w:r w:rsidRPr="007A56CD">
        <w:rPr>
          <w:b/>
          <w:bCs w:val="0"/>
        </w:rPr>
        <w:t>Design and Access Statement</w:t>
      </w:r>
      <w:r w:rsidRPr="007A56CD">
        <w:t xml:space="preserve"> (DAS) and in particular, the </w:t>
      </w:r>
      <w:r w:rsidR="002873CA" w:rsidRPr="007A56CD">
        <w:t>Addendum</w:t>
      </w:r>
      <w:r w:rsidR="008873E5" w:rsidRPr="007A56CD">
        <w:t xml:space="preserve"> (revised)</w:t>
      </w:r>
      <w:r w:rsidR="002873CA" w:rsidRPr="007A56CD">
        <w:t xml:space="preserve"> to the Landscape Chapter of the DAS, which includes </w:t>
      </w:r>
      <w:r w:rsidRPr="007A56CD">
        <w:rPr>
          <w:b/>
          <w:bCs w:val="0"/>
        </w:rPr>
        <w:t>Tree Planting Strategy Plan</w:t>
      </w:r>
      <w:r w:rsidRPr="007A56CD">
        <w:t>.</w:t>
      </w:r>
    </w:p>
    <w:p w14:paraId="796054C5" w14:textId="49F0FB1B" w:rsidR="00E1360E" w:rsidRDefault="00E1360E" w:rsidP="00993BB8">
      <w:pPr>
        <w:pStyle w:val="Heading3"/>
      </w:pPr>
      <w:r>
        <w:t xml:space="preserve">This addendum </w:t>
      </w:r>
      <w:r w:rsidR="00993BB8" w:rsidRPr="0057503B">
        <w:t xml:space="preserve">reports the outcome of </w:t>
      </w:r>
      <w:r>
        <w:t xml:space="preserve">any changes to the </w:t>
      </w:r>
      <w:r w:rsidR="00993BB8" w:rsidRPr="00920D9B">
        <w:t>landscape and visual</w:t>
      </w:r>
      <w:r w:rsidR="00993BB8" w:rsidRPr="0057503B">
        <w:t xml:space="preserve"> effects arising from the </w:t>
      </w:r>
      <w:r>
        <w:t xml:space="preserve">revised </w:t>
      </w:r>
      <w:r w:rsidR="00993BB8" w:rsidRPr="0057503B">
        <w:t xml:space="preserve">Proposed Development. </w:t>
      </w:r>
    </w:p>
    <w:p w14:paraId="45A5DA20" w14:textId="73DE63F2" w:rsidR="000961FF" w:rsidRDefault="000961FF" w:rsidP="000961FF">
      <w:pPr>
        <w:pStyle w:val="Heading2"/>
      </w:pPr>
      <w:r>
        <w:t>Scheme Amendments</w:t>
      </w:r>
    </w:p>
    <w:p w14:paraId="65A5C06D" w14:textId="237A6AD5" w:rsidR="00FE23A9" w:rsidRDefault="000961FF" w:rsidP="00FE23A9">
      <w:pPr>
        <w:pStyle w:val="Heading3"/>
      </w:pPr>
      <w:r w:rsidRPr="0057503B">
        <w:t>Th</w:t>
      </w:r>
      <w:r>
        <w:t xml:space="preserve">e previous </w:t>
      </w:r>
      <w:r w:rsidR="00FE23A9">
        <w:t xml:space="preserve">outline </w:t>
      </w:r>
      <w:r>
        <w:t xml:space="preserve">application </w:t>
      </w:r>
      <w:r w:rsidR="00F82D10">
        <w:t>included</w:t>
      </w:r>
      <w:r>
        <w:t>:</w:t>
      </w:r>
      <w:r w:rsidR="00FE23A9" w:rsidRPr="00FE23A9">
        <w:t xml:space="preserve"> </w:t>
      </w:r>
    </w:p>
    <w:p w14:paraId="66BB807E" w14:textId="255C1F44" w:rsidR="00FE23A9" w:rsidRDefault="00FE23A9" w:rsidP="00FE23A9">
      <w:pPr>
        <w:pStyle w:val="Heading3"/>
        <w:numPr>
          <w:ilvl w:val="0"/>
          <w:numId w:val="42"/>
        </w:numPr>
        <w:ind w:left="1276" w:hanging="425"/>
      </w:pPr>
      <w:r>
        <w:t xml:space="preserve">260 </w:t>
      </w:r>
      <w:r w:rsidR="00F82D10">
        <w:t>dwellings</w:t>
      </w:r>
      <w:r>
        <w:t xml:space="preserve"> and a health facility</w:t>
      </w:r>
      <w:r w:rsidR="00F82D10">
        <w:t>;</w:t>
      </w:r>
    </w:p>
    <w:p w14:paraId="078D59A3" w14:textId="21424B0F" w:rsidR="00FE23A9" w:rsidRDefault="00F82D10" w:rsidP="00F82D10">
      <w:pPr>
        <w:pStyle w:val="Heading3"/>
        <w:numPr>
          <w:ilvl w:val="0"/>
          <w:numId w:val="42"/>
        </w:numPr>
        <w:ind w:left="1276" w:hanging="425"/>
      </w:pPr>
      <w:r>
        <w:t xml:space="preserve">The removal of </w:t>
      </w:r>
      <w:r w:rsidR="00FE23A9">
        <w:t>118 trees, including 19 category ‘B’ (moderate quality) trees, 88 category ‘C’ (low</w:t>
      </w:r>
      <w:r>
        <w:t xml:space="preserve"> </w:t>
      </w:r>
      <w:r w:rsidR="00FE23A9">
        <w:t>quality) trees and 11 category ‘U’ (unsuitable for retention quality)</w:t>
      </w:r>
      <w:r>
        <w:t>;</w:t>
      </w:r>
    </w:p>
    <w:p w14:paraId="46C084F7" w14:textId="19837C59" w:rsidR="00F82D10" w:rsidRDefault="00F82D10" w:rsidP="00F82D10">
      <w:pPr>
        <w:pStyle w:val="Heading3"/>
        <w:numPr>
          <w:ilvl w:val="0"/>
          <w:numId w:val="42"/>
        </w:numPr>
        <w:ind w:left="1276" w:hanging="425"/>
      </w:pPr>
      <w:r>
        <w:t>The planting of 118 new trees, together with a block of compensatory woodland planting adjacent to Cucumber Wood to the north of the Site; and</w:t>
      </w:r>
    </w:p>
    <w:p w14:paraId="198367BF" w14:textId="21F2D2C0" w:rsidR="00F82D10" w:rsidRDefault="00F82D10" w:rsidP="00F82D10">
      <w:pPr>
        <w:pStyle w:val="Heading3"/>
        <w:numPr>
          <w:ilvl w:val="0"/>
          <w:numId w:val="42"/>
        </w:numPr>
        <w:ind w:left="1276" w:hanging="425"/>
      </w:pPr>
      <w:r>
        <w:t>3.57ha of POS (excluding SUDs).</w:t>
      </w:r>
    </w:p>
    <w:p w14:paraId="3CDE116D" w14:textId="2F5C1601" w:rsidR="000961FF" w:rsidRDefault="000961FF" w:rsidP="000961FF">
      <w:pPr>
        <w:pStyle w:val="Heading3"/>
      </w:pPr>
      <w:r>
        <w:t xml:space="preserve">The revised </w:t>
      </w:r>
      <w:r w:rsidR="00FE23A9">
        <w:t xml:space="preserve">outline </w:t>
      </w:r>
      <w:r>
        <w:t xml:space="preserve">application </w:t>
      </w:r>
      <w:r w:rsidR="00F82D10">
        <w:t xml:space="preserve">now </w:t>
      </w:r>
      <w:r>
        <w:t>proposes:</w:t>
      </w:r>
    </w:p>
    <w:p w14:paraId="6FAAB6FB" w14:textId="289A7C5D" w:rsidR="002873CA" w:rsidRPr="007A56CD" w:rsidRDefault="002873CA" w:rsidP="00961C99">
      <w:pPr>
        <w:pStyle w:val="Bullet1Unnumbered"/>
        <w:numPr>
          <w:ilvl w:val="0"/>
          <w:numId w:val="41"/>
        </w:numPr>
        <w:ind w:left="1276" w:hanging="425"/>
      </w:pPr>
      <w:r w:rsidRPr="007A56CD">
        <w:t>257 dwellings and a health facility;</w:t>
      </w:r>
    </w:p>
    <w:p w14:paraId="76413318" w14:textId="1582E531" w:rsidR="00F810A1" w:rsidRPr="007A56CD" w:rsidRDefault="00F82D10" w:rsidP="002873CA">
      <w:pPr>
        <w:pStyle w:val="Bullet1Unnumbered"/>
        <w:numPr>
          <w:ilvl w:val="0"/>
          <w:numId w:val="41"/>
        </w:numPr>
        <w:ind w:left="1276" w:hanging="425"/>
      </w:pPr>
      <w:r w:rsidRPr="007A56CD">
        <w:t xml:space="preserve">The removal of </w:t>
      </w:r>
      <w:r w:rsidR="00961C99" w:rsidRPr="007A56CD">
        <w:t>1</w:t>
      </w:r>
      <w:r w:rsidR="006867C8" w:rsidRPr="007A56CD">
        <w:t>31</w:t>
      </w:r>
      <w:r w:rsidR="00961C99" w:rsidRPr="007A56CD">
        <w:t xml:space="preserve"> trees, including 2</w:t>
      </w:r>
      <w:r w:rsidR="006867C8" w:rsidRPr="007A56CD">
        <w:t>4</w:t>
      </w:r>
      <w:r w:rsidR="00961C99" w:rsidRPr="007A56CD">
        <w:t xml:space="preserve"> category ‘B’ (moderate quality) trees, 9</w:t>
      </w:r>
      <w:r w:rsidR="006867C8" w:rsidRPr="007A56CD">
        <w:t>6</w:t>
      </w:r>
      <w:r w:rsidR="00961C99" w:rsidRPr="007A56CD">
        <w:t xml:space="preserve"> category ‘C’ (low quality) trees and 11 category ‘U’ (unsuitable for retention quality)</w:t>
      </w:r>
      <w:r w:rsidRPr="007A56CD">
        <w:t>;</w:t>
      </w:r>
    </w:p>
    <w:p w14:paraId="5AE2EBDF" w14:textId="7F45A913" w:rsidR="00F82D10" w:rsidRPr="007A56CD" w:rsidRDefault="00F82D10" w:rsidP="00F82D10">
      <w:pPr>
        <w:pStyle w:val="Bullet1Unnumbered"/>
        <w:numPr>
          <w:ilvl w:val="0"/>
          <w:numId w:val="41"/>
        </w:numPr>
        <w:ind w:left="1276" w:hanging="425"/>
      </w:pPr>
      <w:r w:rsidRPr="007A56CD">
        <w:t>The planting of</w:t>
      </w:r>
      <w:r w:rsidR="00FD7402" w:rsidRPr="007A56CD">
        <w:t xml:space="preserve"> 1</w:t>
      </w:r>
      <w:r w:rsidR="006867C8" w:rsidRPr="007A56CD">
        <w:t>34</w:t>
      </w:r>
      <w:r w:rsidR="00FD7402" w:rsidRPr="007A56CD">
        <w:t xml:space="preserve"> </w:t>
      </w:r>
      <w:r w:rsidR="00905019" w:rsidRPr="007A56CD">
        <w:t xml:space="preserve">new </w:t>
      </w:r>
      <w:r w:rsidR="00FD7402" w:rsidRPr="007A56CD">
        <w:t>trees</w:t>
      </w:r>
      <w:r w:rsidRPr="007A56CD">
        <w:t xml:space="preserve">, </w:t>
      </w:r>
      <w:r w:rsidR="00FD7402" w:rsidRPr="007A56CD">
        <w:t xml:space="preserve">together with a block of </w:t>
      </w:r>
      <w:r w:rsidR="00905019" w:rsidRPr="007A56CD">
        <w:t xml:space="preserve">compensatory </w:t>
      </w:r>
      <w:r w:rsidR="00FD7402" w:rsidRPr="007A56CD">
        <w:t>woodland planting adjacent to Cucumber Wood to the north of the Site</w:t>
      </w:r>
      <w:r w:rsidRPr="007A56CD">
        <w:t>; and</w:t>
      </w:r>
    </w:p>
    <w:p w14:paraId="69B13AD8" w14:textId="0C1D1E8E" w:rsidR="00F82D10" w:rsidRPr="007A56CD" w:rsidRDefault="00F82D10" w:rsidP="00F82D10">
      <w:pPr>
        <w:pStyle w:val="Bullet1Unnumbered"/>
        <w:numPr>
          <w:ilvl w:val="0"/>
          <w:numId w:val="41"/>
        </w:numPr>
        <w:ind w:left="1276" w:hanging="425"/>
        <w:sectPr w:rsidR="00F82D10" w:rsidRPr="007A56CD" w:rsidSect="0051534A">
          <w:headerReference w:type="default" r:id="rId10"/>
          <w:footerReference w:type="default" r:id="rId11"/>
          <w:pgSz w:w="11906" w:h="16838"/>
          <w:pgMar w:top="1406" w:right="1133" w:bottom="1440" w:left="1134" w:header="1140" w:footer="336" w:gutter="0"/>
          <w:pgNumType w:start="1" w:chapStyle="1"/>
          <w:cols w:space="708"/>
          <w:docGrid w:linePitch="360"/>
        </w:sectPr>
      </w:pPr>
      <w:r w:rsidRPr="007A56CD">
        <w:t>3.5</w:t>
      </w:r>
      <w:r w:rsidR="007A56CD">
        <w:t>3</w:t>
      </w:r>
      <w:r w:rsidRPr="007A56CD">
        <w:t>ha of POS (excluding SUDs).</w:t>
      </w:r>
    </w:p>
    <w:bookmarkEnd w:id="1"/>
    <w:bookmarkEnd w:id="2"/>
    <w:p w14:paraId="5D2941F2" w14:textId="03CEB639" w:rsidR="00316051" w:rsidRPr="00AE397B" w:rsidRDefault="00AE397B" w:rsidP="000E4979">
      <w:pPr>
        <w:pStyle w:val="Heading1"/>
      </w:pPr>
      <w:r w:rsidRPr="00AE397B">
        <w:t>Landscape and Visual Impact Assessment</w:t>
      </w:r>
    </w:p>
    <w:p w14:paraId="12D3BC08" w14:textId="572DF85C" w:rsidR="00834208" w:rsidRDefault="00834208" w:rsidP="000E4979">
      <w:pPr>
        <w:pStyle w:val="Heading2"/>
      </w:pPr>
      <w:r>
        <w:t>S</w:t>
      </w:r>
      <w:r w:rsidR="00FD7402">
        <w:t>tatement of Effects</w:t>
      </w:r>
    </w:p>
    <w:p w14:paraId="3838AFF2" w14:textId="2D7FF9CF" w:rsidR="00D06E91" w:rsidRDefault="00C90228" w:rsidP="00905019">
      <w:pPr>
        <w:pStyle w:val="Heading3"/>
      </w:pPr>
      <w:r>
        <w:t>The</w:t>
      </w:r>
      <w:r w:rsidR="00905019">
        <w:t xml:space="preserve"> assessment of the effects on the</w:t>
      </w:r>
      <w:r>
        <w:t xml:space="preserve"> landscape and visual</w:t>
      </w:r>
      <w:r w:rsidR="00905019">
        <w:t xml:space="preserve"> receptors</w:t>
      </w:r>
      <w:r w:rsidR="00F82D10">
        <w:t>,</w:t>
      </w:r>
      <w:r w:rsidR="00905019">
        <w:t xml:space="preserve"> as set out in the LVIA</w:t>
      </w:r>
      <w:r>
        <w:t xml:space="preserve"> </w:t>
      </w:r>
      <w:r w:rsidR="00905019">
        <w:t>ES Chapter</w:t>
      </w:r>
      <w:r w:rsidR="00F82D10">
        <w:t>,</w:t>
      </w:r>
      <w:r w:rsidR="00905019">
        <w:t xml:space="preserve"> remain unchanged considering the scheme amendments. The following summary of effects therefore remain valid.</w:t>
      </w:r>
    </w:p>
    <w:p w14:paraId="4DDA72AA" w14:textId="5A8D69BD" w:rsidR="00A64F39" w:rsidRDefault="00D06E91" w:rsidP="00D06E91">
      <w:pPr>
        <w:pStyle w:val="Heading3"/>
      </w:pPr>
      <w:r>
        <w:t xml:space="preserve">At the construction phase, effects on </w:t>
      </w:r>
      <w:r w:rsidR="00A9668F">
        <w:t xml:space="preserve">most of </w:t>
      </w:r>
      <w:r>
        <w:t xml:space="preserve">the contextual landscape receptors will </w:t>
      </w:r>
      <w:r w:rsidR="00A9668F">
        <w:t>be</w:t>
      </w:r>
      <w:r w:rsidR="00A64F39">
        <w:t xml:space="preserve"> predominantly be</w:t>
      </w:r>
      <w:r w:rsidR="00A9668F">
        <w:t xml:space="preserve"> </w:t>
      </w:r>
      <w:r w:rsidR="00A9668F" w:rsidRPr="00A64F39">
        <w:rPr>
          <w:b/>
          <w:bCs w:val="0"/>
        </w:rPr>
        <w:t>neutral</w:t>
      </w:r>
      <w:r w:rsidR="00A9668F">
        <w:t xml:space="preserve">, with </w:t>
      </w:r>
      <w:r w:rsidR="00A64F39">
        <w:t xml:space="preserve">effects on </w:t>
      </w:r>
      <w:r w:rsidR="00A9668F">
        <w:t>land cover setting, woodland and vegetation pattern and movement corridor rang</w:t>
      </w:r>
      <w:r w:rsidR="00A64F39">
        <w:t>ing</w:t>
      </w:r>
      <w:r w:rsidR="00A9668F">
        <w:t xml:space="preserve"> between</w:t>
      </w:r>
      <w:r w:rsidR="0043612A">
        <w:rPr>
          <w:b/>
          <w:bCs w:val="0"/>
        </w:rPr>
        <w:t xml:space="preserve"> </w:t>
      </w:r>
      <w:r w:rsidR="00F37B1F">
        <w:rPr>
          <w:b/>
          <w:bCs w:val="0"/>
        </w:rPr>
        <w:t>m</w:t>
      </w:r>
      <w:r w:rsidRPr="00A76B31">
        <w:rPr>
          <w:b/>
          <w:bCs w:val="0"/>
        </w:rPr>
        <w:t>inor adverse significance</w:t>
      </w:r>
      <w:r w:rsidR="00A9668F" w:rsidRPr="00A9668F">
        <w:t xml:space="preserve"> (relative to the construction work)</w:t>
      </w:r>
      <w:r w:rsidR="00A9668F">
        <w:t xml:space="preserve"> and </w:t>
      </w:r>
      <w:r w:rsidR="007E209A" w:rsidRPr="00A9668F">
        <w:rPr>
          <w:b/>
          <w:bCs w:val="0"/>
        </w:rPr>
        <w:t>m</w:t>
      </w:r>
      <w:r w:rsidR="007E209A">
        <w:rPr>
          <w:b/>
          <w:bCs w:val="0"/>
        </w:rPr>
        <w:t>inor</w:t>
      </w:r>
      <w:r w:rsidR="007E209A" w:rsidRPr="00A9668F">
        <w:rPr>
          <w:b/>
          <w:bCs w:val="0"/>
        </w:rPr>
        <w:t xml:space="preserve"> </w:t>
      </w:r>
      <w:r w:rsidR="00A9668F" w:rsidRPr="00A9668F">
        <w:rPr>
          <w:b/>
          <w:bCs w:val="0"/>
        </w:rPr>
        <w:t>beneficial significance</w:t>
      </w:r>
      <w:r w:rsidR="00A9668F">
        <w:t xml:space="preserve"> (relative to early implementation of woodland planting). </w:t>
      </w:r>
      <w:r w:rsidR="00A64F39">
        <w:t>Effects on the nig</w:t>
      </w:r>
      <w:r w:rsidR="00CB3A8F">
        <w:t>h</w:t>
      </w:r>
      <w:r w:rsidR="00A64F39">
        <w:t xml:space="preserve">t-time character are predicted to result in a </w:t>
      </w:r>
      <w:r w:rsidR="00A64F39" w:rsidRPr="00A64F39">
        <w:rPr>
          <w:b/>
          <w:bCs w:val="0"/>
        </w:rPr>
        <w:t>moderate adverse</w:t>
      </w:r>
      <w:r w:rsidR="00A64F39">
        <w:t xml:space="preserve"> effect. </w:t>
      </w:r>
    </w:p>
    <w:p w14:paraId="0D3BAAD5" w14:textId="0FC22DDF" w:rsidR="00A64F39" w:rsidRDefault="00A64F39" w:rsidP="00A64F39">
      <w:pPr>
        <w:pStyle w:val="Heading3"/>
      </w:pPr>
      <w:r w:rsidRPr="00A64F39">
        <w:t xml:space="preserve">Effects on national level landscape character will be </w:t>
      </w:r>
      <w:r w:rsidRPr="00CB3A8F">
        <w:rPr>
          <w:b/>
          <w:bCs w:val="0"/>
        </w:rPr>
        <w:t>negligible</w:t>
      </w:r>
      <w:r w:rsidRPr="00A64F39">
        <w:t xml:space="preserve">; effects on County and Local level character would be </w:t>
      </w:r>
      <w:r w:rsidRPr="00CB3A8F">
        <w:rPr>
          <w:b/>
          <w:bCs w:val="0"/>
        </w:rPr>
        <w:t>minor adverse</w:t>
      </w:r>
      <w:r w:rsidRPr="00A64F39">
        <w:t xml:space="preserve">; with </w:t>
      </w:r>
      <w:r w:rsidRPr="00CB3A8F">
        <w:rPr>
          <w:b/>
          <w:bCs w:val="0"/>
        </w:rPr>
        <w:t>minor beneficial</w:t>
      </w:r>
      <w:r w:rsidRPr="00A64F39">
        <w:t xml:space="preserve"> effects occurring on character relative to the woodland tree planting outside the Site; </w:t>
      </w:r>
    </w:p>
    <w:p w14:paraId="71C29E3E" w14:textId="0EC95E38" w:rsidR="00D06E91" w:rsidRDefault="00A64F39" w:rsidP="00D06E91">
      <w:pPr>
        <w:pStyle w:val="Heading3"/>
      </w:pPr>
      <w:r>
        <w:t xml:space="preserve">Effects on </w:t>
      </w:r>
      <w:r w:rsidR="00D06E91">
        <w:t xml:space="preserve">the </w:t>
      </w:r>
      <w:r w:rsidR="00A76B31">
        <w:t>S</w:t>
      </w:r>
      <w:r w:rsidR="00D06E91">
        <w:t xml:space="preserve">ite landscape receptors will range from </w:t>
      </w:r>
      <w:r w:rsidR="00D06E91" w:rsidRPr="00A76B31">
        <w:rPr>
          <w:b/>
          <w:bCs w:val="0"/>
        </w:rPr>
        <w:t xml:space="preserve">major to </w:t>
      </w:r>
      <w:r w:rsidR="00E22572" w:rsidRPr="00A76B31">
        <w:rPr>
          <w:b/>
          <w:bCs w:val="0"/>
        </w:rPr>
        <w:t>m</w:t>
      </w:r>
      <w:r w:rsidR="00E22572">
        <w:rPr>
          <w:b/>
          <w:bCs w:val="0"/>
        </w:rPr>
        <w:t>oderate</w:t>
      </w:r>
      <w:r w:rsidR="00E22572" w:rsidRPr="00A76B31">
        <w:rPr>
          <w:b/>
          <w:bCs w:val="0"/>
        </w:rPr>
        <w:t xml:space="preserve"> </w:t>
      </w:r>
      <w:r w:rsidR="00D06E91" w:rsidRPr="00A76B31">
        <w:rPr>
          <w:b/>
          <w:bCs w:val="0"/>
        </w:rPr>
        <w:t>adverse significance</w:t>
      </w:r>
      <w:r w:rsidR="00CC4E6F">
        <w:t xml:space="preserve"> relative</w:t>
      </w:r>
      <w:r w:rsidR="00E22572">
        <w:t xml:space="preserve"> to</w:t>
      </w:r>
      <w:r w:rsidR="00CC4E6F">
        <w:t xml:space="preserve"> </w:t>
      </w:r>
      <w:r w:rsidR="0043612A">
        <w:t>the loss of tree stock</w:t>
      </w:r>
      <w:r>
        <w:t xml:space="preserve"> – comprising predominantly of category C</w:t>
      </w:r>
      <w:r w:rsidR="00C71869">
        <w:t xml:space="preserve"> and U</w:t>
      </w:r>
      <w:r>
        <w:t xml:space="preserve"> grade trees</w:t>
      </w:r>
      <w:r w:rsidR="00E22572">
        <w:t xml:space="preserve">; and </w:t>
      </w:r>
      <w:r w:rsidR="00E22572" w:rsidRPr="00E22572">
        <w:rPr>
          <w:b/>
          <w:bCs w:val="0"/>
        </w:rPr>
        <w:t>minor beneficial</w:t>
      </w:r>
      <w:r w:rsidR="00E22572">
        <w:t xml:space="preserve"> relative to off-site planting; </w:t>
      </w:r>
      <w:r w:rsidR="00E22572" w:rsidRPr="00E22572">
        <w:rPr>
          <w:b/>
          <w:bCs w:val="0"/>
        </w:rPr>
        <w:t>minor adverse</w:t>
      </w:r>
      <w:r w:rsidR="00E22572">
        <w:rPr>
          <w:b/>
          <w:bCs w:val="0"/>
        </w:rPr>
        <w:t xml:space="preserve"> to </w:t>
      </w:r>
      <w:r w:rsidR="00E22572" w:rsidRPr="00E22572">
        <w:rPr>
          <w:b/>
          <w:bCs w:val="0"/>
        </w:rPr>
        <w:t>negligible</w:t>
      </w:r>
      <w:r w:rsidR="00E22572">
        <w:t xml:space="preserve"> on movement corridors and Public Rights of Way; </w:t>
      </w:r>
      <w:r w:rsidR="00CC4E6F">
        <w:t xml:space="preserve"> and </w:t>
      </w:r>
      <w:r w:rsidR="0043612A" w:rsidRPr="006A572B">
        <w:rPr>
          <w:b/>
          <w:bCs w:val="0"/>
        </w:rPr>
        <w:t>moderate to major</w:t>
      </w:r>
      <w:r w:rsidR="0043612A">
        <w:rPr>
          <w:b/>
          <w:bCs w:val="0"/>
        </w:rPr>
        <w:t xml:space="preserve"> </w:t>
      </w:r>
      <w:r w:rsidR="00CC4E6F" w:rsidRPr="00CC4E6F">
        <w:rPr>
          <w:b/>
          <w:bCs w:val="0"/>
        </w:rPr>
        <w:t xml:space="preserve">beneficial significance </w:t>
      </w:r>
      <w:r w:rsidR="00CC4E6F">
        <w:t>relative to building demolition</w:t>
      </w:r>
      <w:r w:rsidR="00E22572">
        <w:t xml:space="preserve">; and </w:t>
      </w:r>
      <w:r w:rsidR="00E22572" w:rsidRPr="00E22572">
        <w:rPr>
          <w:b/>
          <w:bCs w:val="0"/>
        </w:rPr>
        <w:t>moderate to major adverse</w:t>
      </w:r>
      <w:r w:rsidR="00E22572">
        <w:t xml:space="preserve"> relative to </w:t>
      </w:r>
      <w:r w:rsidR="00692022">
        <w:t>construction of</w:t>
      </w:r>
      <w:r w:rsidR="00E22572">
        <w:t xml:space="preserve"> built form westwards; and</w:t>
      </w:r>
      <w:r w:rsidR="009340A1">
        <w:t xml:space="preserve"> </w:t>
      </w:r>
      <w:r w:rsidR="00E22572">
        <w:t xml:space="preserve">with effects </w:t>
      </w:r>
      <w:r>
        <w:t xml:space="preserve">on site character are predicted to be </w:t>
      </w:r>
      <w:r w:rsidRPr="00A64F39">
        <w:rPr>
          <w:b/>
          <w:bCs w:val="0"/>
        </w:rPr>
        <w:t>major adverse.</w:t>
      </w:r>
    </w:p>
    <w:p w14:paraId="6D57860E" w14:textId="50D5EC6E" w:rsidR="0038193E" w:rsidRDefault="007D0FFD" w:rsidP="00D06E91">
      <w:pPr>
        <w:pStyle w:val="Heading3"/>
      </w:pPr>
      <w:r>
        <w:t>At construction stage, t</w:t>
      </w:r>
      <w:r w:rsidR="0038193E">
        <w:t xml:space="preserve">he residual effects for the contextual landscape elements, </w:t>
      </w:r>
      <w:r>
        <w:t>landscape characters in national, county and Site level</w:t>
      </w:r>
      <w:r w:rsidR="00227F1D">
        <w:t>,</w:t>
      </w:r>
      <w:r>
        <w:t xml:space="preserve"> </w:t>
      </w:r>
      <w:r w:rsidR="0038193E">
        <w:t>the Site elements</w:t>
      </w:r>
      <w:r w:rsidR="00227F1D">
        <w:t xml:space="preserve"> and visual receptors</w:t>
      </w:r>
      <w:r w:rsidR="0038193E">
        <w:t xml:space="preserve"> are predicated to remain unchanged</w:t>
      </w:r>
      <w:r w:rsidR="00AE6145">
        <w:t xml:space="preserve"> by the proposed mitigation measures</w:t>
      </w:r>
      <w:r w:rsidR="0038193E">
        <w:t>.</w:t>
      </w:r>
    </w:p>
    <w:p w14:paraId="692822A0" w14:textId="6F843E37" w:rsidR="00BD35BC" w:rsidRPr="00BD35BC" w:rsidRDefault="00D06E91" w:rsidP="004E136B">
      <w:pPr>
        <w:pStyle w:val="Heading3"/>
      </w:pPr>
      <w:r>
        <w:t xml:space="preserve">At the operational phase, effects on the contextual landscape receptors will be </w:t>
      </w:r>
      <w:r w:rsidR="00452162" w:rsidRPr="00452162">
        <w:rPr>
          <w:b/>
          <w:bCs w:val="0"/>
        </w:rPr>
        <w:t>minor beneficial significance</w:t>
      </w:r>
      <w:r w:rsidR="00452162">
        <w:t xml:space="preserve"> </w:t>
      </w:r>
      <w:r w:rsidR="00452162" w:rsidRPr="00452162">
        <w:t>relative to mitigation woodland tree planting.</w:t>
      </w:r>
      <w:r w:rsidR="00452162">
        <w:rPr>
          <w:b/>
          <w:bCs w:val="0"/>
        </w:rPr>
        <w:t xml:space="preserve"> </w:t>
      </w:r>
    </w:p>
    <w:p w14:paraId="0252A0A8" w14:textId="26E82488" w:rsidR="00EA1E82" w:rsidRDefault="00BD35BC" w:rsidP="00BD35BC">
      <w:pPr>
        <w:pStyle w:val="Heading3"/>
      </w:pPr>
      <w:r w:rsidRPr="00BD35BC">
        <w:t xml:space="preserve">Effects on national level landscape character will </w:t>
      </w:r>
      <w:r w:rsidRPr="00BD35BC">
        <w:rPr>
          <w:b/>
          <w:bCs w:val="0"/>
        </w:rPr>
        <w:t>negligible</w:t>
      </w:r>
      <w:r w:rsidRPr="00BD35BC">
        <w:t xml:space="preserve">; effects on county level landscape character will be </w:t>
      </w:r>
      <w:r w:rsidRPr="00BD35BC">
        <w:rPr>
          <w:b/>
          <w:bCs w:val="0"/>
        </w:rPr>
        <w:t>minor beneficial significance</w:t>
      </w:r>
      <w:r w:rsidRPr="00BD35BC">
        <w:t xml:space="preserve">; </w:t>
      </w:r>
      <w:r>
        <w:t>effects on local level landscape character</w:t>
      </w:r>
      <w:r w:rsidR="00EA1E82">
        <w:t xml:space="preserve"> will be both </w:t>
      </w:r>
      <w:r w:rsidR="00EA1E82" w:rsidRPr="00EA1E82">
        <w:rPr>
          <w:b/>
          <w:bCs w:val="0"/>
        </w:rPr>
        <w:t>minor adverse</w:t>
      </w:r>
      <w:r w:rsidR="00EA1E82">
        <w:t xml:space="preserve"> relative to the site proposals and </w:t>
      </w:r>
      <w:r w:rsidR="00EA1E82" w:rsidRPr="00EA1E82">
        <w:rPr>
          <w:b/>
          <w:bCs w:val="0"/>
        </w:rPr>
        <w:t xml:space="preserve">minor beneficial </w:t>
      </w:r>
      <w:r w:rsidR="00EA1E82">
        <w:t xml:space="preserve">relative to the off-site </w:t>
      </w:r>
      <w:r w:rsidR="009340A1">
        <w:t xml:space="preserve">tree planting </w:t>
      </w:r>
      <w:r w:rsidR="00EA1E82">
        <w:t xml:space="preserve">works. The change to the night-time character is predicted to result in a </w:t>
      </w:r>
      <w:r w:rsidR="00EA1E82" w:rsidRPr="00EA1E82">
        <w:rPr>
          <w:b/>
          <w:bCs w:val="0"/>
        </w:rPr>
        <w:t>major adverse</w:t>
      </w:r>
      <w:r w:rsidR="00EA1E82">
        <w:t xml:space="preserve"> effect.</w:t>
      </w:r>
    </w:p>
    <w:p w14:paraId="6F1AE103" w14:textId="3FA2BC05" w:rsidR="00D06E91" w:rsidRDefault="00452162" w:rsidP="00EA1E82">
      <w:pPr>
        <w:pStyle w:val="Heading3"/>
      </w:pPr>
      <w:r w:rsidRPr="00452162">
        <w:t>For</w:t>
      </w:r>
      <w:r w:rsidR="00D06E91" w:rsidRPr="00452162">
        <w:t xml:space="preserve"> </w:t>
      </w:r>
      <w:r w:rsidR="00D06E91">
        <w:t xml:space="preserve">the Site landscape receptors </w:t>
      </w:r>
      <w:r w:rsidR="00692022">
        <w:t xml:space="preserve">effects </w:t>
      </w:r>
      <w:r w:rsidR="00B85603">
        <w:t xml:space="preserve">at this stage </w:t>
      </w:r>
      <w:r w:rsidR="00692022">
        <w:t xml:space="preserve">will be </w:t>
      </w:r>
      <w:r w:rsidR="00692022" w:rsidRPr="00063F19">
        <w:rPr>
          <w:b/>
          <w:bCs w:val="0"/>
        </w:rPr>
        <w:t>negligible</w:t>
      </w:r>
      <w:r w:rsidR="00692022">
        <w:t xml:space="preserve"> on the overall site topography; </w:t>
      </w:r>
      <w:r w:rsidR="00692022" w:rsidRPr="00063F19">
        <w:rPr>
          <w:b/>
          <w:bCs w:val="0"/>
        </w:rPr>
        <w:t>moderate beneficial</w:t>
      </w:r>
      <w:r w:rsidR="00692022">
        <w:t xml:space="preserve"> on site landcover</w:t>
      </w:r>
      <w:r w:rsidR="00063F19">
        <w:t>;</w:t>
      </w:r>
      <w:r w:rsidR="00692022">
        <w:t xml:space="preserve"> </w:t>
      </w:r>
      <w:r w:rsidR="00063F19" w:rsidRPr="00063F19">
        <w:rPr>
          <w:b/>
          <w:bCs w:val="0"/>
        </w:rPr>
        <w:t>neutral</w:t>
      </w:r>
      <w:r w:rsidR="00063F19">
        <w:t xml:space="preserve"> initially on </w:t>
      </w:r>
      <w:r w:rsidR="005D44DD">
        <w:t>tree stock</w:t>
      </w:r>
      <w:r w:rsidR="00063F19">
        <w:t xml:space="preserve">, vegetation pattern and site landscape features, </w:t>
      </w:r>
      <w:r w:rsidR="00063F19" w:rsidRPr="00063F19">
        <w:t xml:space="preserve">considering the </w:t>
      </w:r>
      <w:r w:rsidR="005D44DD">
        <w:t xml:space="preserve">1 to 1 </w:t>
      </w:r>
      <w:r w:rsidR="00063F19" w:rsidRPr="00063F19">
        <w:t>replacement of trees and that this tree stock is likely to be implemented at a smaller scale on day 1</w:t>
      </w:r>
      <w:r w:rsidR="00063F19">
        <w:t>. The</w:t>
      </w:r>
      <w:r w:rsidR="00063F19" w:rsidRPr="00063F19">
        <w:t xml:space="preserve"> effects on tree stock within the Site will diminish </w:t>
      </w:r>
      <w:r w:rsidR="00063F19">
        <w:t xml:space="preserve">over time to </w:t>
      </w:r>
      <w:r w:rsidR="00063F19" w:rsidRPr="00063F19">
        <w:rPr>
          <w:b/>
          <w:bCs w:val="0"/>
        </w:rPr>
        <w:t>moderate beneficial</w:t>
      </w:r>
      <w:r w:rsidR="00063F19">
        <w:rPr>
          <w:b/>
          <w:bCs w:val="0"/>
        </w:rPr>
        <w:t xml:space="preserve">. </w:t>
      </w:r>
      <w:r w:rsidR="00063F19" w:rsidRPr="00063F19">
        <w:t xml:space="preserve"> Effects arising from the implementation of the woodland planting to the north of the Site have been considered in the assessment of effects on the contextual landscape</w:t>
      </w:r>
      <w:r w:rsidR="00063F19">
        <w:t xml:space="preserve">. </w:t>
      </w:r>
      <w:r w:rsidR="00063F19">
        <w:rPr>
          <w:b/>
          <w:bCs w:val="0"/>
        </w:rPr>
        <w:t>M</w:t>
      </w:r>
      <w:r w:rsidR="00063F19" w:rsidRPr="00063F19">
        <w:rPr>
          <w:b/>
          <w:bCs w:val="0"/>
        </w:rPr>
        <w:t xml:space="preserve">oderate beneficial </w:t>
      </w:r>
      <w:r w:rsidR="00063F19" w:rsidRPr="00063F19">
        <w:t>effects are predicted</w:t>
      </w:r>
      <w:r w:rsidR="00063F19">
        <w:rPr>
          <w:b/>
          <w:bCs w:val="0"/>
        </w:rPr>
        <w:t xml:space="preserve"> </w:t>
      </w:r>
      <w:r w:rsidR="00063F19">
        <w:t xml:space="preserve">on movement corridors and Public Rights of way, considering the opening up of public movement across the Site; </w:t>
      </w:r>
      <w:r w:rsidR="00063F19" w:rsidRPr="00063F19">
        <w:rPr>
          <w:b/>
          <w:bCs w:val="0"/>
        </w:rPr>
        <w:t>moderate to major beneficial</w:t>
      </w:r>
      <w:r w:rsidR="00063F19">
        <w:t xml:space="preserve"> on built form, considering the delivery of high-quality housing that reflects local character; and </w:t>
      </w:r>
      <w:r w:rsidR="00063F19" w:rsidRPr="00063F19">
        <w:rPr>
          <w:b/>
          <w:bCs w:val="0"/>
        </w:rPr>
        <w:t>moderate adverse</w:t>
      </w:r>
      <w:r w:rsidR="00063F19">
        <w:t xml:space="preserve"> on Site character considering the removal of private amenity green space, but also and </w:t>
      </w:r>
      <w:r w:rsidR="00063F19" w:rsidRPr="00063F19">
        <w:rPr>
          <w:b/>
          <w:bCs w:val="0"/>
        </w:rPr>
        <w:t>moderate beneficial</w:t>
      </w:r>
      <w:r w:rsidR="00063F19">
        <w:t xml:space="preserve"> on Site character considering the retention of green space to form open space</w:t>
      </w:r>
      <w:r w:rsidR="005D44DD">
        <w:t>,</w:t>
      </w:r>
      <w:r w:rsidR="00063F19">
        <w:t xml:space="preserve"> considering the</w:t>
      </w:r>
      <w:r w:rsidR="005D44DD">
        <w:t xml:space="preserve"> replacement</w:t>
      </w:r>
      <w:r w:rsidR="00063F19">
        <w:t xml:space="preserve"> tree planting</w:t>
      </w:r>
      <w:r w:rsidR="005D44DD">
        <w:t xml:space="preserve"> and the implementation of a high quality scheme which reflects local character</w:t>
      </w:r>
      <w:r w:rsidR="00063F19">
        <w:t xml:space="preserve">. </w:t>
      </w:r>
      <w:r w:rsidR="00C71869">
        <w:t>.</w:t>
      </w:r>
      <w:r w:rsidR="007D4FE1">
        <w:t xml:space="preserve"> </w:t>
      </w:r>
      <w:r w:rsidR="00063CD7">
        <w:t xml:space="preserve"> </w:t>
      </w:r>
    </w:p>
    <w:p w14:paraId="6FFD1CE1" w14:textId="40BD5C4A" w:rsidR="007D0FFD" w:rsidDel="000479DB" w:rsidRDefault="007D0FFD" w:rsidP="004E136B">
      <w:pPr>
        <w:pStyle w:val="Heading3"/>
      </w:pPr>
      <w:r>
        <w:t xml:space="preserve">The residual </w:t>
      </w:r>
      <w:r w:rsidR="00F36C08">
        <w:t xml:space="preserve">landscape </w:t>
      </w:r>
      <w:r>
        <w:t xml:space="preserve">effects in operational stage will predominantly remain unchanged. </w:t>
      </w:r>
    </w:p>
    <w:p w14:paraId="753715FD" w14:textId="521447F1" w:rsidR="00D06E91" w:rsidRDefault="00D06E91" w:rsidP="00D06E91">
      <w:pPr>
        <w:pStyle w:val="Heading3"/>
      </w:pPr>
      <w:r>
        <w:t xml:space="preserve">A series of visual receptors, at a range of distances to the Site were identified as part of the baseline assessment. These included residential receptors, </w:t>
      </w:r>
      <w:r w:rsidR="00B01359">
        <w:t xml:space="preserve">receptors from community facilities and schools, </w:t>
      </w:r>
      <w:r>
        <w:t xml:space="preserve">transient receptors using roads, </w:t>
      </w:r>
      <w:r w:rsidR="00B01359">
        <w:t xml:space="preserve">transient receptors using </w:t>
      </w:r>
      <w:r>
        <w:t xml:space="preserve">public rights of way, receptors </w:t>
      </w:r>
      <w:r w:rsidR="00B01359">
        <w:t>using public</w:t>
      </w:r>
      <w:r>
        <w:t xml:space="preserve"> open space</w:t>
      </w:r>
      <w:r w:rsidR="00B01359">
        <w:t xml:space="preserve"> and within designated landscape</w:t>
      </w:r>
      <w:r>
        <w:t>. The representative views were undertaken during the winter seasons, which represent the worst-case scenario and were recorded in views from the opened, partial and truncated. Those receptors in the immediate Site context have the most open views of the Site elements</w:t>
      </w:r>
      <w:r w:rsidR="00F36C08">
        <w:t>, with views and the perception of the Site diminishing with distance</w:t>
      </w:r>
      <w:r>
        <w:t xml:space="preserve">. Views at distance are </w:t>
      </w:r>
      <w:r w:rsidR="00B01359">
        <w:t xml:space="preserve">predominantly </w:t>
      </w:r>
      <w:r>
        <w:t xml:space="preserve">truncated. </w:t>
      </w:r>
    </w:p>
    <w:p w14:paraId="07FA4A3D" w14:textId="3B8A523C" w:rsidR="00F64EBB" w:rsidRDefault="00CB1D61" w:rsidP="00F36C08">
      <w:pPr>
        <w:pStyle w:val="Heading3"/>
        <w:rPr>
          <w:rFonts w:eastAsia="MS Gothic" w:cs="Times New Roman"/>
        </w:rPr>
      </w:pPr>
      <w:r>
        <w:t>A</w:t>
      </w:r>
      <w:r w:rsidR="00D06E91" w:rsidRPr="000559EB">
        <w:t xml:space="preserve"> range of visual effects are predicated to occur</w:t>
      </w:r>
      <w:r w:rsidR="00F36C08">
        <w:t xml:space="preserve"> as a result of the proposed physical changes to the Site</w:t>
      </w:r>
      <w:r w:rsidR="00D06E91" w:rsidRPr="000559EB">
        <w:t xml:space="preserve">. </w:t>
      </w:r>
      <w:r w:rsidR="00D06E91" w:rsidRPr="000559EB">
        <w:rPr>
          <w:rFonts w:eastAsia="MS Gothic" w:cs="Times New Roman"/>
        </w:rPr>
        <w:t>At the Construction Phase effects</w:t>
      </w:r>
      <w:r w:rsidR="00F36C08">
        <w:rPr>
          <w:rFonts w:eastAsia="MS Gothic" w:cs="Times New Roman"/>
        </w:rPr>
        <w:t xml:space="preserve"> are predicted to</w:t>
      </w:r>
      <w:r w:rsidR="00D06E91" w:rsidRPr="000559EB">
        <w:rPr>
          <w:rFonts w:eastAsia="MS Gothic" w:cs="Times New Roman"/>
        </w:rPr>
        <w:t xml:space="preserve"> be </w:t>
      </w:r>
      <w:r w:rsidR="00F36C08" w:rsidRPr="00A76B31">
        <w:rPr>
          <w:b/>
        </w:rPr>
        <w:t>m</w:t>
      </w:r>
      <w:r w:rsidR="00F36C08">
        <w:rPr>
          <w:b/>
        </w:rPr>
        <w:t>ajor</w:t>
      </w:r>
      <w:r w:rsidR="00F36C08" w:rsidRPr="00A76B31">
        <w:rPr>
          <w:b/>
        </w:rPr>
        <w:t xml:space="preserve"> </w:t>
      </w:r>
      <w:r w:rsidR="00D06E91" w:rsidRPr="00A76B31">
        <w:t>to</w:t>
      </w:r>
      <w:r w:rsidR="00D06E91" w:rsidRPr="00A76B31">
        <w:rPr>
          <w:b/>
        </w:rPr>
        <w:t xml:space="preserve"> </w:t>
      </w:r>
      <w:r w:rsidR="00F36C08" w:rsidRPr="00A76B31">
        <w:rPr>
          <w:b/>
        </w:rPr>
        <w:t>m</w:t>
      </w:r>
      <w:r w:rsidR="00F36C08">
        <w:rPr>
          <w:b/>
        </w:rPr>
        <w:t>oderate</w:t>
      </w:r>
      <w:r w:rsidR="00F36C08" w:rsidRPr="00A76B31">
        <w:rPr>
          <w:b/>
        </w:rPr>
        <w:t xml:space="preserve"> </w:t>
      </w:r>
      <w:r w:rsidR="00D06E91" w:rsidRPr="00A76B31">
        <w:rPr>
          <w:b/>
        </w:rPr>
        <w:t>adverse significance</w:t>
      </w:r>
      <w:r w:rsidR="00F36C08" w:rsidRPr="00F36C08">
        <w:rPr>
          <w:rFonts w:eastAsia="MS Gothic" w:cs="Times New Roman"/>
        </w:rPr>
        <w:t>, on those receptors in close proximity to the Site</w:t>
      </w:r>
      <w:r w:rsidR="00C71869">
        <w:rPr>
          <w:rFonts w:eastAsia="MS Gothic" w:cs="Times New Roman"/>
        </w:rPr>
        <w:t xml:space="preserve"> where the change in the character and amenity of the view will be readily perceived</w:t>
      </w:r>
      <w:r w:rsidR="00D06E91" w:rsidRPr="000559EB">
        <w:rPr>
          <w:rFonts w:eastAsia="MS Gothic" w:cs="Times New Roman"/>
        </w:rPr>
        <w:t xml:space="preserve">; </w:t>
      </w:r>
      <w:r w:rsidR="00F36C08" w:rsidRPr="00F36C08">
        <w:rPr>
          <w:rFonts w:eastAsia="MS Gothic" w:cs="Times New Roman"/>
        </w:rPr>
        <w:t xml:space="preserve">and </w:t>
      </w:r>
      <w:r w:rsidR="00F36C08" w:rsidRPr="00F36C08">
        <w:rPr>
          <w:rFonts w:eastAsia="MS Gothic" w:cs="Times New Roman"/>
          <w:b/>
          <w:bCs w:val="0"/>
        </w:rPr>
        <w:t>moderate to minor adverse</w:t>
      </w:r>
      <w:r w:rsidR="00F36C08" w:rsidRPr="00F36C08">
        <w:rPr>
          <w:rFonts w:eastAsia="MS Gothic" w:cs="Times New Roman"/>
        </w:rPr>
        <w:t xml:space="preserve"> for those receptors where the Site forms part of the wider townscape</w:t>
      </w:r>
      <w:r w:rsidR="00F64EBB">
        <w:rPr>
          <w:rFonts w:eastAsia="MS Gothic" w:cs="Times New Roman"/>
        </w:rPr>
        <w:t xml:space="preserve">. For those receptors at community facilities and schools, effects at this stage are predicted to be </w:t>
      </w:r>
      <w:r w:rsidR="00F64EBB" w:rsidRPr="00F64EBB">
        <w:rPr>
          <w:rFonts w:eastAsia="MS Gothic" w:cs="Times New Roman"/>
          <w:b/>
          <w:bCs w:val="0"/>
        </w:rPr>
        <w:t>moderate to minor adverse.</w:t>
      </w:r>
      <w:r w:rsidR="00F64EBB">
        <w:rPr>
          <w:rFonts w:eastAsia="MS Gothic" w:cs="Times New Roman"/>
        </w:rPr>
        <w:t xml:space="preserve"> Effects on those transient receptors where views of the </w:t>
      </w:r>
      <w:r w:rsidR="00181816">
        <w:rPr>
          <w:rFonts w:eastAsia="MS Gothic" w:cs="Times New Roman"/>
        </w:rPr>
        <w:t>S</w:t>
      </w:r>
      <w:r w:rsidR="00F64EBB">
        <w:rPr>
          <w:rFonts w:eastAsia="MS Gothic" w:cs="Times New Roman"/>
        </w:rPr>
        <w:t xml:space="preserve">ite are </w:t>
      </w:r>
      <w:r w:rsidR="00F36C08" w:rsidRPr="00F36C08">
        <w:rPr>
          <w:rFonts w:eastAsia="MS Gothic" w:cs="Times New Roman"/>
        </w:rPr>
        <w:t>experienced as part of a journey through the townscape and settlement fringes</w:t>
      </w:r>
      <w:r w:rsidR="00F64EBB">
        <w:rPr>
          <w:rFonts w:eastAsia="MS Gothic" w:cs="Times New Roman"/>
        </w:rPr>
        <w:t xml:space="preserve">, or where construction elements may be apparent above the skyline from Public Rights of Way, effects are predicted to be </w:t>
      </w:r>
      <w:r w:rsidR="00F64EBB" w:rsidRPr="00F64EBB">
        <w:rPr>
          <w:rFonts w:eastAsia="MS Gothic" w:cs="Times New Roman"/>
          <w:b/>
          <w:bCs w:val="0"/>
        </w:rPr>
        <w:t>minor adverse</w:t>
      </w:r>
      <w:r w:rsidR="00F36C08">
        <w:rPr>
          <w:rFonts w:eastAsia="MS Gothic" w:cs="Times New Roman"/>
        </w:rPr>
        <w:t xml:space="preserve">. </w:t>
      </w:r>
      <w:r w:rsidR="00F64EBB">
        <w:rPr>
          <w:rFonts w:eastAsia="MS Gothic" w:cs="Times New Roman"/>
        </w:rPr>
        <w:t xml:space="preserve">Effects on those receptors using the public open space are predicted to be </w:t>
      </w:r>
      <w:r w:rsidR="00F64EBB" w:rsidRPr="00F64EBB">
        <w:rPr>
          <w:rFonts w:eastAsia="MS Gothic" w:cs="Times New Roman"/>
          <w:b/>
          <w:bCs w:val="0"/>
        </w:rPr>
        <w:t>minor adverse</w:t>
      </w:r>
      <w:r w:rsidR="00F64EBB">
        <w:rPr>
          <w:rFonts w:eastAsia="MS Gothic" w:cs="Times New Roman"/>
        </w:rPr>
        <w:t xml:space="preserve">, at worst. Effects on receptors within or travelling through the AONB are predicted to be </w:t>
      </w:r>
      <w:r w:rsidR="00F64EBB" w:rsidRPr="00F64EBB">
        <w:rPr>
          <w:rFonts w:eastAsia="MS Gothic" w:cs="Times New Roman"/>
          <w:b/>
          <w:bCs w:val="0"/>
        </w:rPr>
        <w:t>neutral</w:t>
      </w:r>
      <w:r w:rsidR="00F64EBB">
        <w:rPr>
          <w:rFonts w:eastAsia="MS Gothic" w:cs="Times New Roman"/>
        </w:rPr>
        <w:t>.</w:t>
      </w:r>
    </w:p>
    <w:p w14:paraId="3467B94F" w14:textId="7F5D115E" w:rsidR="00F36C08" w:rsidRPr="00F36C08" w:rsidRDefault="00F36C08" w:rsidP="00F36C08">
      <w:pPr>
        <w:pStyle w:val="Heading3"/>
        <w:rPr>
          <w:rFonts w:eastAsia="MS Gothic" w:cs="Times New Roman"/>
        </w:rPr>
      </w:pPr>
      <w:r>
        <w:rPr>
          <w:rFonts w:eastAsia="MS Gothic" w:cs="Times New Roman"/>
        </w:rPr>
        <w:t xml:space="preserve">At </w:t>
      </w:r>
      <w:r w:rsidR="00D06E91" w:rsidRPr="000559EB">
        <w:rPr>
          <w:rFonts w:eastAsia="MS Gothic" w:cs="Times New Roman"/>
        </w:rPr>
        <w:t xml:space="preserve">the operational phase, </w:t>
      </w:r>
      <w:r w:rsidR="00F64EBB">
        <w:rPr>
          <w:rFonts w:eastAsia="MS Gothic" w:cs="Times New Roman"/>
        </w:rPr>
        <w:t xml:space="preserve">visual </w:t>
      </w:r>
      <w:r w:rsidR="00D06E91" w:rsidRPr="000559EB">
        <w:rPr>
          <w:rFonts w:eastAsia="MS Gothic" w:cs="Times New Roman"/>
        </w:rPr>
        <w:t xml:space="preserve">effects will </w:t>
      </w:r>
      <w:r w:rsidR="00F64EBB">
        <w:rPr>
          <w:rFonts w:eastAsia="MS Gothic" w:cs="Times New Roman"/>
        </w:rPr>
        <w:t xml:space="preserve">range from </w:t>
      </w:r>
      <w:r w:rsidR="006A572B">
        <w:rPr>
          <w:b/>
        </w:rPr>
        <w:t xml:space="preserve">major </w:t>
      </w:r>
      <w:r w:rsidR="00D06E91" w:rsidRPr="00A76B31">
        <w:t>to</w:t>
      </w:r>
      <w:r w:rsidR="00D06E91" w:rsidRPr="00A76B31">
        <w:rPr>
          <w:b/>
        </w:rPr>
        <w:t xml:space="preserve"> minor </w:t>
      </w:r>
      <w:r>
        <w:rPr>
          <w:b/>
        </w:rPr>
        <w:t xml:space="preserve">adverse </w:t>
      </w:r>
      <w:r w:rsidR="00AC66ED" w:rsidRPr="00AC66ED">
        <w:rPr>
          <w:b/>
        </w:rPr>
        <w:t>significance</w:t>
      </w:r>
      <w:r w:rsidR="00D06E91" w:rsidRPr="000559EB">
        <w:rPr>
          <w:rFonts w:eastAsia="MS Gothic" w:cs="Times New Roman"/>
        </w:rPr>
        <w:t>.</w:t>
      </w:r>
      <w:r w:rsidRPr="00F36C08">
        <w:t xml:space="preserve"> </w:t>
      </w:r>
      <w:r w:rsidR="00181816">
        <w:t>Effects are</w:t>
      </w:r>
      <w:r w:rsidR="00181816" w:rsidRPr="00181816">
        <w:t xml:space="preserve"> predicted to be </w:t>
      </w:r>
      <w:r w:rsidR="00181816" w:rsidRPr="00181816">
        <w:rPr>
          <w:b/>
          <w:bCs w:val="0"/>
        </w:rPr>
        <w:t>major to moderate adverse</w:t>
      </w:r>
      <w:r w:rsidR="00181816" w:rsidRPr="00181816">
        <w:t xml:space="preserve"> significance, on those receptors in close proximity to the Site where the change in the character and amenity of the view will be readily perceived; and </w:t>
      </w:r>
      <w:r w:rsidR="00181816" w:rsidRPr="00181816">
        <w:rPr>
          <w:b/>
          <w:bCs w:val="0"/>
        </w:rPr>
        <w:t>moderate to minor adverse for</w:t>
      </w:r>
      <w:r w:rsidR="00181816" w:rsidRPr="00181816">
        <w:t xml:space="preserve"> those receptors where the Site forms part of the wider townscape. For those receptors at community facilities and schools, effects at this stage are predicted to be </w:t>
      </w:r>
      <w:r w:rsidR="00181816" w:rsidRPr="00181816">
        <w:rPr>
          <w:b/>
          <w:bCs w:val="0"/>
        </w:rPr>
        <w:t>moderate adverse</w:t>
      </w:r>
      <w:r w:rsidR="00181816" w:rsidRPr="00181816">
        <w:t xml:space="preserve">. Effects on those transient receptors where views of the </w:t>
      </w:r>
      <w:r w:rsidR="00181816">
        <w:t>S</w:t>
      </w:r>
      <w:r w:rsidR="00181816" w:rsidRPr="00181816">
        <w:t>ite are experienced as part of a journey through the townscape and settlement fringes</w:t>
      </w:r>
      <w:r w:rsidR="00181816">
        <w:t xml:space="preserve"> </w:t>
      </w:r>
      <w:r w:rsidR="00181816" w:rsidRPr="00181816">
        <w:t xml:space="preserve">are predicted to be </w:t>
      </w:r>
      <w:r w:rsidR="00181816" w:rsidRPr="00181816">
        <w:rPr>
          <w:b/>
          <w:bCs w:val="0"/>
        </w:rPr>
        <w:t>minor adverse</w:t>
      </w:r>
      <w:r w:rsidR="00181816" w:rsidRPr="00181816">
        <w:t xml:space="preserve">. </w:t>
      </w:r>
      <w:r w:rsidR="00181816">
        <w:t xml:space="preserve">For those transient receptors using the </w:t>
      </w:r>
      <w:r w:rsidR="00181816" w:rsidRPr="00181816">
        <w:t>Public Rights of Way</w:t>
      </w:r>
      <w:r w:rsidR="00181816">
        <w:t xml:space="preserve">, effects are predicted to be </w:t>
      </w:r>
      <w:r w:rsidR="00181816" w:rsidRPr="00181816">
        <w:rPr>
          <w:b/>
          <w:bCs w:val="0"/>
        </w:rPr>
        <w:t>negligible.</w:t>
      </w:r>
      <w:r w:rsidR="00181816">
        <w:t xml:space="preserve"> </w:t>
      </w:r>
      <w:r w:rsidR="00181816" w:rsidRPr="00181816">
        <w:t xml:space="preserve">Effects on those receptors using the public open space are predicted to be </w:t>
      </w:r>
      <w:r w:rsidR="00181816" w:rsidRPr="00181816">
        <w:rPr>
          <w:b/>
          <w:bCs w:val="0"/>
        </w:rPr>
        <w:t>minor adverse</w:t>
      </w:r>
      <w:r w:rsidR="00181816" w:rsidRPr="00181816">
        <w:t xml:space="preserve">, at worst. Effects on receptors within or travelling through the AONB are predicted to be </w:t>
      </w:r>
      <w:r w:rsidR="00181816" w:rsidRPr="00181816">
        <w:rPr>
          <w:b/>
          <w:bCs w:val="0"/>
        </w:rPr>
        <w:t>neutral.</w:t>
      </w:r>
      <w:r w:rsidR="00181816">
        <w:t xml:space="preserve"> </w:t>
      </w:r>
      <w:r w:rsidR="006E0931">
        <w:t>These effects will moderate over time and as the replacement planting establishes</w:t>
      </w:r>
      <w:r w:rsidR="00286F76">
        <w:t xml:space="preserve"> and the built form weathers</w:t>
      </w:r>
      <w:r w:rsidR="006E0931">
        <w:t>.</w:t>
      </w:r>
    </w:p>
    <w:p w14:paraId="0A2DADC5" w14:textId="54819EE9" w:rsidR="00D06E91" w:rsidRDefault="00D06E91" w:rsidP="00286F76">
      <w:pPr>
        <w:pStyle w:val="Heading3"/>
      </w:pPr>
      <w:r>
        <w:t xml:space="preserve">Mitigation measures have been incorporated into the design process of the masterplan. For construction phase, guidelines on contractor’s compounds, lighting, hoardings, material storage are set out in this </w:t>
      </w:r>
      <w:r w:rsidRPr="006A572B">
        <w:t xml:space="preserve">volume </w:t>
      </w:r>
      <w:r w:rsidR="00A76B31" w:rsidRPr="006A572B">
        <w:rPr>
          <w:b/>
        </w:rPr>
        <w:t>S</w:t>
      </w:r>
      <w:r w:rsidRPr="006A572B">
        <w:rPr>
          <w:b/>
        </w:rPr>
        <w:t>ection 2.7</w:t>
      </w:r>
      <w:r w:rsidR="00D02D73" w:rsidRPr="006A572B">
        <w:t xml:space="preserve"> and in the </w:t>
      </w:r>
      <w:r w:rsidR="00D02D73" w:rsidRPr="006A572B">
        <w:rPr>
          <w:b/>
        </w:rPr>
        <w:t xml:space="preserve">Outline Construction Environmental Management Plan </w:t>
      </w:r>
      <w:r w:rsidR="00D02D73" w:rsidRPr="006A572B">
        <w:t>submitted with this Application</w:t>
      </w:r>
      <w:r w:rsidRPr="006A572B">
        <w:t>. Additional mitigation measure in operational phase listed in this</w:t>
      </w:r>
      <w:r>
        <w:t xml:space="preserve"> section can be implemented during the Reserved Matters Application process. The residual effects are described</w:t>
      </w:r>
      <w:r w:rsidR="001D5C34">
        <w:t xml:space="preserve"> in detail</w:t>
      </w:r>
      <w:r>
        <w:t xml:space="preserve"> in this volume </w:t>
      </w:r>
      <w:r w:rsidR="00D02D73">
        <w:t xml:space="preserve">in </w:t>
      </w:r>
      <w:r w:rsidR="00D02D73" w:rsidRPr="001D5C34">
        <w:rPr>
          <w:b/>
        </w:rPr>
        <w:t>s</w:t>
      </w:r>
      <w:r w:rsidRPr="001D5C34">
        <w:rPr>
          <w:b/>
        </w:rPr>
        <w:t>ection 2.8</w:t>
      </w:r>
      <w:r w:rsidRPr="00CB1D61">
        <w:t>.</w:t>
      </w:r>
      <w:r>
        <w:t xml:space="preserve"> </w:t>
      </w:r>
      <w:r w:rsidR="00286F76" w:rsidRPr="00286F76">
        <w:t xml:space="preserve">Whilst </w:t>
      </w:r>
      <w:r w:rsidR="00286F76">
        <w:t xml:space="preserve">some </w:t>
      </w:r>
      <w:r w:rsidR="00286F76" w:rsidRPr="00286F76">
        <w:t>additional mitigation measures have been outlined, the residual effects for the majority of the receptors remain unchanged from those described above, with the exception of views from the community facilities and school area reducing to minor adverse.</w:t>
      </w:r>
    </w:p>
    <w:p w14:paraId="1570084E" w14:textId="674E37DF" w:rsidR="00D06E91" w:rsidRDefault="00D06E91" w:rsidP="00D06E91">
      <w:pPr>
        <w:pStyle w:val="Heading3"/>
      </w:pPr>
      <w:r w:rsidRPr="001D5C34">
        <w:rPr>
          <w:b/>
          <w:bCs w:val="0"/>
        </w:rPr>
        <w:t>Section 2.3</w:t>
      </w:r>
      <w:r>
        <w:t xml:space="preserve"> in this LVIA sets out the limitations and assumptions relative to the LVIA during the construction and operational phase of the project.</w:t>
      </w:r>
    </w:p>
    <w:p w14:paraId="7A34C9B5" w14:textId="2E12890E" w:rsidR="00A54154" w:rsidRPr="00C34394" w:rsidRDefault="00F36C08" w:rsidP="00A54154">
      <w:pPr>
        <w:pStyle w:val="Heading3"/>
      </w:pPr>
      <w:r>
        <w:t xml:space="preserve">Five </w:t>
      </w:r>
      <w:r w:rsidR="00A54154">
        <w:t xml:space="preserve">schemes are included in the cumulative effect assessment in </w:t>
      </w:r>
      <w:r w:rsidR="00A54154" w:rsidRPr="001D5C34">
        <w:rPr>
          <w:b/>
          <w:bCs w:val="0"/>
        </w:rPr>
        <w:t>section 2.9</w:t>
      </w:r>
      <w:r w:rsidR="00A54154">
        <w:t xml:space="preserve">. These schemes are located to the south of the Site within the urban settlement of Reading and Caversham, there is no intervisibility into the Proposed Development. Therefore, the cumulative visual effects will not be assessed in this LVIA.  </w:t>
      </w:r>
    </w:p>
    <w:p w14:paraId="3EC26205" w14:textId="11CEC09C" w:rsidR="00A54154" w:rsidRPr="00F04E60" w:rsidRDefault="00A54154" w:rsidP="00D06E91">
      <w:pPr>
        <w:pStyle w:val="Heading3"/>
      </w:pPr>
      <w:r>
        <w:t xml:space="preserve">During the construction stage, the cumulative effects for the contextual elements will range between </w:t>
      </w:r>
      <w:r w:rsidRPr="00A54154">
        <w:rPr>
          <w:b/>
          <w:bCs w:val="0"/>
        </w:rPr>
        <w:t>neutral</w:t>
      </w:r>
      <w:r>
        <w:t xml:space="preserve"> to </w:t>
      </w:r>
      <w:r w:rsidRPr="00A54154">
        <w:rPr>
          <w:b/>
          <w:bCs w:val="0"/>
        </w:rPr>
        <w:t>minor adverse significance</w:t>
      </w:r>
      <w:r>
        <w:t xml:space="preserve">. For operational stage, the cumulative effects will range between </w:t>
      </w:r>
      <w:r w:rsidRPr="00A54154">
        <w:rPr>
          <w:b/>
          <w:bCs w:val="0"/>
        </w:rPr>
        <w:t>minor adverse significance</w:t>
      </w:r>
      <w:r>
        <w:t xml:space="preserve"> to </w:t>
      </w:r>
      <w:r w:rsidRPr="00A54154">
        <w:rPr>
          <w:b/>
          <w:bCs w:val="0"/>
        </w:rPr>
        <w:t>moderate beneficial significance</w:t>
      </w:r>
      <w:r>
        <w:t xml:space="preserve">. </w:t>
      </w:r>
      <w:r w:rsidR="007B6B17">
        <w:t xml:space="preserve">Effects on visual receptors identified in this assessment are considered to be </w:t>
      </w:r>
      <w:r w:rsidR="007B6B17" w:rsidRPr="007B6B17">
        <w:rPr>
          <w:b/>
          <w:bCs w:val="0"/>
        </w:rPr>
        <w:t>neutral.</w:t>
      </w:r>
    </w:p>
    <w:p w14:paraId="03093BCD" w14:textId="3FEF4198" w:rsidR="00921E2D" w:rsidRDefault="00F04E60" w:rsidP="00F04E60">
      <w:pPr>
        <w:pStyle w:val="Heading3"/>
      </w:pPr>
      <w:r>
        <w:t xml:space="preserve">Whilst this LVIA has set out the predicted </w:t>
      </w:r>
      <w:r w:rsidR="00921E2D">
        <w:t xml:space="preserve">and worst case </w:t>
      </w:r>
      <w:r>
        <w:t xml:space="preserve">landscape and visual effects, this is also to be viewed against the context of this man-made, manicured landscape, which </w:t>
      </w:r>
      <w:r w:rsidR="00921E2D">
        <w:t>flanked by residential built form. Whilst providing a settlement fringe green landscape, it is not a pristine rural landscape and is at the lower end of the value scale relative to NPPF Para 170 a.</w:t>
      </w:r>
    </w:p>
    <w:p w14:paraId="112DBABB" w14:textId="213CC528" w:rsidR="00F810A1" w:rsidRPr="00F810A1" w:rsidRDefault="00921E2D" w:rsidP="00905019">
      <w:pPr>
        <w:pStyle w:val="Heading3"/>
      </w:pPr>
      <w:r>
        <w:t>Furthermore, as with the</w:t>
      </w:r>
      <w:r w:rsidR="00F04E60" w:rsidRPr="00F04E60">
        <w:t xml:space="preserve"> development of any green site, adverse effects will occur which can be moderated through detailed design, </w:t>
      </w:r>
      <w:r>
        <w:t>using building styles and materials that reflect local</w:t>
      </w:r>
      <w:r w:rsidR="00F04E60" w:rsidRPr="00F04E60">
        <w:t xml:space="preserve"> characteristic</w:t>
      </w:r>
      <w:r>
        <w:t xml:space="preserve"> and distinctiveness</w:t>
      </w:r>
      <w:r w:rsidR="00F04E60" w:rsidRPr="00F04E60">
        <w:t xml:space="preserve">. </w:t>
      </w:r>
    </w:p>
    <w:sectPr w:rsidR="00F810A1" w:rsidRPr="00F810A1" w:rsidSect="00FD7402">
      <w:headerReference w:type="default" r:id="rId12"/>
      <w:footerReference w:type="default" r:id="rId13"/>
      <w:pgSz w:w="11906" w:h="16838"/>
      <w:pgMar w:top="1406" w:right="1133" w:bottom="1440" w:left="1134" w:header="1140" w:footer="336"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2FBF1" w14:textId="77777777" w:rsidR="000961FF" w:rsidRDefault="000961FF" w:rsidP="00956A85">
      <w:r>
        <w:separator/>
      </w:r>
    </w:p>
  </w:endnote>
  <w:endnote w:type="continuationSeparator" w:id="0">
    <w:p w14:paraId="263121A3" w14:textId="77777777" w:rsidR="000961FF" w:rsidRDefault="000961FF" w:rsidP="00956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BFD19" w14:textId="77777777" w:rsidR="000961FF" w:rsidRDefault="000961FF">
    <w:pPr>
      <w:pStyle w:val="Footer"/>
      <w:jc w:val="right"/>
    </w:pPr>
  </w:p>
  <w:tbl>
    <w:tblPr>
      <w:tblStyle w:val="TableGrid"/>
      <w:tblW w:w="4819" w:type="pct"/>
      <w:tblInd w:w="108" w:type="dxa"/>
      <w:tblBorders>
        <w:top w:val="single" w:sz="4" w:space="0" w:color="808080" w:themeColor="background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403"/>
    </w:tblGrid>
    <w:tr w:rsidR="000961FF" w14:paraId="0562C6A4" w14:textId="77777777" w:rsidTr="006E6BDE">
      <w:tc>
        <w:tcPr>
          <w:tcW w:w="2630" w:type="pct"/>
        </w:tcPr>
        <w:p w14:paraId="76B98A9C" w14:textId="77777777" w:rsidR="000961FF" w:rsidRDefault="000961FF" w:rsidP="006F27E7">
          <w:pPr>
            <w:pStyle w:val="Footer"/>
            <w:spacing w:before="80"/>
            <w:ind w:left="-108" w:right="-54"/>
            <w:rPr>
              <w:color w:val="002159"/>
              <w:spacing w:val="6"/>
              <w:sz w:val="16"/>
            </w:rPr>
          </w:pPr>
          <w:r>
            <w:rPr>
              <w:color w:val="002159"/>
              <w:spacing w:val="6"/>
              <w:sz w:val="16"/>
            </w:rPr>
            <w:t>www.templegroup.co.uk</w:t>
          </w:r>
        </w:p>
      </w:tc>
      <w:tc>
        <w:tcPr>
          <w:tcW w:w="2370" w:type="pct"/>
        </w:tcPr>
        <w:p w14:paraId="47077D68" w14:textId="77777777" w:rsidR="000961FF" w:rsidRDefault="000961FF" w:rsidP="00470A89">
          <w:pPr>
            <w:pStyle w:val="Footer"/>
            <w:tabs>
              <w:tab w:val="clear" w:pos="4513"/>
              <w:tab w:val="center" w:pos="4698"/>
            </w:tabs>
            <w:spacing w:before="80"/>
            <w:ind w:right="-108"/>
            <w:jc w:val="right"/>
            <w:rPr>
              <w:color w:val="002159"/>
              <w:spacing w:val="6"/>
              <w:sz w:val="16"/>
            </w:rPr>
          </w:pPr>
        </w:p>
      </w:tc>
    </w:tr>
  </w:tbl>
  <w:p w14:paraId="396B3C79" w14:textId="77777777" w:rsidR="000961FF" w:rsidRPr="00687D99" w:rsidRDefault="000961FF" w:rsidP="006F6AB6">
    <w:pPr>
      <w:pStyle w:val="Footer"/>
      <w:spacing w:before="100"/>
      <w:rPr>
        <w:color w:val="002159"/>
        <w:spacing w:val="6"/>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97E0B" w14:textId="77777777" w:rsidR="000961FF" w:rsidRDefault="000961FF">
    <w:pPr>
      <w:pStyle w:val="Footer"/>
      <w:jc w:val="right"/>
    </w:pPr>
  </w:p>
  <w:tbl>
    <w:tblPr>
      <w:tblStyle w:val="TableGrid"/>
      <w:tblW w:w="4819" w:type="pct"/>
      <w:tblInd w:w="108" w:type="dxa"/>
      <w:tblBorders>
        <w:top w:val="single" w:sz="4" w:space="0" w:color="808080" w:themeColor="background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403"/>
    </w:tblGrid>
    <w:tr w:rsidR="000961FF" w14:paraId="5DA23AB4" w14:textId="77777777" w:rsidTr="006E6BDE">
      <w:tc>
        <w:tcPr>
          <w:tcW w:w="2630" w:type="pct"/>
        </w:tcPr>
        <w:p w14:paraId="5FC538F2" w14:textId="77777777" w:rsidR="000961FF" w:rsidRDefault="000961FF" w:rsidP="006F27E7">
          <w:pPr>
            <w:pStyle w:val="Footer"/>
            <w:spacing w:before="80"/>
            <w:ind w:left="-108" w:right="-54"/>
            <w:rPr>
              <w:color w:val="002159"/>
              <w:spacing w:val="6"/>
              <w:sz w:val="16"/>
            </w:rPr>
          </w:pPr>
          <w:r>
            <w:rPr>
              <w:color w:val="002159"/>
              <w:spacing w:val="6"/>
              <w:sz w:val="16"/>
            </w:rPr>
            <w:t>www.templegroup.co.uk</w:t>
          </w:r>
        </w:p>
      </w:tc>
      <w:tc>
        <w:tcPr>
          <w:tcW w:w="2370" w:type="pct"/>
        </w:tcPr>
        <w:p w14:paraId="2C268AA9" w14:textId="77777777" w:rsidR="000961FF" w:rsidRDefault="000961FF" w:rsidP="00470A89">
          <w:pPr>
            <w:pStyle w:val="Footer"/>
            <w:tabs>
              <w:tab w:val="clear" w:pos="4513"/>
              <w:tab w:val="center" w:pos="4698"/>
            </w:tabs>
            <w:spacing w:before="80"/>
            <w:ind w:right="-108"/>
            <w:jc w:val="right"/>
            <w:rPr>
              <w:color w:val="002159"/>
              <w:spacing w:val="6"/>
              <w:sz w:val="16"/>
            </w:rPr>
          </w:pPr>
          <w:r w:rsidRPr="006F6AB6">
            <w:rPr>
              <w:sz w:val="16"/>
              <w:szCs w:val="16"/>
            </w:rPr>
            <w:fldChar w:fldCharType="begin"/>
          </w:r>
          <w:r w:rsidRPr="006F6AB6">
            <w:rPr>
              <w:sz w:val="16"/>
              <w:szCs w:val="16"/>
            </w:rPr>
            <w:instrText xml:space="preserve"> PAGE   \* MERGEFORMAT </w:instrText>
          </w:r>
          <w:r w:rsidRPr="006F6AB6">
            <w:rPr>
              <w:sz w:val="16"/>
              <w:szCs w:val="16"/>
            </w:rPr>
            <w:fldChar w:fldCharType="separate"/>
          </w:r>
          <w:r>
            <w:rPr>
              <w:noProof/>
              <w:sz w:val="16"/>
              <w:szCs w:val="16"/>
            </w:rPr>
            <w:t>2-54</w:t>
          </w:r>
          <w:r w:rsidRPr="006F6AB6">
            <w:rPr>
              <w:noProof/>
              <w:sz w:val="16"/>
              <w:szCs w:val="16"/>
            </w:rPr>
            <w:fldChar w:fldCharType="end"/>
          </w:r>
        </w:p>
      </w:tc>
    </w:tr>
  </w:tbl>
  <w:p w14:paraId="33B2E5E8" w14:textId="77777777" w:rsidR="000961FF" w:rsidRPr="00687D99" w:rsidRDefault="000961FF" w:rsidP="006F6AB6">
    <w:pPr>
      <w:pStyle w:val="Footer"/>
      <w:spacing w:before="100"/>
      <w:rPr>
        <w:color w:val="002159"/>
        <w:spacing w:val="6"/>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C51C0" w14:textId="77777777" w:rsidR="000961FF" w:rsidRDefault="000961FF">
    <w:pPr>
      <w:pStyle w:val="Footer"/>
      <w:jc w:val="right"/>
    </w:pPr>
  </w:p>
  <w:tbl>
    <w:tblPr>
      <w:tblStyle w:val="TableGrid"/>
      <w:tblW w:w="4819" w:type="pct"/>
      <w:tblInd w:w="108" w:type="dxa"/>
      <w:tblBorders>
        <w:top w:val="single" w:sz="4" w:space="0" w:color="808080" w:themeColor="background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403"/>
    </w:tblGrid>
    <w:tr w:rsidR="000961FF" w14:paraId="44EDB4E7" w14:textId="77777777" w:rsidTr="006E6BDE">
      <w:tc>
        <w:tcPr>
          <w:tcW w:w="2630" w:type="pct"/>
        </w:tcPr>
        <w:p w14:paraId="60B90DA3" w14:textId="77777777" w:rsidR="000961FF" w:rsidRDefault="000961FF" w:rsidP="006F27E7">
          <w:pPr>
            <w:pStyle w:val="Footer"/>
            <w:spacing w:before="80"/>
            <w:ind w:left="-108" w:right="-54"/>
            <w:rPr>
              <w:color w:val="002159"/>
              <w:spacing w:val="6"/>
              <w:sz w:val="16"/>
            </w:rPr>
          </w:pPr>
          <w:r>
            <w:rPr>
              <w:color w:val="002159"/>
              <w:spacing w:val="6"/>
              <w:sz w:val="16"/>
            </w:rPr>
            <w:t>www.templegroup.co.uk</w:t>
          </w:r>
        </w:p>
      </w:tc>
      <w:tc>
        <w:tcPr>
          <w:tcW w:w="2370" w:type="pct"/>
        </w:tcPr>
        <w:p w14:paraId="364D0CB8" w14:textId="77777777" w:rsidR="000961FF" w:rsidRDefault="000961FF" w:rsidP="006F27E7">
          <w:pPr>
            <w:pStyle w:val="Footer"/>
            <w:tabs>
              <w:tab w:val="clear" w:pos="4513"/>
              <w:tab w:val="center" w:pos="4698"/>
            </w:tabs>
            <w:spacing w:before="80"/>
            <w:ind w:right="-108"/>
            <w:jc w:val="right"/>
            <w:rPr>
              <w:color w:val="002159"/>
              <w:spacing w:val="6"/>
              <w:sz w:val="16"/>
            </w:rPr>
          </w:pPr>
          <w:r w:rsidRPr="006F6AB6">
            <w:rPr>
              <w:sz w:val="16"/>
              <w:szCs w:val="16"/>
            </w:rPr>
            <w:fldChar w:fldCharType="begin"/>
          </w:r>
          <w:r w:rsidRPr="006F6AB6">
            <w:rPr>
              <w:sz w:val="16"/>
              <w:szCs w:val="16"/>
            </w:rPr>
            <w:instrText xml:space="preserve"> PAGE   \* MERGEFORMAT </w:instrText>
          </w:r>
          <w:r w:rsidRPr="006F6AB6">
            <w:rPr>
              <w:sz w:val="16"/>
              <w:szCs w:val="16"/>
            </w:rPr>
            <w:fldChar w:fldCharType="separate"/>
          </w:r>
          <w:r>
            <w:rPr>
              <w:noProof/>
              <w:sz w:val="16"/>
              <w:szCs w:val="16"/>
            </w:rPr>
            <w:t>2-55</w:t>
          </w:r>
          <w:r w:rsidRPr="006F6AB6">
            <w:rPr>
              <w:noProof/>
              <w:sz w:val="16"/>
              <w:szCs w:val="16"/>
            </w:rPr>
            <w:fldChar w:fldCharType="end"/>
          </w:r>
        </w:p>
      </w:tc>
    </w:tr>
  </w:tbl>
  <w:p w14:paraId="6E41D563" w14:textId="77777777" w:rsidR="000961FF" w:rsidRPr="00687D99" w:rsidRDefault="000961FF" w:rsidP="006F6AB6">
    <w:pPr>
      <w:pStyle w:val="Footer"/>
      <w:spacing w:before="100"/>
      <w:rPr>
        <w:color w:val="002159"/>
        <w:spacing w:val="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4170F" w14:textId="77777777" w:rsidR="000961FF" w:rsidRPr="009865F5" w:rsidRDefault="000961FF" w:rsidP="009865F5">
      <w:pPr>
        <w:spacing w:after="0"/>
        <w:rPr>
          <w:color w:val="BFBFBF" w:themeColor="background1" w:themeShade="BF"/>
        </w:rPr>
      </w:pPr>
      <w:r w:rsidRPr="009865F5">
        <w:rPr>
          <w:color w:val="BFBFBF" w:themeColor="background1" w:themeShade="BF"/>
        </w:rPr>
        <w:separator/>
      </w:r>
    </w:p>
  </w:footnote>
  <w:footnote w:type="continuationSeparator" w:id="0">
    <w:p w14:paraId="226D0439" w14:textId="77777777" w:rsidR="000961FF" w:rsidRDefault="000961FF" w:rsidP="00956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Ind w:w="108" w:type="dxa"/>
      <w:tblBorders>
        <w:bottom w:val="single" w:sz="4" w:space="0" w:color="808080" w:themeColor="background1" w:themeShade="80"/>
      </w:tblBorders>
      <w:tblLook w:val="04A0" w:firstRow="1" w:lastRow="0" w:firstColumn="1" w:lastColumn="0" w:noHBand="0" w:noVBand="1"/>
    </w:tblPr>
    <w:tblGrid>
      <w:gridCol w:w="5190"/>
      <w:gridCol w:w="4449"/>
    </w:tblGrid>
    <w:tr w:rsidR="000961FF" w:rsidRPr="00D13D98" w14:paraId="274C3B8D" w14:textId="77777777" w:rsidTr="003421CB">
      <w:trPr>
        <w:trHeight w:val="1000"/>
      </w:trPr>
      <w:tc>
        <w:tcPr>
          <w:tcW w:w="2692" w:type="pct"/>
        </w:tcPr>
        <w:p w14:paraId="2A050CE8" w14:textId="6B9C4314" w:rsidR="000961FF" w:rsidRDefault="000961FF" w:rsidP="003438BE">
          <w:pPr>
            <w:tabs>
              <w:tab w:val="center" w:pos="4513"/>
              <w:tab w:val="right" w:pos="9026"/>
            </w:tabs>
            <w:spacing w:after="0" w:line="200" w:lineRule="atLeast"/>
            <w:ind w:left="-108"/>
            <w:rPr>
              <w:b/>
              <w:sz w:val="18"/>
            </w:rPr>
          </w:pPr>
          <w:r w:rsidRPr="00DC12AE">
            <w:rPr>
              <w:b/>
              <w:sz w:val="18"/>
            </w:rPr>
            <w:t xml:space="preserve">Fairfax (Reading) Limited and Reading Golf Club Limited </w:t>
          </w:r>
        </w:p>
        <w:p w14:paraId="19F49D2D" w14:textId="4017F26E" w:rsidR="000961FF" w:rsidRPr="00D13D98" w:rsidRDefault="000961FF" w:rsidP="007A5642">
          <w:pPr>
            <w:tabs>
              <w:tab w:val="center" w:pos="4513"/>
              <w:tab w:val="right" w:pos="9026"/>
            </w:tabs>
            <w:spacing w:after="0" w:line="200" w:lineRule="atLeast"/>
            <w:ind w:left="-108"/>
            <w:rPr>
              <w:sz w:val="18"/>
            </w:rPr>
          </w:pPr>
          <w:r>
            <w:rPr>
              <w:sz w:val="18"/>
            </w:rPr>
            <w:t>Reading Golf Club, Emmer Green</w:t>
          </w:r>
        </w:p>
        <w:p w14:paraId="583E8D2E" w14:textId="18A87511" w:rsidR="000961FF" w:rsidRDefault="000961FF" w:rsidP="00416E9B">
          <w:pPr>
            <w:tabs>
              <w:tab w:val="center" w:pos="4513"/>
              <w:tab w:val="right" w:pos="9026"/>
            </w:tabs>
            <w:spacing w:after="0" w:line="200" w:lineRule="atLeast"/>
            <w:ind w:left="-108"/>
            <w:rPr>
              <w:sz w:val="18"/>
            </w:rPr>
          </w:pPr>
          <w:r>
            <w:rPr>
              <w:sz w:val="18"/>
            </w:rPr>
            <w:t>Environmental Statement Volume 3: Landscape and Visual Impact Assessment - Addendum</w:t>
          </w:r>
        </w:p>
        <w:p w14:paraId="72BB02A3" w14:textId="7155E222" w:rsidR="000961FF" w:rsidRPr="00D13D98" w:rsidRDefault="000961FF" w:rsidP="00E5314B">
          <w:pPr>
            <w:tabs>
              <w:tab w:val="center" w:pos="4513"/>
              <w:tab w:val="right" w:pos="9026"/>
            </w:tabs>
            <w:spacing w:after="0" w:line="200" w:lineRule="atLeast"/>
            <w:ind w:left="-108"/>
            <w:rPr>
              <w:sz w:val="18"/>
            </w:rPr>
          </w:pPr>
        </w:p>
      </w:tc>
      <w:tc>
        <w:tcPr>
          <w:tcW w:w="2308" w:type="pct"/>
        </w:tcPr>
        <w:p w14:paraId="0B611AC2" w14:textId="04FB1728" w:rsidR="000961FF" w:rsidRPr="00D13D98" w:rsidRDefault="000961FF" w:rsidP="00D13D98">
          <w:pPr>
            <w:tabs>
              <w:tab w:val="center" w:pos="4698"/>
              <w:tab w:val="right" w:pos="9026"/>
            </w:tabs>
            <w:ind w:right="-108"/>
            <w:jc w:val="right"/>
          </w:pPr>
          <w:r w:rsidRPr="00D13D98">
            <w:rPr>
              <w:noProof/>
              <w:lang w:val="en-US"/>
            </w:rPr>
            <w:drawing>
              <wp:inline distT="0" distB="0" distL="0" distR="0" wp14:anchorId="11B8551A" wp14:editId="67A58D7A">
                <wp:extent cx="1470699" cy="379562"/>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667" r="11432"/>
                        <a:stretch/>
                      </pic:blipFill>
                      <pic:spPr bwMode="auto">
                        <a:xfrm>
                          <a:off x="0" y="0"/>
                          <a:ext cx="1490376" cy="38464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a:ext>
                        </a:extLst>
                      </pic:spPr>
                    </pic:pic>
                  </a:graphicData>
                </a:graphic>
              </wp:inline>
            </w:drawing>
          </w:r>
        </w:p>
      </w:tc>
    </w:tr>
  </w:tbl>
  <w:p w14:paraId="3295571B" w14:textId="77777777" w:rsidR="000961FF" w:rsidRDefault="00096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Ind w:w="108" w:type="dxa"/>
      <w:tblBorders>
        <w:bottom w:val="single" w:sz="4" w:space="0" w:color="808080" w:themeColor="background1" w:themeShade="80"/>
      </w:tblBorders>
      <w:tblLook w:val="04A0" w:firstRow="1" w:lastRow="0" w:firstColumn="1" w:lastColumn="0" w:noHBand="0" w:noVBand="1"/>
    </w:tblPr>
    <w:tblGrid>
      <w:gridCol w:w="5124"/>
      <w:gridCol w:w="4515"/>
    </w:tblGrid>
    <w:tr w:rsidR="000961FF" w:rsidRPr="00D13D98" w14:paraId="13F95632" w14:textId="77777777" w:rsidTr="00DC12AE">
      <w:trPr>
        <w:trHeight w:val="1000"/>
      </w:trPr>
      <w:tc>
        <w:tcPr>
          <w:tcW w:w="2658" w:type="pct"/>
        </w:tcPr>
        <w:p w14:paraId="515432B8" w14:textId="393BE2FD" w:rsidR="000961FF" w:rsidRPr="00D13D98" w:rsidRDefault="000961FF" w:rsidP="007A5642">
          <w:pPr>
            <w:tabs>
              <w:tab w:val="center" w:pos="4513"/>
              <w:tab w:val="right" w:pos="9026"/>
            </w:tabs>
            <w:spacing w:after="0" w:line="200" w:lineRule="atLeast"/>
            <w:ind w:left="-108"/>
            <w:rPr>
              <w:sz w:val="18"/>
            </w:rPr>
          </w:pPr>
          <w:r w:rsidRPr="00DC12AE">
            <w:rPr>
              <w:b/>
              <w:sz w:val="18"/>
            </w:rPr>
            <w:t xml:space="preserve">Fairfax (Reading) Limited and Reading Golf Club Limited </w:t>
          </w:r>
          <w:r>
            <w:rPr>
              <w:sz w:val="18"/>
            </w:rPr>
            <w:t>Reading Golf Club, Reading</w:t>
          </w:r>
        </w:p>
        <w:p w14:paraId="262AA84B" w14:textId="77777777" w:rsidR="000961FF" w:rsidRDefault="000961FF" w:rsidP="007A5642">
          <w:pPr>
            <w:tabs>
              <w:tab w:val="center" w:pos="4513"/>
              <w:tab w:val="right" w:pos="9026"/>
            </w:tabs>
            <w:spacing w:after="0" w:line="200" w:lineRule="atLeast"/>
            <w:ind w:left="-108"/>
            <w:rPr>
              <w:sz w:val="18"/>
            </w:rPr>
          </w:pPr>
          <w:r>
            <w:rPr>
              <w:sz w:val="18"/>
            </w:rPr>
            <w:t>Environmental Statement Volume 3: Landscape and Visual Impact Assessment</w:t>
          </w:r>
        </w:p>
        <w:p w14:paraId="396C4ADF" w14:textId="7159E6DF" w:rsidR="000961FF" w:rsidRPr="00D13D98" w:rsidRDefault="000961FF" w:rsidP="00E5314B">
          <w:pPr>
            <w:tabs>
              <w:tab w:val="center" w:pos="4513"/>
              <w:tab w:val="right" w:pos="9026"/>
            </w:tabs>
            <w:spacing w:after="0" w:line="200" w:lineRule="atLeast"/>
            <w:ind w:left="-108"/>
            <w:rPr>
              <w:sz w:val="18"/>
            </w:rPr>
          </w:pPr>
          <w:r>
            <w:rPr>
              <w:sz w:val="18"/>
            </w:rPr>
            <w:t>Chapter 1: Introduction</w:t>
          </w:r>
        </w:p>
      </w:tc>
      <w:tc>
        <w:tcPr>
          <w:tcW w:w="2342" w:type="pct"/>
        </w:tcPr>
        <w:p w14:paraId="0A810DC1" w14:textId="77777777" w:rsidR="000961FF" w:rsidRPr="00D13D98" w:rsidRDefault="000961FF" w:rsidP="00D13D98">
          <w:pPr>
            <w:tabs>
              <w:tab w:val="center" w:pos="4698"/>
              <w:tab w:val="right" w:pos="9026"/>
            </w:tabs>
            <w:ind w:right="-108"/>
            <w:jc w:val="right"/>
          </w:pPr>
          <w:r w:rsidRPr="00D13D98">
            <w:rPr>
              <w:noProof/>
              <w:lang w:val="en-US"/>
            </w:rPr>
            <w:drawing>
              <wp:inline distT="0" distB="0" distL="0" distR="0" wp14:anchorId="5DDE59EE" wp14:editId="362CE810">
                <wp:extent cx="1470699" cy="37956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667" r="11432"/>
                        <a:stretch/>
                      </pic:blipFill>
                      <pic:spPr bwMode="auto">
                        <a:xfrm>
                          <a:off x="0" y="0"/>
                          <a:ext cx="1490376" cy="38464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a:ext>
                        </a:extLst>
                      </pic:spPr>
                    </pic:pic>
                  </a:graphicData>
                </a:graphic>
              </wp:inline>
            </w:drawing>
          </w:r>
        </w:p>
      </w:tc>
    </w:tr>
  </w:tbl>
  <w:p w14:paraId="5F6C6EAA" w14:textId="77777777" w:rsidR="000961FF" w:rsidRDefault="000961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28" w:type="pct"/>
      <w:tblInd w:w="108" w:type="dxa"/>
      <w:tblBorders>
        <w:bottom w:val="single" w:sz="4" w:space="0" w:color="808080" w:themeColor="background1" w:themeShade="80"/>
      </w:tblBorders>
      <w:tblLook w:val="04A0" w:firstRow="1" w:lastRow="0" w:firstColumn="1" w:lastColumn="0" w:noHBand="0" w:noVBand="1"/>
    </w:tblPr>
    <w:tblGrid>
      <w:gridCol w:w="4838"/>
      <w:gridCol w:w="4469"/>
    </w:tblGrid>
    <w:tr w:rsidR="000961FF" w:rsidRPr="00D13D98" w14:paraId="6A35C712" w14:textId="77777777" w:rsidTr="006A572B">
      <w:trPr>
        <w:trHeight w:val="540"/>
      </w:trPr>
      <w:tc>
        <w:tcPr>
          <w:tcW w:w="2599" w:type="pct"/>
        </w:tcPr>
        <w:p w14:paraId="5FB61AC5" w14:textId="77777777" w:rsidR="000961FF" w:rsidRPr="007A5642" w:rsidRDefault="000961FF" w:rsidP="00A54154">
          <w:pPr>
            <w:tabs>
              <w:tab w:val="center" w:pos="4513"/>
              <w:tab w:val="right" w:pos="9026"/>
            </w:tabs>
            <w:spacing w:after="0" w:line="200" w:lineRule="atLeast"/>
            <w:ind w:left="-108"/>
            <w:rPr>
              <w:b/>
              <w:sz w:val="18"/>
            </w:rPr>
          </w:pPr>
          <w:r w:rsidRPr="007A5642">
            <w:rPr>
              <w:b/>
              <w:sz w:val="18"/>
            </w:rPr>
            <w:t>Fairfax (Reading) Limited and</w:t>
          </w:r>
        </w:p>
        <w:p w14:paraId="682DD1B4" w14:textId="77777777" w:rsidR="000961FF" w:rsidRDefault="000961FF" w:rsidP="00A54154">
          <w:pPr>
            <w:tabs>
              <w:tab w:val="center" w:pos="4513"/>
              <w:tab w:val="right" w:pos="9026"/>
            </w:tabs>
            <w:spacing w:after="0" w:line="200" w:lineRule="atLeast"/>
            <w:ind w:left="-108"/>
            <w:rPr>
              <w:b/>
              <w:sz w:val="18"/>
            </w:rPr>
          </w:pPr>
          <w:r w:rsidRPr="007A5642">
            <w:rPr>
              <w:b/>
              <w:sz w:val="18"/>
            </w:rPr>
            <w:t>Reading Golf Club Limited</w:t>
          </w:r>
        </w:p>
        <w:p w14:paraId="40D2D3F0" w14:textId="77777777" w:rsidR="000961FF" w:rsidRPr="00D13D98" w:rsidRDefault="000961FF" w:rsidP="00A54154">
          <w:pPr>
            <w:tabs>
              <w:tab w:val="center" w:pos="4513"/>
              <w:tab w:val="right" w:pos="9026"/>
            </w:tabs>
            <w:spacing w:after="0" w:line="200" w:lineRule="atLeast"/>
            <w:ind w:left="-108"/>
            <w:rPr>
              <w:sz w:val="18"/>
            </w:rPr>
          </w:pPr>
          <w:r>
            <w:rPr>
              <w:sz w:val="18"/>
            </w:rPr>
            <w:t>Reading Golf Club, Reading</w:t>
          </w:r>
        </w:p>
        <w:p w14:paraId="73196717" w14:textId="77777777" w:rsidR="000961FF" w:rsidRDefault="000961FF" w:rsidP="00A54154">
          <w:pPr>
            <w:tabs>
              <w:tab w:val="center" w:pos="4513"/>
              <w:tab w:val="right" w:pos="9026"/>
            </w:tabs>
            <w:spacing w:after="0" w:line="200" w:lineRule="atLeast"/>
            <w:ind w:left="-108"/>
            <w:rPr>
              <w:sz w:val="18"/>
            </w:rPr>
          </w:pPr>
          <w:r>
            <w:rPr>
              <w:sz w:val="18"/>
            </w:rPr>
            <w:t>Environmental Statement Volume 3: Landscape and Visual Impact Assessment</w:t>
          </w:r>
        </w:p>
        <w:p w14:paraId="4B90AEB7" w14:textId="3094D372" w:rsidR="000961FF" w:rsidRPr="00D13D98" w:rsidRDefault="000961FF" w:rsidP="00A54154">
          <w:pPr>
            <w:tabs>
              <w:tab w:val="center" w:pos="4513"/>
              <w:tab w:val="right" w:pos="9026"/>
            </w:tabs>
            <w:spacing w:after="0" w:line="200" w:lineRule="atLeast"/>
            <w:ind w:left="-108"/>
            <w:rPr>
              <w:sz w:val="18"/>
            </w:rPr>
          </w:pPr>
          <w:r w:rsidRPr="00F810A1">
            <w:rPr>
              <w:sz w:val="18"/>
            </w:rPr>
            <w:t>Chapter 2: Landscape and Visual Impact Assessment</w:t>
          </w:r>
        </w:p>
      </w:tc>
      <w:tc>
        <w:tcPr>
          <w:tcW w:w="2401" w:type="pct"/>
        </w:tcPr>
        <w:p w14:paraId="088B7C8C" w14:textId="77777777" w:rsidR="000961FF" w:rsidRPr="00D13D98" w:rsidRDefault="000961FF" w:rsidP="00D13D98">
          <w:pPr>
            <w:tabs>
              <w:tab w:val="center" w:pos="4698"/>
              <w:tab w:val="right" w:pos="9026"/>
            </w:tabs>
            <w:ind w:right="-108"/>
            <w:jc w:val="right"/>
          </w:pPr>
          <w:r w:rsidRPr="00D13D98">
            <w:rPr>
              <w:noProof/>
              <w:lang w:val="en-US"/>
            </w:rPr>
            <w:drawing>
              <wp:inline distT="0" distB="0" distL="0" distR="0" wp14:anchorId="553162A7" wp14:editId="62A278A2">
                <wp:extent cx="1470699" cy="379562"/>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667" r="11432"/>
                        <a:stretch/>
                      </pic:blipFill>
                      <pic:spPr bwMode="auto">
                        <a:xfrm>
                          <a:off x="0" y="0"/>
                          <a:ext cx="1490376" cy="38464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a:ext>
                        </a:extLst>
                      </pic:spPr>
                    </pic:pic>
                  </a:graphicData>
                </a:graphic>
              </wp:inline>
            </w:drawing>
          </w:r>
        </w:p>
      </w:tc>
    </w:tr>
  </w:tbl>
  <w:p w14:paraId="2C22F0EE" w14:textId="77777777" w:rsidR="000961FF" w:rsidRDefault="00096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C1D8D"/>
    <w:multiLevelType w:val="hybridMultilevel"/>
    <w:tmpl w:val="9F52B16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2C6E2F21"/>
    <w:multiLevelType w:val="hybridMultilevel"/>
    <w:tmpl w:val="AF9206C6"/>
    <w:lvl w:ilvl="0" w:tplc="869C7A58">
      <w:start w:val="1"/>
      <w:numFmt w:val="decimal"/>
      <w:pStyle w:val="Bullet1Numbered"/>
      <w:lvlText w:val="%1."/>
      <w:lvlJc w:val="left"/>
      <w:pPr>
        <w:ind w:left="1571" w:hanging="360"/>
      </w:pPr>
    </w:lvl>
    <w:lvl w:ilvl="1" w:tplc="69DE0952">
      <w:start w:val="1"/>
      <w:numFmt w:val="lowerLetter"/>
      <w:pStyle w:val="Bullet2Numbered"/>
      <w:lvlText w:val="%2."/>
      <w:lvlJc w:val="left"/>
      <w:pPr>
        <w:ind w:left="2291" w:hanging="360"/>
      </w:pPr>
    </w:lvl>
    <w:lvl w:ilvl="2" w:tplc="1C06926E">
      <w:start w:val="1"/>
      <w:numFmt w:val="lowerRoman"/>
      <w:pStyle w:val="Bullet3Numbered"/>
      <w:lvlText w:val="%3."/>
      <w:lvlJc w:val="right"/>
      <w:pPr>
        <w:ind w:left="3011" w:hanging="180"/>
      </w:pPr>
    </w:lvl>
    <w:lvl w:ilvl="3" w:tplc="0809000F">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 w15:restartNumberingAfterBreak="0">
    <w:nsid w:val="2CF26915"/>
    <w:multiLevelType w:val="hybridMultilevel"/>
    <w:tmpl w:val="30AEEFE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36B6345A"/>
    <w:multiLevelType w:val="multilevel"/>
    <w:tmpl w:val="E1E26022"/>
    <w:lvl w:ilvl="0">
      <w:start w:val="6"/>
      <w:numFmt w:val="decimal"/>
      <w:pStyle w:val="NumH1"/>
      <w:lvlText w:val="%1"/>
      <w:lvlJc w:val="left"/>
      <w:pPr>
        <w:ind w:left="0" w:hanging="851"/>
      </w:pPr>
      <w:rPr>
        <w:rFonts w:hint="default"/>
      </w:rPr>
    </w:lvl>
    <w:lvl w:ilvl="1">
      <w:start w:val="1"/>
      <w:numFmt w:val="decimal"/>
      <w:pStyle w:val="NumH2"/>
      <w:lvlText w:val="%1.%2"/>
      <w:lvlJc w:val="left"/>
      <w:pPr>
        <w:ind w:left="0" w:hanging="851"/>
      </w:pPr>
      <w:rPr>
        <w:rFonts w:hint="default"/>
      </w:rPr>
    </w:lvl>
    <w:lvl w:ilvl="2">
      <w:start w:val="1"/>
      <w:numFmt w:val="decimal"/>
      <w:pStyle w:val="NumBodyText"/>
      <w:lvlText w:val="%1.%2.%3."/>
      <w:lvlJc w:val="left"/>
      <w:pPr>
        <w:tabs>
          <w:tab w:val="num" w:pos="0"/>
        </w:tabs>
        <w:ind w:left="0" w:hanging="85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0" w:hanging="851"/>
      </w:pPr>
      <w:rPr>
        <w:rFonts w:hint="default"/>
      </w:rPr>
    </w:lvl>
    <w:lvl w:ilvl="4">
      <w:start w:val="1"/>
      <w:numFmt w:val="decimal"/>
      <w:lvlText w:val="%1.%2.%3.%4.%5"/>
      <w:lvlJc w:val="left"/>
      <w:pPr>
        <w:ind w:left="0" w:hanging="851"/>
      </w:pPr>
      <w:rPr>
        <w:rFonts w:hint="default"/>
      </w:rPr>
    </w:lvl>
    <w:lvl w:ilvl="5">
      <w:start w:val="1"/>
      <w:numFmt w:val="decimal"/>
      <w:lvlText w:val="%1.%2.%3.%4.%5.%6"/>
      <w:lvlJc w:val="left"/>
      <w:pPr>
        <w:ind w:left="0" w:hanging="851"/>
      </w:pPr>
      <w:rPr>
        <w:rFonts w:hint="default"/>
      </w:rPr>
    </w:lvl>
    <w:lvl w:ilvl="6">
      <w:start w:val="1"/>
      <w:numFmt w:val="decimal"/>
      <w:lvlText w:val="%1.%2.%3.%4.%5.%6.%7"/>
      <w:lvlJc w:val="left"/>
      <w:pPr>
        <w:ind w:left="0" w:hanging="851"/>
      </w:pPr>
      <w:rPr>
        <w:rFonts w:hint="default"/>
      </w:rPr>
    </w:lvl>
    <w:lvl w:ilvl="7">
      <w:start w:val="1"/>
      <w:numFmt w:val="decimal"/>
      <w:lvlText w:val="%1.%2.%3.%4.%5.%6.%7.%8"/>
      <w:lvlJc w:val="left"/>
      <w:pPr>
        <w:ind w:left="0" w:hanging="851"/>
      </w:pPr>
      <w:rPr>
        <w:rFonts w:hint="default"/>
      </w:rPr>
    </w:lvl>
    <w:lvl w:ilvl="8">
      <w:start w:val="1"/>
      <w:numFmt w:val="decimal"/>
      <w:lvlText w:val="%1.%2.%3.%4.%5.%6.%7.%8.%9"/>
      <w:lvlJc w:val="left"/>
      <w:pPr>
        <w:ind w:left="0" w:hanging="851"/>
      </w:pPr>
      <w:rPr>
        <w:rFonts w:hint="default"/>
      </w:rPr>
    </w:lvl>
  </w:abstractNum>
  <w:abstractNum w:abstractNumId="4" w15:restartNumberingAfterBreak="0">
    <w:nsid w:val="4735068E"/>
    <w:multiLevelType w:val="hybridMultilevel"/>
    <w:tmpl w:val="B7BAD724"/>
    <w:lvl w:ilvl="0" w:tplc="42F2B4B8">
      <w:start w:val="1"/>
      <w:numFmt w:val="bullet"/>
      <w:lvlText w:val=""/>
      <w:lvlJc w:val="left"/>
      <w:pPr>
        <w:ind w:left="720" w:hanging="360"/>
      </w:pPr>
      <w:rPr>
        <w:rFonts w:ascii="Symbol" w:hAnsi="Symbol" w:hint="default"/>
        <w:sz w:val="20"/>
      </w:rPr>
    </w:lvl>
    <w:lvl w:ilvl="1" w:tplc="FFE21690">
      <w:start w:val="1"/>
      <w:numFmt w:val="bullet"/>
      <w:lvlText w:val="o"/>
      <w:lvlJc w:val="left"/>
      <w:pPr>
        <w:ind w:left="1440" w:hanging="360"/>
      </w:pPr>
      <w:rPr>
        <w:rFonts w:ascii="Arial" w:hAnsi="Arial" w:hint="default"/>
        <w:sz w:val="16"/>
      </w:rPr>
    </w:lvl>
    <w:lvl w:ilvl="2" w:tplc="07583182">
      <w:start w:val="1"/>
      <w:numFmt w:val="bullet"/>
      <w:lvlText w:val="-"/>
      <w:lvlJc w:val="left"/>
      <w:pPr>
        <w:ind w:left="2160" w:hanging="360"/>
      </w:pPr>
      <w:rPr>
        <w:rFonts w:ascii="Arial" w:hAnsi="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C62ED0"/>
    <w:multiLevelType w:val="multilevel"/>
    <w:tmpl w:val="4E906DD2"/>
    <w:lvl w:ilvl="0">
      <w:start w:val="1"/>
      <w:numFmt w:val="upperLetter"/>
      <w:pStyle w:val="AppendixHeading1"/>
      <w:lvlText w:val="Appendix %1"/>
      <w:lvlJc w:val="left"/>
      <w:pPr>
        <w:ind w:left="360" w:hanging="360"/>
      </w:pPr>
      <w:rPr>
        <w:rFonts w:hint="default"/>
      </w:rPr>
    </w:lvl>
    <w:lvl w:ilvl="1">
      <w:start w:val="1"/>
      <w:numFmt w:val="decimal"/>
      <w:pStyle w:val="AppendixHeading2"/>
      <w:lvlText w:val="%1.%2"/>
      <w:lvlJc w:val="left"/>
      <w:pPr>
        <w:ind w:left="720" w:hanging="360"/>
      </w:pPr>
      <w:rPr>
        <w:rFonts w:hint="default"/>
      </w:rPr>
    </w:lvl>
    <w:lvl w:ilvl="2">
      <w:start w:val="1"/>
      <w:numFmt w:val="decimal"/>
      <w:pStyle w:val="Appendixtext"/>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9326E19"/>
    <w:multiLevelType w:val="hybridMultilevel"/>
    <w:tmpl w:val="E702D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5362A4"/>
    <w:multiLevelType w:val="multilevel"/>
    <w:tmpl w:val="4CFE41EC"/>
    <w:lvl w:ilvl="0">
      <w:start w:val="1"/>
      <w:numFmt w:val="decimal"/>
      <w:pStyle w:val="Heading1"/>
      <w:lvlText w:val="%1.0"/>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L4Body"/>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7"/>
  </w:num>
  <w:num w:numId="2">
    <w:abstractNumId w:val="4"/>
  </w:num>
  <w:num w:numId="3">
    <w:abstractNumId w:val="5"/>
  </w:num>
  <w:num w:numId="4">
    <w:abstractNumId w:val="1"/>
  </w:num>
  <w:num w:numId="5">
    <w:abstractNumId w:val="3"/>
  </w:num>
  <w:num w:numId="6">
    <w:abstractNumId w:val="7"/>
  </w:num>
  <w:num w:numId="7">
    <w:abstractNumId w:val="7"/>
  </w:num>
  <w:num w:numId="8">
    <w:abstractNumId w:val="7"/>
  </w:num>
  <w:num w:numId="9">
    <w:abstractNumId w:val="4"/>
  </w:num>
  <w:num w:numId="10">
    <w:abstractNumId w:val="4"/>
  </w:num>
  <w:num w:numId="11">
    <w:abstractNumId w:val="4"/>
  </w:num>
  <w:num w:numId="12">
    <w:abstractNumId w:val="4"/>
  </w:num>
  <w:num w:numId="13">
    <w:abstractNumId w:val="4"/>
  </w:num>
  <w:num w:numId="14">
    <w:abstractNumId w:val="4"/>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0"/>
  </w:num>
  <w:num w:numId="41">
    <w:abstractNumId w:val="6"/>
  </w:num>
  <w:num w:numId="4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Style1"/>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F9"/>
    <w:rsid w:val="00002FB8"/>
    <w:rsid w:val="0000328F"/>
    <w:rsid w:val="00003445"/>
    <w:rsid w:val="00004FC7"/>
    <w:rsid w:val="000050BB"/>
    <w:rsid w:val="000054FE"/>
    <w:rsid w:val="000062C8"/>
    <w:rsid w:val="0000793D"/>
    <w:rsid w:val="00007C9C"/>
    <w:rsid w:val="00007CA7"/>
    <w:rsid w:val="000106D6"/>
    <w:rsid w:val="000123B3"/>
    <w:rsid w:val="000128FD"/>
    <w:rsid w:val="00014493"/>
    <w:rsid w:val="000147ED"/>
    <w:rsid w:val="000171CD"/>
    <w:rsid w:val="00017DEB"/>
    <w:rsid w:val="0002079A"/>
    <w:rsid w:val="00022F07"/>
    <w:rsid w:val="00025321"/>
    <w:rsid w:val="000266DE"/>
    <w:rsid w:val="000269A9"/>
    <w:rsid w:val="00027061"/>
    <w:rsid w:val="00030E57"/>
    <w:rsid w:val="0003141F"/>
    <w:rsid w:val="00031F21"/>
    <w:rsid w:val="00032EB7"/>
    <w:rsid w:val="0003336B"/>
    <w:rsid w:val="00034609"/>
    <w:rsid w:val="000351CC"/>
    <w:rsid w:val="00035BF6"/>
    <w:rsid w:val="00037952"/>
    <w:rsid w:val="000406DD"/>
    <w:rsid w:val="000425FA"/>
    <w:rsid w:val="00042FBF"/>
    <w:rsid w:val="00043AEB"/>
    <w:rsid w:val="00043C89"/>
    <w:rsid w:val="00043CCD"/>
    <w:rsid w:val="00044187"/>
    <w:rsid w:val="0004438C"/>
    <w:rsid w:val="00044412"/>
    <w:rsid w:val="000449C7"/>
    <w:rsid w:val="0004530D"/>
    <w:rsid w:val="00045572"/>
    <w:rsid w:val="00046D4F"/>
    <w:rsid w:val="00047708"/>
    <w:rsid w:val="00047ED5"/>
    <w:rsid w:val="00051856"/>
    <w:rsid w:val="00052498"/>
    <w:rsid w:val="0005250B"/>
    <w:rsid w:val="0005275A"/>
    <w:rsid w:val="0005355D"/>
    <w:rsid w:val="000559EB"/>
    <w:rsid w:val="00055B6B"/>
    <w:rsid w:val="00060623"/>
    <w:rsid w:val="00061566"/>
    <w:rsid w:val="00062603"/>
    <w:rsid w:val="00063CD7"/>
    <w:rsid w:val="00063F19"/>
    <w:rsid w:val="000658A5"/>
    <w:rsid w:val="00065C70"/>
    <w:rsid w:val="00067351"/>
    <w:rsid w:val="000673D8"/>
    <w:rsid w:val="0007060C"/>
    <w:rsid w:val="00072112"/>
    <w:rsid w:val="0007336D"/>
    <w:rsid w:val="00073ACD"/>
    <w:rsid w:val="00074112"/>
    <w:rsid w:val="00075595"/>
    <w:rsid w:val="00075A07"/>
    <w:rsid w:val="0007729E"/>
    <w:rsid w:val="00077A70"/>
    <w:rsid w:val="000801BE"/>
    <w:rsid w:val="000805E8"/>
    <w:rsid w:val="00081D14"/>
    <w:rsid w:val="00086ADE"/>
    <w:rsid w:val="000872A2"/>
    <w:rsid w:val="00087CF8"/>
    <w:rsid w:val="00087D17"/>
    <w:rsid w:val="00090670"/>
    <w:rsid w:val="000917F6"/>
    <w:rsid w:val="00092E69"/>
    <w:rsid w:val="00094C82"/>
    <w:rsid w:val="000950E5"/>
    <w:rsid w:val="000961FF"/>
    <w:rsid w:val="00096AB7"/>
    <w:rsid w:val="000A076C"/>
    <w:rsid w:val="000A1170"/>
    <w:rsid w:val="000A2C60"/>
    <w:rsid w:val="000A4566"/>
    <w:rsid w:val="000A557C"/>
    <w:rsid w:val="000A6894"/>
    <w:rsid w:val="000A6C8F"/>
    <w:rsid w:val="000A71D2"/>
    <w:rsid w:val="000A7AB9"/>
    <w:rsid w:val="000A7FAF"/>
    <w:rsid w:val="000B081C"/>
    <w:rsid w:val="000B0DC2"/>
    <w:rsid w:val="000B1CE5"/>
    <w:rsid w:val="000B3E8D"/>
    <w:rsid w:val="000C0AC8"/>
    <w:rsid w:val="000C22E2"/>
    <w:rsid w:val="000C27FC"/>
    <w:rsid w:val="000C3585"/>
    <w:rsid w:val="000C541A"/>
    <w:rsid w:val="000C5594"/>
    <w:rsid w:val="000C7AF5"/>
    <w:rsid w:val="000C7C3B"/>
    <w:rsid w:val="000D049F"/>
    <w:rsid w:val="000D16EB"/>
    <w:rsid w:val="000D1B04"/>
    <w:rsid w:val="000D2F01"/>
    <w:rsid w:val="000D3746"/>
    <w:rsid w:val="000D3E6F"/>
    <w:rsid w:val="000D4F59"/>
    <w:rsid w:val="000D5165"/>
    <w:rsid w:val="000D5FC8"/>
    <w:rsid w:val="000D67EE"/>
    <w:rsid w:val="000D69CC"/>
    <w:rsid w:val="000E0BF2"/>
    <w:rsid w:val="000E1235"/>
    <w:rsid w:val="000E1776"/>
    <w:rsid w:val="000E2DA8"/>
    <w:rsid w:val="000E436C"/>
    <w:rsid w:val="000E4979"/>
    <w:rsid w:val="000E4997"/>
    <w:rsid w:val="000E5C2A"/>
    <w:rsid w:val="000E5FAF"/>
    <w:rsid w:val="000E63B5"/>
    <w:rsid w:val="000E6E7F"/>
    <w:rsid w:val="000E7119"/>
    <w:rsid w:val="000F08C5"/>
    <w:rsid w:val="000F29A7"/>
    <w:rsid w:val="000F2D0B"/>
    <w:rsid w:val="000F2F8D"/>
    <w:rsid w:val="000F4DD4"/>
    <w:rsid w:val="000F5394"/>
    <w:rsid w:val="000F55C5"/>
    <w:rsid w:val="000F7287"/>
    <w:rsid w:val="001015A5"/>
    <w:rsid w:val="00101B2B"/>
    <w:rsid w:val="001029C6"/>
    <w:rsid w:val="00102C6D"/>
    <w:rsid w:val="00104576"/>
    <w:rsid w:val="00106043"/>
    <w:rsid w:val="0010699E"/>
    <w:rsid w:val="00107D6A"/>
    <w:rsid w:val="001112BA"/>
    <w:rsid w:val="001114BA"/>
    <w:rsid w:val="00112B54"/>
    <w:rsid w:val="0011751F"/>
    <w:rsid w:val="00120427"/>
    <w:rsid w:val="00120A11"/>
    <w:rsid w:val="001227EE"/>
    <w:rsid w:val="001228AA"/>
    <w:rsid w:val="001264BD"/>
    <w:rsid w:val="00126B48"/>
    <w:rsid w:val="00126BC2"/>
    <w:rsid w:val="00132C16"/>
    <w:rsid w:val="00132F7D"/>
    <w:rsid w:val="00133948"/>
    <w:rsid w:val="0013437A"/>
    <w:rsid w:val="00135000"/>
    <w:rsid w:val="00135B30"/>
    <w:rsid w:val="00137052"/>
    <w:rsid w:val="00137FED"/>
    <w:rsid w:val="00141899"/>
    <w:rsid w:val="00141928"/>
    <w:rsid w:val="00142CF2"/>
    <w:rsid w:val="00143384"/>
    <w:rsid w:val="001434BE"/>
    <w:rsid w:val="00144C75"/>
    <w:rsid w:val="00145C02"/>
    <w:rsid w:val="0014600E"/>
    <w:rsid w:val="001509E4"/>
    <w:rsid w:val="0015203C"/>
    <w:rsid w:val="00152141"/>
    <w:rsid w:val="00153DB4"/>
    <w:rsid w:val="00153F8A"/>
    <w:rsid w:val="00154867"/>
    <w:rsid w:val="00154D97"/>
    <w:rsid w:val="0015576C"/>
    <w:rsid w:val="001557FF"/>
    <w:rsid w:val="00156357"/>
    <w:rsid w:val="001569AA"/>
    <w:rsid w:val="00162272"/>
    <w:rsid w:val="00162816"/>
    <w:rsid w:val="001637AB"/>
    <w:rsid w:val="0016490F"/>
    <w:rsid w:val="00167C9A"/>
    <w:rsid w:val="00172419"/>
    <w:rsid w:val="00172E8B"/>
    <w:rsid w:val="001741D0"/>
    <w:rsid w:val="00175141"/>
    <w:rsid w:val="00176AC8"/>
    <w:rsid w:val="0017782A"/>
    <w:rsid w:val="00177CAD"/>
    <w:rsid w:val="00180939"/>
    <w:rsid w:val="00181816"/>
    <w:rsid w:val="00181824"/>
    <w:rsid w:val="00181FCC"/>
    <w:rsid w:val="001822F7"/>
    <w:rsid w:val="0018334A"/>
    <w:rsid w:val="00183EEB"/>
    <w:rsid w:val="001846FE"/>
    <w:rsid w:val="0018562F"/>
    <w:rsid w:val="0018586B"/>
    <w:rsid w:val="0019087B"/>
    <w:rsid w:val="00190926"/>
    <w:rsid w:val="00190E95"/>
    <w:rsid w:val="0019110E"/>
    <w:rsid w:val="00192C40"/>
    <w:rsid w:val="00192D52"/>
    <w:rsid w:val="00193198"/>
    <w:rsid w:val="001947F3"/>
    <w:rsid w:val="001954C8"/>
    <w:rsid w:val="00196964"/>
    <w:rsid w:val="001A1BF4"/>
    <w:rsid w:val="001A3AFA"/>
    <w:rsid w:val="001A4BBC"/>
    <w:rsid w:val="001A4CA7"/>
    <w:rsid w:val="001A4FC6"/>
    <w:rsid w:val="001A576D"/>
    <w:rsid w:val="001A657D"/>
    <w:rsid w:val="001A6E3D"/>
    <w:rsid w:val="001A6E5A"/>
    <w:rsid w:val="001A7F5A"/>
    <w:rsid w:val="001B008B"/>
    <w:rsid w:val="001B04CC"/>
    <w:rsid w:val="001B40D7"/>
    <w:rsid w:val="001B42CC"/>
    <w:rsid w:val="001B6D60"/>
    <w:rsid w:val="001C18A6"/>
    <w:rsid w:val="001C3DFE"/>
    <w:rsid w:val="001C4775"/>
    <w:rsid w:val="001C4878"/>
    <w:rsid w:val="001C4A6A"/>
    <w:rsid w:val="001C4BB2"/>
    <w:rsid w:val="001C534E"/>
    <w:rsid w:val="001C6D50"/>
    <w:rsid w:val="001D0636"/>
    <w:rsid w:val="001D1443"/>
    <w:rsid w:val="001D1AAA"/>
    <w:rsid w:val="001D1FAE"/>
    <w:rsid w:val="001D2762"/>
    <w:rsid w:val="001D37D0"/>
    <w:rsid w:val="001D478E"/>
    <w:rsid w:val="001D5C34"/>
    <w:rsid w:val="001D5E0A"/>
    <w:rsid w:val="001D66AC"/>
    <w:rsid w:val="001D6B0A"/>
    <w:rsid w:val="001D6EBB"/>
    <w:rsid w:val="001D70FD"/>
    <w:rsid w:val="001E1F35"/>
    <w:rsid w:val="001E2DEF"/>
    <w:rsid w:val="001E31CE"/>
    <w:rsid w:val="001E3348"/>
    <w:rsid w:val="001E3B77"/>
    <w:rsid w:val="001E4AF9"/>
    <w:rsid w:val="001E5F5C"/>
    <w:rsid w:val="001E615B"/>
    <w:rsid w:val="001E7997"/>
    <w:rsid w:val="001F06A0"/>
    <w:rsid w:val="001F07FD"/>
    <w:rsid w:val="001F1BC8"/>
    <w:rsid w:val="001F1CB3"/>
    <w:rsid w:val="001F2095"/>
    <w:rsid w:val="001F41E7"/>
    <w:rsid w:val="001F463E"/>
    <w:rsid w:val="001F4FA7"/>
    <w:rsid w:val="001F5887"/>
    <w:rsid w:val="001F7375"/>
    <w:rsid w:val="001F75B7"/>
    <w:rsid w:val="0020133E"/>
    <w:rsid w:val="0020361C"/>
    <w:rsid w:val="0020526E"/>
    <w:rsid w:val="002058B5"/>
    <w:rsid w:val="0020622A"/>
    <w:rsid w:val="0020666C"/>
    <w:rsid w:val="0020693C"/>
    <w:rsid w:val="00206E32"/>
    <w:rsid w:val="00206FA0"/>
    <w:rsid w:val="00207581"/>
    <w:rsid w:val="002104F9"/>
    <w:rsid w:val="0021109D"/>
    <w:rsid w:val="002118ED"/>
    <w:rsid w:val="00212BD4"/>
    <w:rsid w:val="00213576"/>
    <w:rsid w:val="0021477C"/>
    <w:rsid w:val="00214819"/>
    <w:rsid w:val="002154F2"/>
    <w:rsid w:val="00216CB3"/>
    <w:rsid w:val="00217065"/>
    <w:rsid w:val="00217210"/>
    <w:rsid w:val="00217C16"/>
    <w:rsid w:val="00220BA7"/>
    <w:rsid w:val="002211C2"/>
    <w:rsid w:val="00221A6E"/>
    <w:rsid w:val="002247A7"/>
    <w:rsid w:val="00226BF1"/>
    <w:rsid w:val="002270F7"/>
    <w:rsid w:val="00227419"/>
    <w:rsid w:val="00227F1D"/>
    <w:rsid w:val="00232392"/>
    <w:rsid w:val="002331E0"/>
    <w:rsid w:val="00233277"/>
    <w:rsid w:val="0023392B"/>
    <w:rsid w:val="00234DC3"/>
    <w:rsid w:val="00235F7B"/>
    <w:rsid w:val="002363AE"/>
    <w:rsid w:val="00236832"/>
    <w:rsid w:val="00236D21"/>
    <w:rsid w:val="00236EDE"/>
    <w:rsid w:val="00237943"/>
    <w:rsid w:val="0024131B"/>
    <w:rsid w:val="002418E2"/>
    <w:rsid w:val="00242BCE"/>
    <w:rsid w:val="002435DA"/>
    <w:rsid w:val="00243BFE"/>
    <w:rsid w:val="002440F8"/>
    <w:rsid w:val="0024522D"/>
    <w:rsid w:val="00245525"/>
    <w:rsid w:val="002502AC"/>
    <w:rsid w:val="002544F5"/>
    <w:rsid w:val="00255A2C"/>
    <w:rsid w:val="00255AFB"/>
    <w:rsid w:val="00255D68"/>
    <w:rsid w:val="002577D3"/>
    <w:rsid w:val="00260C49"/>
    <w:rsid w:val="00261CDD"/>
    <w:rsid w:val="00262ED4"/>
    <w:rsid w:val="00263F1E"/>
    <w:rsid w:val="00265D5A"/>
    <w:rsid w:val="00265F9A"/>
    <w:rsid w:val="0026664C"/>
    <w:rsid w:val="00266B1E"/>
    <w:rsid w:val="002677A4"/>
    <w:rsid w:val="002710F7"/>
    <w:rsid w:val="0027140C"/>
    <w:rsid w:val="00272061"/>
    <w:rsid w:val="002730C4"/>
    <w:rsid w:val="00273D1A"/>
    <w:rsid w:val="00273FF9"/>
    <w:rsid w:val="00274E43"/>
    <w:rsid w:val="00275514"/>
    <w:rsid w:val="002763F3"/>
    <w:rsid w:val="00276DD3"/>
    <w:rsid w:val="00277446"/>
    <w:rsid w:val="00282F18"/>
    <w:rsid w:val="002832D6"/>
    <w:rsid w:val="0028470C"/>
    <w:rsid w:val="00286F76"/>
    <w:rsid w:val="00287240"/>
    <w:rsid w:val="002873CA"/>
    <w:rsid w:val="002877C7"/>
    <w:rsid w:val="0028780C"/>
    <w:rsid w:val="00291FE8"/>
    <w:rsid w:val="00292C47"/>
    <w:rsid w:val="002936F1"/>
    <w:rsid w:val="00295C64"/>
    <w:rsid w:val="00296196"/>
    <w:rsid w:val="00296AF2"/>
    <w:rsid w:val="00297242"/>
    <w:rsid w:val="002978E7"/>
    <w:rsid w:val="002A1EE9"/>
    <w:rsid w:val="002A207D"/>
    <w:rsid w:val="002A264A"/>
    <w:rsid w:val="002A2FB0"/>
    <w:rsid w:val="002A4402"/>
    <w:rsid w:val="002A526D"/>
    <w:rsid w:val="002A5B93"/>
    <w:rsid w:val="002A6896"/>
    <w:rsid w:val="002A6921"/>
    <w:rsid w:val="002A6B49"/>
    <w:rsid w:val="002A6ED2"/>
    <w:rsid w:val="002A6FC9"/>
    <w:rsid w:val="002A7DEB"/>
    <w:rsid w:val="002B00E1"/>
    <w:rsid w:val="002B052E"/>
    <w:rsid w:val="002B0F2A"/>
    <w:rsid w:val="002B1E3B"/>
    <w:rsid w:val="002B208E"/>
    <w:rsid w:val="002B2DA8"/>
    <w:rsid w:val="002B4979"/>
    <w:rsid w:val="002B4D07"/>
    <w:rsid w:val="002B5BA3"/>
    <w:rsid w:val="002B6385"/>
    <w:rsid w:val="002C024F"/>
    <w:rsid w:val="002C2E10"/>
    <w:rsid w:val="002C350E"/>
    <w:rsid w:val="002C65F5"/>
    <w:rsid w:val="002D4231"/>
    <w:rsid w:val="002D4ADE"/>
    <w:rsid w:val="002D59DB"/>
    <w:rsid w:val="002D70DE"/>
    <w:rsid w:val="002E00E2"/>
    <w:rsid w:val="002E1920"/>
    <w:rsid w:val="002E1DDA"/>
    <w:rsid w:val="002E1E77"/>
    <w:rsid w:val="002E1F23"/>
    <w:rsid w:val="002E2728"/>
    <w:rsid w:val="002E49A1"/>
    <w:rsid w:val="002E4B3F"/>
    <w:rsid w:val="002E4C90"/>
    <w:rsid w:val="002E5F3D"/>
    <w:rsid w:val="002E6650"/>
    <w:rsid w:val="002E6CDB"/>
    <w:rsid w:val="002F07BA"/>
    <w:rsid w:val="002F14C0"/>
    <w:rsid w:val="002F187C"/>
    <w:rsid w:val="002F1FBE"/>
    <w:rsid w:val="002F6F6D"/>
    <w:rsid w:val="002F7626"/>
    <w:rsid w:val="00300088"/>
    <w:rsid w:val="003019C3"/>
    <w:rsid w:val="00302276"/>
    <w:rsid w:val="00302CD2"/>
    <w:rsid w:val="00304460"/>
    <w:rsid w:val="00305E8E"/>
    <w:rsid w:val="00305EB4"/>
    <w:rsid w:val="00306F39"/>
    <w:rsid w:val="00307933"/>
    <w:rsid w:val="00307B42"/>
    <w:rsid w:val="00310E5D"/>
    <w:rsid w:val="00311AF9"/>
    <w:rsid w:val="00312B64"/>
    <w:rsid w:val="0031482F"/>
    <w:rsid w:val="00315256"/>
    <w:rsid w:val="00316051"/>
    <w:rsid w:val="00316860"/>
    <w:rsid w:val="003169F4"/>
    <w:rsid w:val="0031744A"/>
    <w:rsid w:val="00317E60"/>
    <w:rsid w:val="0032054D"/>
    <w:rsid w:val="003213A4"/>
    <w:rsid w:val="00321C1C"/>
    <w:rsid w:val="00323D1A"/>
    <w:rsid w:val="0032413B"/>
    <w:rsid w:val="0032664C"/>
    <w:rsid w:val="00327578"/>
    <w:rsid w:val="003275F0"/>
    <w:rsid w:val="0033159D"/>
    <w:rsid w:val="00331A67"/>
    <w:rsid w:val="003357C6"/>
    <w:rsid w:val="003358CA"/>
    <w:rsid w:val="003372A1"/>
    <w:rsid w:val="003377F3"/>
    <w:rsid w:val="00337ECC"/>
    <w:rsid w:val="00340768"/>
    <w:rsid w:val="003421CB"/>
    <w:rsid w:val="003438BE"/>
    <w:rsid w:val="0034396C"/>
    <w:rsid w:val="00345099"/>
    <w:rsid w:val="003464C6"/>
    <w:rsid w:val="00346CCB"/>
    <w:rsid w:val="0035125D"/>
    <w:rsid w:val="00352669"/>
    <w:rsid w:val="003526D9"/>
    <w:rsid w:val="003527B3"/>
    <w:rsid w:val="003555F8"/>
    <w:rsid w:val="00356843"/>
    <w:rsid w:val="0035783F"/>
    <w:rsid w:val="003605C9"/>
    <w:rsid w:val="00361153"/>
    <w:rsid w:val="00361A79"/>
    <w:rsid w:val="00361CC6"/>
    <w:rsid w:val="0036258D"/>
    <w:rsid w:val="00362C68"/>
    <w:rsid w:val="003634E3"/>
    <w:rsid w:val="00365433"/>
    <w:rsid w:val="003672AD"/>
    <w:rsid w:val="0037273B"/>
    <w:rsid w:val="00374035"/>
    <w:rsid w:val="00377122"/>
    <w:rsid w:val="0038193E"/>
    <w:rsid w:val="00382F13"/>
    <w:rsid w:val="00383D4B"/>
    <w:rsid w:val="00385648"/>
    <w:rsid w:val="00386CFF"/>
    <w:rsid w:val="00387315"/>
    <w:rsid w:val="0039117E"/>
    <w:rsid w:val="00391363"/>
    <w:rsid w:val="00392208"/>
    <w:rsid w:val="0039367A"/>
    <w:rsid w:val="00393836"/>
    <w:rsid w:val="00393BF3"/>
    <w:rsid w:val="00397052"/>
    <w:rsid w:val="003A3B13"/>
    <w:rsid w:val="003A44D9"/>
    <w:rsid w:val="003A4B06"/>
    <w:rsid w:val="003A56FA"/>
    <w:rsid w:val="003A6207"/>
    <w:rsid w:val="003A62B1"/>
    <w:rsid w:val="003A634B"/>
    <w:rsid w:val="003B3FA5"/>
    <w:rsid w:val="003B4E65"/>
    <w:rsid w:val="003B51A3"/>
    <w:rsid w:val="003B5FC5"/>
    <w:rsid w:val="003B615E"/>
    <w:rsid w:val="003C15EA"/>
    <w:rsid w:val="003C1A85"/>
    <w:rsid w:val="003C1B61"/>
    <w:rsid w:val="003C356E"/>
    <w:rsid w:val="003C3CF1"/>
    <w:rsid w:val="003C589A"/>
    <w:rsid w:val="003C5F23"/>
    <w:rsid w:val="003C5FA6"/>
    <w:rsid w:val="003C6322"/>
    <w:rsid w:val="003C64F2"/>
    <w:rsid w:val="003C7E3B"/>
    <w:rsid w:val="003D0474"/>
    <w:rsid w:val="003D116C"/>
    <w:rsid w:val="003D242A"/>
    <w:rsid w:val="003D2D37"/>
    <w:rsid w:val="003D2E23"/>
    <w:rsid w:val="003D2E54"/>
    <w:rsid w:val="003D6DA3"/>
    <w:rsid w:val="003E17A2"/>
    <w:rsid w:val="003E1832"/>
    <w:rsid w:val="003E1DEB"/>
    <w:rsid w:val="003E2A14"/>
    <w:rsid w:val="003E3E06"/>
    <w:rsid w:val="003E4D67"/>
    <w:rsid w:val="003E5265"/>
    <w:rsid w:val="003E6F4A"/>
    <w:rsid w:val="003E7881"/>
    <w:rsid w:val="003F064B"/>
    <w:rsid w:val="003F082F"/>
    <w:rsid w:val="003F4B1A"/>
    <w:rsid w:val="003F6107"/>
    <w:rsid w:val="003F719E"/>
    <w:rsid w:val="003F73B5"/>
    <w:rsid w:val="00400F29"/>
    <w:rsid w:val="00402D4A"/>
    <w:rsid w:val="004055B9"/>
    <w:rsid w:val="004058E1"/>
    <w:rsid w:val="004070D3"/>
    <w:rsid w:val="00410D25"/>
    <w:rsid w:val="004111A8"/>
    <w:rsid w:val="004120A5"/>
    <w:rsid w:val="0041218D"/>
    <w:rsid w:val="00412702"/>
    <w:rsid w:val="00413B05"/>
    <w:rsid w:val="0041406D"/>
    <w:rsid w:val="00416E9B"/>
    <w:rsid w:val="004175DA"/>
    <w:rsid w:val="00417CC4"/>
    <w:rsid w:val="00421C5A"/>
    <w:rsid w:val="00422F10"/>
    <w:rsid w:val="00423B17"/>
    <w:rsid w:val="004251AC"/>
    <w:rsid w:val="00426D6A"/>
    <w:rsid w:val="00427135"/>
    <w:rsid w:val="00427358"/>
    <w:rsid w:val="0043109E"/>
    <w:rsid w:val="00431943"/>
    <w:rsid w:val="0043232B"/>
    <w:rsid w:val="0043313A"/>
    <w:rsid w:val="00433165"/>
    <w:rsid w:val="0043373B"/>
    <w:rsid w:val="0043499E"/>
    <w:rsid w:val="0043612A"/>
    <w:rsid w:val="0044000A"/>
    <w:rsid w:val="00440BDA"/>
    <w:rsid w:val="004418EF"/>
    <w:rsid w:val="0044437E"/>
    <w:rsid w:val="00445060"/>
    <w:rsid w:val="004453B1"/>
    <w:rsid w:val="00447446"/>
    <w:rsid w:val="00452162"/>
    <w:rsid w:val="0045224E"/>
    <w:rsid w:val="00452AF6"/>
    <w:rsid w:val="0045350C"/>
    <w:rsid w:val="00453801"/>
    <w:rsid w:val="004545BB"/>
    <w:rsid w:val="00454889"/>
    <w:rsid w:val="0045578F"/>
    <w:rsid w:val="00456B28"/>
    <w:rsid w:val="0045722E"/>
    <w:rsid w:val="00460ABA"/>
    <w:rsid w:val="0046153C"/>
    <w:rsid w:val="0046193A"/>
    <w:rsid w:val="00462B66"/>
    <w:rsid w:val="00464BFF"/>
    <w:rsid w:val="00465305"/>
    <w:rsid w:val="004655A9"/>
    <w:rsid w:val="004659A7"/>
    <w:rsid w:val="00466315"/>
    <w:rsid w:val="00466975"/>
    <w:rsid w:val="00466DEC"/>
    <w:rsid w:val="00470A89"/>
    <w:rsid w:val="004716F4"/>
    <w:rsid w:val="00471EB9"/>
    <w:rsid w:val="004720F2"/>
    <w:rsid w:val="004755D5"/>
    <w:rsid w:val="00475825"/>
    <w:rsid w:val="00475EBB"/>
    <w:rsid w:val="0047718E"/>
    <w:rsid w:val="00477E25"/>
    <w:rsid w:val="00480E3D"/>
    <w:rsid w:val="00486161"/>
    <w:rsid w:val="00487A4E"/>
    <w:rsid w:val="00487CFF"/>
    <w:rsid w:val="00487F7C"/>
    <w:rsid w:val="004901E1"/>
    <w:rsid w:val="00491D69"/>
    <w:rsid w:val="00492A21"/>
    <w:rsid w:val="00493B98"/>
    <w:rsid w:val="004947DE"/>
    <w:rsid w:val="00495B20"/>
    <w:rsid w:val="004A1CE8"/>
    <w:rsid w:val="004A34C1"/>
    <w:rsid w:val="004A44C3"/>
    <w:rsid w:val="004A5993"/>
    <w:rsid w:val="004A5F0B"/>
    <w:rsid w:val="004A6158"/>
    <w:rsid w:val="004A652F"/>
    <w:rsid w:val="004A7197"/>
    <w:rsid w:val="004B15A0"/>
    <w:rsid w:val="004B1ED2"/>
    <w:rsid w:val="004B3A97"/>
    <w:rsid w:val="004B4FCC"/>
    <w:rsid w:val="004B5821"/>
    <w:rsid w:val="004B5E45"/>
    <w:rsid w:val="004B6564"/>
    <w:rsid w:val="004B75FF"/>
    <w:rsid w:val="004C0080"/>
    <w:rsid w:val="004C15D9"/>
    <w:rsid w:val="004C3432"/>
    <w:rsid w:val="004C3EC8"/>
    <w:rsid w:val="004C4ABF"/>
    <w:rsid w:val="004C5C4A"/>
    <w:rsid w:val="004C63CE"/>
    <w:rsid w:val="004C6C99"/>
    <w:rsid w:val="004C7A20"/>
    <w:rsid w:val="004D09E3"/>
    <w:rsid w:val="004D33DA"/>
    <w:rsid w:val="004D344E"/>
    <w:rsid w:val="004D3466"/>
    <w:rsid w:val="004D3D99"/>
    <w:rsid w:val="004D415F"/>
    <w:rsid w:val="004D482C"/>
    <w:rsid w:val="004D49A6"/>
    <w:rsid w:val="004D7791"/>
    <w:rsid w:val="004E0150"/>
    <w:rsid w:val="004E136B"/>
    <w:rsid w:val="004E3451"/>
    <w:rsid w:val="004E3884"/>
    <w:rsid w:val="004E3E90"/>
    <w:rsid w:val="004E45AC"/>
    <w:rsid w:val="004E4889"/>
    <w:rsid w:val="004E574F"/>
    <w:rsid w:val="004E6434"/>
    <w:rsid w:val="004E6DF9"/>
    <w:rsid w:val="004E7B24"/>
    <w:rsid w:val="004E7E8D"/>
    <w:rsid w:val="004F2B82"/>
    <w:rsid w:val="004F2FFA"/>
    <w:rsid w:val="004F4375"/>
    <w:rsid w:val="004F565F"/>
    <w:rsid w:val="004F69AB"/>
    <w:rsid w:val="004F7494"/>
    <w:rsid w:val="004F7F57"/>
    <w:rsid w:val="00500CC8"/>
    <w:rsid w:val="00501196"/>
    <w:rsid w:val="005025D5"/>
    <w:rsid w:val="00502C28"/>
    <w:rsid w:val="0050322E"/>
    <w:rsid w:val="00503DA4"/>
    <w:rsid w:val="005047E7"/>
    <w:rsid w:val="00505228"/>
    <w:rsid w:val="00507089"/>
    <w:rsid w:val="00510A1A"/>
    <w:rsid w:val="00510A35"/>
    <w:rsid w:val="00511431"/>
    <w:rsid w:val="005117FB"/>
    <w:rsid w:val="00512F2F"/>
    <w:rsid w:val="0051306B"/>
    <w:rsid w:val="0051364E"/>
    <w:rsid w:val="0051534A"/>
    <w:rsid w:val="00515A65"/>
    <w:rsid w:val="00515FBF"/>
    <w:rsid w:val="005163D0"/>
    <w:rsid w:val="005172BA"/>
    <w:rsid w:val="00517A0A"/>
    <w:rsid w:val="00521F33"/>
    <w:rsid w:val="00525271"/>
    <w:rsid w:val="005261BE"/>
    <w:rsid w:val="00530C9D"/>
    <w:rsid w:val="005331C7"/>
    <w:rsid w:val="00534A4F"/>
    <w:rsid w:val="005353B2"/>
    <w:rsid w:val="00537783"/>
    <w:rsid w:val="00540106"/>
    <w:rsid w:val="0054216D"/>
    <w:rsid w:val="00542732"/>
    <w:rsid w:val="00543883"/>
    <w:rsid w:val="0054537E"/>
    <w:rsid w:val="005462D0"/>
    <w:rsid w:val="005472B8"/>
    <w:rsid w:val="00550126"/>
    <w:rsid w:val="00550AE8"/>
    <w:rsid w:val="00553304"/>
    <w:rsid w:val="00553B83"/>
    <w:rsid w:val="0055789B"/>
    <w:rsid w:val="00557BAC"/>
    <w:rsid w:val="005616E2"/>
    <w:rsid w:val="00561E45"/>
    <w:rsid w:val="00562091"/>
    <w:rsid w:val="00563187"/>
    <w:rsid w:val="00563B5E"/>
    <w:rsid w:val="00564348"/>
    <w:rsid w:val="00565E30"/>
    <w:rsid w:val="00566105"/>
    <w:rsid w:val="005677E0"/>
    <w:rsid w:val="00567E55"/>
    <w:rsid w:val="005700E6"/>
    <w:rsid w:val="00570C1F"/>
    <w:rsid w:val="00571168"/>
    <w:rsid w:val="00571F34"/>
    <w:rsid w:val="0057289F"/>
    <w:rsid w:val="005738DA"/>
    <w:rsid w:val="00574AFA"/>
    <w:rsid w:val="0057503B"/>
    <w:rsid w:val="005759ED"/>
    <w:rsid w:val="00580039"/>
    <w:rsid w:val="00580BF3"/>
    <w:rsid w:val="00581616"/>
    <w:rsid w:val="005818C1"/>
    <w:rsid w:val="00581AF5"/>
    <w:rsid w:val="00582BD7"/>
    <w:rsid w:val="00582E60"/>
    <w:rsid w:val="00583E23"/>
    <w:rsid w:val="0058585E"/>
    <w:rsid w:val="00586E89"/>
    <w:rsid w:val="005931F7"/>
    <w:rsid w:val="005938E4"/>
    <w:rsid w:val="005939A6"/>
    <w:rsid w:val="00593CCC"/>
    <w:rsid w:val="00595813"/>
    <w:rsid w:val="005966A2"/>
    <w:rsid w:val="00596FFA"/>
    <w:rsid w:val="00597BD3"/>
    <w:rsid w:val="005A0048"/>
    <w:rsid w:val="005A00FE"/>
    <w:rsid w:val="005A042B"/>
    <w:rsid w:val="005A0482"/>
    <w:rsid w:val="005A057C"/>
    <w:rsid w:val="005A0BC8"/>
    <w:rsid w:val="005A1526"/>
    <w:rsid w:val="005A183F"/>
    <w:rsid w:val="005A3327"/>
    <w:rsid w:val="005A42C4"/>
    <w:rsid w:val="005A570A"/>
    <w:rsid w:val="005B03FD"/>
    <w:rsid w:val="005B16EA"/>
    <w:rsid w:val="005B1AA9"/>
    <w:rsid w:val="005B33B7"/>
    <w:rsid w:val="005B3AE1"/>
    <w:rsid w:val="005B440B"/>
    <w:rsid w:val="005B503A"/>
    <w:rsid w:val="005B7E74"/>
    <w:rsid w:val="005C061B"/>
    <w:rsid w:val="005C225F"/>
    <w:rsid w:val="005C6B02"/>
    <w:rsid w:val="005C70F4"/>
    <w:rsid w:val="005C7716"/>
    <w:rsid w:val="005D137A"/>
    <w:rsid w:val="005D38DF"/>
    <w:rsid w:val="005D3F8D"/>
    <w:rsid w:val="005D44DD"/>
    <w:rsid w:val="005D50CA"/>
    <w:rsid w:val="005D5366"/>
    <w:rsid w:val="005D5525"/>
    <w:rsid w:val="005D6EC5"/>
    <w:rsid w:val="005D7D06"/>
    <w:rsid w:val="005E1575"/>
    <w:rsid w:val="005E1951"/>
    <w:rsid w:val="005E2843"/>
    <w:rsid w:val="005F08CB"/>
    <w:rsid w:val="005F1CF3"/>
    <w:rsid w:val="005F24BA"/>
    <w:rsid w:val="005F25C9"/>
    <w:rsid w:val="005F2657"/>
    <w:rsid w:val="005F2A82"/>
    <w:rsid w:val="005F358B"/>
    <w:rsid w:val="005F56E0"/>
    <w:rsid w:val="005F5869"/>
    <w:rsid w:val="005F781D"/>
    <w:rsid w:val="006000C0"/>
    <w:rsid w:val="0060216E"/>
    <w:rsid w:val="00602641"/>
    <w:rsid w:val="00602D8D"/>
    <w:rsid w:val="00603EC9"/>
    <w:rsid w:val="00604B48"/>
    <w:rsid w:val="006067EF"/>
    <w:rsid w:val="00607066"/>
    <w:rsid w:val="006077F3"/>
    <w:rsid w:val="00611642"/>
    <w:rsid w:val="00614D36"/>
    <w:rsid w:val="00614EDE"/>
    <w:rsid w:val="00615164"/>
    <w:rsid w:val="006169A3"/>
    <w:rsid w:val="00617919"/>
    <w:rsid w:val="006204A0"/>
    <w:rsid w:val="006204E2"/>
    <w:rsid w:val="00620537"/>
    <w:rsid w:val="00620C9F"/>
    <w:rsid w:val="00621387"/>
    <w:rsid w:val="00621887"/>
    <w:rsid w:val="00621C16"/>
    <w:rsid w:val="00622065"/>
    <w:rsid w:val="0062389F"/>
    <w:rsid w:val="00623B2E"/>
    <w:rsid w:val="00625208"/>
    <w:rsid w:val="00630D9B"/>
    <w:rsid w:val="006317D2"/>
    <w:rsid w:val="006333CD"/>
    <w:rsid w:val="00634873"/>
    <w:rsid w:val="00634BFC"/>
    <w:rsid w:val="00634DEF"/>
    <w:rsid w:val="00635425"/>
    <w:rsid w:val="0063614D"/>
    <w:rsid w:val="00637D23"/>
    <w:rsid w:val="00640286"/>
    <w:rsid w:val="00640898"/>
    <w:rsid w:val="006446E4"/>
    <w:rsid w:val="0064672C"/>
    <w:rsid w:val="00650712"/>
    <w:rsid w:val="00652D1E"/>
    <w:rsid w:val="00653384"/>
    <w:rsid w:val="00655D7C"/>
    <w:rsid w:val="006572C6"/>
    <w:rsid w:val="00660D2B"/>
    <w:rsid w:val="00663508"/>
    <w:rsid w:val="00665DA9"/>
    <w:rsid w:val="00666D7A"/>
    <w:rsid w:val="0067193C"/>
    <w:rsid w:val="00671AFB"/>
    <w:rsid w:val="0067398F"/>
    <w:rsid w:val="00676E79"/>
    <w:rsid w:val="006809C0"/>
    <w:rsid w:val="006822FE"/>
    <w:rsid w:val="00682E69"/>
    <w:rsid w:val="0068351A"/>
    <w:rsid w:val="00683BE0"/>
    <w:rsid w:val="006846C2"/>
    <w:rsid w:val="0068539C"/>
    <w:rsid w:val="0068648A"/>
    <w:rsid w:val="006867C8"/>
    <w:rsid w:val="00686EE8"/>
    <w:rsid w:val="00687A5D"/>
    <w:rsid w:val="00687D99"/>
    <w:rsid w:val="00687DA6"/>
    <w:rsid w:val="00690B24"/>
    <w:rsid w:val="00691F9E"/>
    <w:rsid w:val="00692022"/>
    <w:rsid w:val="00692995"/>
    <w:rsid w:val="00692CB4"/>
    <w:rsid w:val="0069328A"/>
    <w:rsid w:val="006949E2"/>
    <w:rsid w:val="00697E0F"/>
    <w:rsid w:val="006A05C6"/>
    <w:rsid w:val="006A125A"/>
    <w:rsid w:val="006A4A83"/>
    <w:rsid w:val="006A4C3F"/>
    <w:rsid w:val="006A4E54"/>
    <w:rsid w:val="006A572B"/>
    <w:rsid w:val="006A7E4B"/>
    <w:rsid w:val="006B0951"/>
    <w:rsid w:val="006B0C4F"/>
    <w:rsid w:val="006B0E26"/>
    <w:rsid w:val="006B1DD3"/>
    <w:rsid w:val="006B4424"/>
    <w:rsid w:val="006B4CF2"/>
    <w:rsid w:val="006B520F"/>
    <w:rsid w:val="006B55CC"/>
    <w:rsid w:val="006B5F0F"/>
    <w:rsid w:val="006B6128"/>
    <w:rsid w:val="006B718F"/>
    <w:rsid w:val="006B763C"/>
    <w:rsid w:val="006B7864"/>
    <w:rsid w:val="006B78B8"/>
    <w:rsid w:val="006B7C88"/>
    <w:rsid w:val="006C1C4C"/>
    <w:rsid w:val="006C1EE6"/>
    <w:rsid w:val="006C29CD"/>
    <w:rsid w:val="006C3714"/>
    <w:rsid w:val="006C410A"/>
    <w:rsid w:val="006C4BF6"/>
    <w:rsid w:val="006C5BF3"/>
    <w:rsid w:val="006C5E03"/>
    <w:rsid w:val="006C6D46"/>
    <w:rsid w:val="006D0255"/>
    <w:rsid w:val="006D0D43"/>
    <w:rsid w:val="006D40D1"/>
    <w:rsid w:val="006D4503"/>
    <w:rsid w:val="006D45C3"/>
    <w:rsid w:val="006D5343"/>
    <w:rsid w:val="006D5AB6"/>
    <w:rsid w:val="006E068E"/>
    <w:rsid w:val="006E0931"/>
    <w:rsid w:val="006E34BE"/>
    <w:rsid w:val="006E391F"/>
    <w:rsid w:val="006E4102"/>
    <w:rsid w:val="006E5299"/>
    <w:rsid w:val="006E6107"/>
    <w:rsid w:val="006E6BDE"/>
    <w:rsid w:val="006E6CDC"/>
    <w:rsid w:val="006E733C"/>
    <w:rsid w:val="006F0C37"/>
    <w:rsid w:val="006F1A8E"/>
    <w:rsid w:val="006F1DC3"/>
    <w:rsid w:val="006F27E7"/>
    <w:rsid w:val="006F295E"/>
    <w:rsid w:val="006F2F00"/>
    <w:rsid w:val="006F3CF1"/>
    <w:rsid w:val="006F4FDB"/>
    <w:rsid w:val="006F552F"/>
    <w:rsid w:val="006F6AB6"/>
    <w:rsid w:val="006F70EF"/>
    <w:rsid w:val="006F7825"/>
    <w:rsid w:val="00700C9D"/>
    <w:rsid w:val="00701930"/>
    <w:rsid w:val="00701E17"/>
    <w:rsid w:val="00702976"/>
    <w:rsid w:val="007045C1"/>
    <w:rsid w:val="00705DA8"/>
    <w:rsid w:val="00706019"/>
    <w:rsid w:val="007060E3"/>
    <w:rsid w:val="0070620B"/>
    <w:rsid w:val="00706E5F"/>
    <w:rsid w:val="00706EE9"/>
    <w:rsid w:val="0071070A"/>
    <w:rsid w:val="00710D47"/>
    <w:rsid w:val="00710F75"/>
    <w:rsid w:val="00712876"/>
    <w:rsid w:val="007129F0"/>
    <w:rsid w:val="00714106"/>
    <w:rsid w:val="00714C13"/>
    <w:rsid w:val="00716D89"/>
    <w:rsid w:val="007208C4"/>
    <w:rsid w:val="0072123F"/>
    <w:rsid w:val="00721545"/>
    <w:rsid w:val="007219E8"/>
    <w:rsid w:val="007252B9"/>
    <w:rsid w:val="00726059"/>
    <w:rsid w:val="0072644C"/>
    <w:rsid w:val="00730592"/>
    <w:rsid w:val="00730BF6"/>
    <w:rsid w:val="00731FDC"/>
    <w:rsid w:val="00732155"/>
    <w:rsid w:val="007322AF"/>
    <w:rsid w:val="00732316"/>
    <w:rsid w:val="007323B3"/>
    <w:rsid w:val="00732BA1"/>
    <w:rsid w:val="00732DBD"/>
    <w:rsid w:val="00733618"/>
    <w:rsid w:val="00733665"/>
    <w:rsid w:val="0073515D"/>
    <w:rsid w:val="00735B37"/>
    <w:rsid w:val="00736035"/>
    <w:rsid w:val="00737819"/>
    <w:rsid w:val="00740161"/>
    <w:rsid w:val="00740462"/>
    <w:rsid w:val="00740660"/>
    <w:rsid w:val="007417D7"/>
    <w:rsid w:val="0074259E"/>
    <w:rsid w:val="00742604"/>
    <w:rsid w:val="00744421"/>
    <w:rsid w:val="007445D8"/>
    <w:rsid w:val="0074568E"/>
    <w:rsid w:val="0074786E"/>
    <w:rsid w:val="00750E93"/>
    <w:rsid w:val="007543E9"/>
    <w:rsid w:val="00754CDB"/>
    <w:rsid w:val="00755B2C"/>
    <w:rsid w:val="0075701C"/>
    <w:rsid w:val="007578CD"/>
    <w:rsid w:val="00760A97"/>
    <w:rsid w:val="007636DD"/>
    <w:rsid w:val="00763756"/>
    <w:rsid w:val="007643FB"/>
    <w:rsid w:val="0076630B"/>
    <w:rsid w:val="0077137C"/>
    <w:rsid w:val="00773B84"/>
    <w:rsid w:val="00775BEB"/>
    <w:rsid w:val="0077644F"/>
    <w:rsid w:val="00776706"/>
    <w:rsid w:val="00776D3E"/>
    <w:rsid w:val="007771BD"/>
    <w:rsid w:val="00777F4E"/>
    <w:rsid w:val="007802E1"/>
    <w:rsid w:val="00781743"/>
    <w:rsid w:val="00781F40"/>
    <w:rsid w:val="00783EE6"/>
    <w:rsid w:val="007849AF"/>
    <w:rsid w:val="007856A8"/>
    <w:rsid w:val="00786259"/>
    <w:rsid w:val="007908F6"/>
    <w:rsid w:val="00790E23"/>
    <w:rsid w:val="00791323"/>
    <w:rsid w:val="007949E8"/>
    <w:rsid w:val="00794C46"/>
    <w:rsid w:val="0079567F"/>
    <w:rsid w:val="0079649F"/>
    <w:rsid w:val="007974F5"/>
    <w:rsid w:val="007A05EA"/>
    <w:rsid w:val="007A07F4"/>
    <w:rsid w:val="007A16B2"/>
    <w:rsid w:val="007A3284"/>
    <w:rsid w:val="007A454E"/>
    <w:rsid w:val="007A4B1D"/>
    <w:rsid w:val="007A5642"/>
    <w:rsid w:val="007A56CD"/>
    <w:rsid w:val="007A5753"/>
    <w:rsid w:val="007A5BE1"/>
    <w:rsid w:val="007A6D34"/>
    <w:rsid w:val="007A79B3"/>
    <w:rsid w:val="007B1C34"/>
    <w:rsid w:val="007B32C6"/>
    <w:rsid w:val="007B36F0"/>
    <w:rsid w:val="007B50A2"/>
    <w:rsid w:val="007B5666"/>
    <w:rsid w:val="007B6B17"/>
    <w:rsid w:val="007B7E6E"/>
    <w:rsid w:val="007C0307"/>
    <w:rsid w:val="007C0B12"/>
    <w:rsid w:val="007C1648"/>
    <w:rsid w:val="007C398A"/>
    <w:rsid w:val="007C4073"/>
    <w:rsid w:val="007C6158"/>
    <w:rsid w:val="007C61EB"/>
    <w:rsid w:val="007C7096"/>
    <w:rsid w:val="007C72EB"/>
    <w:rsid w:val="007C7BBE"/>
    <w:rsid w:val="007D0A64"/>
    <w:rsid w:val="007D0DB7"/>
    <w:rsid w:val="007D0E1E"/>
    <w:rsid w:val="007D0FFD"/>
    <w:rsid w:val="007D3D0D"/>
    <w:rsid w:val="007D3FBF"/>
    <w:rsid w:val="007D4FE1"/>
    <w:rsid w:val="007D5016"/>
    <w:rsid w:val="007D7544"/>
    <w:rsid w:val="007D77DF"/>
    <w:rsid w:val="007E09A3"/>
    <w:rsid w:val="007E1912"/>
    <w:rsid w:val="007E19D7"/>
    <w:rsid w:val="007E201B"/>
    <w:rsid w:val="007E209A"/>
    <w:rsid w:val="007E43C3"/>
    <w:rsid w:val="007E4411"/>
    <w:rsid w:val="007E495B"/>
    <w:rsid w:val="007E598B"/>
    <w:rsid w:val="007E5F0D"/>
    <w:rsid w:val="007E6F92"/>
    <w:rsid w:val="007F02A2"/>
    <w:rsid w:val="007F365E"/>
    <w:rsid w:val="007F3E1D"/>
    <w:rsid w:val="007F7683"/>
    <w:rsid w:val="007F78EF"/>
    <w:rsid w:val="007F7EBF"/>
    <w:rsid w:val="00800B64"/>
    <w:rsid w:val="00802794"/>
    <w:rsid w:val="00802B29"/>
    <w:rsid w:val="00804188"/>
    <w:rsid w:val="008044A4"/>
    <w:rsid w:val="00805565"/>
    <w:rsid w:val="008058F7"/>
    <w:rsid w:val="00807BC0"/>
    <w:rsid w:val="00810895"/>
    <w:rsid w:val="00813C2C"/>
    <w:rsid w:val="008172EB"/>
    <w:rsid w:val="008210A7"/>
    <w:rsid w:val="008212A4"/>
    <w:rsid w:val="0082260F"/>
    <w:rsid w:val="0082385A"/>
    <w:rsid w:val="00825D17"/>
    <w:rsid w:val="00826F88"/>
    <w:rsid w:val="00827472"/>
    <w:rsid w:val="0083059A"/>
    <w:rsid w:val="00830C39"/>
    <w:rsid w:val="00831600"/>
    <w:rsid w:val="00831CE6"/>
    <w:rsid w:val="008322D3"/>
    <w:rsid w:val="0083336A"/>
    <w:rsid w:val="00833F7C"/>
    <w:rsid w:val="00834208"/>
    <w:rsid w:val="0083423C"/>
    <w:rsid w:val="0083551E"/>
    <w:rsid w:val="00836705"/>
    <w:rsid w:val="008370AD"/>
    <w:rsid w:val="0083749F"/>
    <w:rsid w:val="008405CE"/>
    <w:rsid w:val="008423BE"/>
    <w:rsid w:val="00842A63"/>
    <w:rsid w:val="00843B9C"/>
    <w:rsid w:val="0084460E"/>
    <w:rsid w:val="00845094"/>
    <w:rsid w:val="00845B28"/>
    <w:rsid w:val="00847098"/>
    <w:rsid w:val="008529AF"/>
    <w:rsid w:val="00852EE6"/>
    <w:rsid w:val="00854903"/>
    <w:rsid w:val="008562D3"/>
    <w:rsid w:val="008572A7"/>
    <w:rsid w:val="00860906"/>
    <w:rsid w:val="008616F3"/>
    <w:rsid w:val="00862328"/>
    <w:rsid w:val="008643CB"/>
    <w:rsid w:val="00864CEF"/>
    <w:rsid w:val="00865D66"/>
    <w:rsid w:val="00865D9C"/>
    <w:rsid w:val="00867110"/>
    <w:rsid w:val="00867A20"/>
    <w:rsid w:val="008713D2"/>
    <w:rsid w:val="008714E2"/>
    <w:rsid w:val="00871C1C"/>
    <w:rsid w:val="008739D3"/>
    <w:rsid w:val="00873D44"/>
    <w:rsid w:val="00874766"/>
    <w:rsid w:val="008756DA"/>
    <w:rsid w:val="008758E5"/>
    <w:rsid w:val="0087653B"/>
    <w:rsid w:val="008773EC"/>
    <w:rsid w:val="00877BAF"/>
    <w:rsid w:val="00880B5F"/>
    <w:rsid w:val="008811FB"/>
    <w:rsid w:val="00882427"/>
    <w:rsid w:val="00882A81"/>
    <w:rsid w:val="008838A3"/>
    <w:rsid w:val="008840D9"/>
    <w:rsid w:val="00884DB5"/>
    <w:rsid w:val="00885BFD"/>
    <w:rsid w:val="008873E5"/>
    <w:rsid w:val="00887767"/>
    <w:rsid w:val="008877FD"/>
    <w:rsid w:val="00891974"/>
    <w:rsid w:val="00891FB3"/>
    <w:rsid w:val="008946D2"/>
    <w:rsid w:val="00894F85"/>
    <w:rsid w:val="00896A1B"/>
    <w:rsid w:val="00896F9C"/>
    <w:rsid w:val="008A01B9"/>
    <w:rsid w:val="008A0502"/>
    <w:rsid w:val="008A09A1"/>
    <w:rsid w:val="008A0BE1"/>
    <w:rsid w:val="008A2096"/>
    <w:rsid w:val="008A2132"/>
    <w:rsid w:val="008A3CBA"/>
    <w:rsid w:val="008A55DA"/>
    <w:rsid w:val="008A604C"/>
    <w:rsid w:val="008A6252"/>
    <w:rsid w:val="008A63E0"/>
    <w:rsid w:val="008A6411"/>
    <w:rsid w:val="008B1823"/>
    <w:rsid w:val="008B2366"/>
    <w:rsid w:val="008B338A"/>
    <w:rsid w:val="008B3D55"/>
    <w:rsid w:val="008B54ED"/>
    <w:rsid w:val="008B5CE9"/>
    <w:rsid w:val="008B67E0"/>
    <w:rsid w:val="008B7A40"/>
    <w:rsid w:val="008B7AE1"/>
    <w:rsid w:val="008B7C63"/>
    <w:rsid w:val="008C0308"/>
    <w:rsid w:val="008C0636"/>
    <w:rsid w:val="008C0D32"/>
    <w:rsid w:val="008C2463"/>
    <w:rsid w:val="008C3954"/>
    <w:rsid w:val="008D199F"/>
    <w:rsid w:val="008D25DF"/>
    <w:rsid w:val="008D3AA3"/>
    <w:rsid w:val="008D3EEE"/>
    <w:rsid w:val="008D7E0E"/>
    <w:rsid w:val="008E0939"/>
    <w:rsid w:val="008E21DD"/>
    <w:rsid w:val="008E3CC8"/>
    <w:rsid w:val="008E4A00"/>
    <w:rsid w:val="008E5AEE"/>
    <w:rsid w:val="008E6D58"/>
    <w:rsid w:val="008E74A6"/>
    <w:rsid w:val="008F1130"/>
    <w:rsid w:val="008F3E2C"/>
    <w:rsid w:val="008F4C1A"/>
    <w:rsid w:val="008F4C83"/>
    <w:rsid w:val="008F6659"/>
    <w:rsid w:val="009015C9"/>
    <w:rsid w:val="0090195E"/>
    <w:rsid w:val="00901C04"/>
    <w:rsid w:val="00902353"/>
    <w:rsid w:val="00902382"/>
    <w:rsid w:val="009039D4"/>
    <w:rsid w:val="00903EB7"/>
    <w:rsid w:val="009047E8"/>
    <w:rsid w:val="00904B8A"/>
    <w:rsid w:val="00904BBA"/>
    <w:rsid w:val="00904D9F"/>
    <w:rsid w:val="00905019"/>
    <w:rsid w:val="009052A9"/>
    <w:rsid w:val="00906409"/>
    <w:rsid w:val="00906691"/>
    <w:rsid w:val="009066A0"/>
    <w:rsid w:val="00906836"/>
    <w:rsid w:val="00906939"/>
    <w:rsid w:val="00907464"/>
    <w:rsid w:val="00907747"/>
    <w:rsid w:val="009079A6"/>
    <w:rsid w:val="00907AFA"/>
    <w:rsid w:val="00911E4A"/>
    <w:rsid w:val="00912D7C"/>
    <w:rsid w:val="0091492F"/>
    <w:rsid w:val="00916503"/>
    <w:rsid w:val="00920342"/>
    <w:rsid w:val="00920D9B"/>
    <w:rsid w:val="00921E2D"/>
    <w:rsid w:val="009220FB"/>
    <w:rsid w:val="00922107"/>
    <w:rsid w:val="00922D26"/>
    <w:rsid w:val="009231F1"/>
    <w:rsid w:val="00924E9F"/>
    <w:rsid w:val="00925838"/>
    <w:rsid w:val="00925FBA"/>
    <w:rsid w:val="009263D7"/>
    <w:rsid w:val="00926F3A"/>
    <w:rsid w:val="0093081D"/>
    <w:rsid w:val="009340A1"/>
    <w:rsid w:val="00935A25"/>
    <w:rsid w:val="00935BE5"/>
    <w:rsid w:val="00936A8E"/>
    <w:rsid w:val="00936BD4"/>
    <w:rsid w:val="009370F1"/>
    <w:rsid w:val="00937614"/>
    <w:rsid w:val="00937703"/>
    <w:rsid w:val="009408BE"/>
    <w:rsid w:val="00941C8B"/>
    <w:rsid w:val="00942C0B"/>
    <w:rsid w:val="00943081"/>
    <w:rsid w:val="00943E8C"/>
    <w:rsid w:val="00946321"/>
    <w:rsid w:val="00950EF3"/>
    <w:rsid w:val="009528C0"/>
    <w:rsid w:val="00952BB1"/>
    <w:rsid w:val="00953738"/>
    <w:rsid w:val="00956904"/>
    <w:rsid w:val="00956A85"/>
    <w:rsid w:val="00957635"/>
    <w:rsid w:val="00960353"/>
    <w:rsid w:val="00961C99"/>
    <w:rsid w:val="00964302"/>
    <w:rsid w:val="00964C2A"/>
    <w:rsid w:val="009655F7"/>
    <w:rsid w:val="00970E3E"/>
    <w:rsid w:val="00971DEE"/>
    <w:rsid w:val="00973420"/>
    <w:rsid w:val="00974899"/>
    <w:rsid w:val="00974CBE"/>
    <w:rsid w:val="0097543F"/>
    <w:rsid w:val="00975ACB"/>
    <w:rsid w:val="0097778E"/>
    <w:rsid w:val="009777DC"/>
    <w:rsid w:val="00977DCD"/>
    <w:rsid w:val="009806DF"/>
    <w:rsid w:val="00983FC4"/>
    <w:rsid w:val="00986151"/>
    <w:rsid w:val="009865F5"/>
    <w:rsid w:val="00986CE2"/>
    <w:rsid w:val="00986DFF"/>
    <w:rsid w:val="00986F8E"/>
    <w:rsid w:val="00987345"/>
    <w:rsid w:val="009873CD"/>
    <w:rsid w:val="009873F5"/>
    <w:rsid w:val="00987DCE"/>
    <w:rsid w:val="00990A83"/>
    <w:rsid w:val="00990BEE"/>
    <w:rsid w:val="009917F9"/>
    <w:rsid w:val="00991C8F"/>
    <w:rsid w:val="0099218D"/>
    <w:rsid w:val="0099303C"/>
    <w:rsid w:val="00993398"/>
    <w:rsid w:val="00993A7C"/>
    <w:rsid w:val="00993BB8"/>
    <w:rsid w:val="009942AF"/>
    <w:rsid w:val="00994922"/>
    <w:rsid w:val="00995B97"/>
    <w:rsid w:val="009A0005"/>
    <w:rsid w:val="009A1F09"/>
    <w:rsid w:val="009A2C7B"/>
    <w:rsid w:val="009A3034"/>
    <w:rsid w:val="009A30F2"/>
    <w:rsid w:val="009A32BD"/>
    <w:rsid w:val="009A4DC6"/>
    <w:rsid w:val="009A55FF"/>
    <w:rsid w:val="009A58C8"/>
    <w:rsid w:val="009A5AA9"/>
    <w:rsid w:val="009A664B"/>
    <w:rsid w:val="009A7195"/>
    <w:rsid w:val="009B0398"/>
    <w:rsid w:val="009B09FD"/>
    <w:rsid w:val="009B1CFC"/>
    <w:rsid w:val="009B1EDD"/>
    <w:rsid w:val="009B2176"/>
    <w:rsid w:val="009B262D"/>
    <w:rsid w:val="009B4190"/>
    <w:rsid w:val="009B51AC"/>
    <w:rsid w:val="009C04FF"/>
    <w:rsid w:val="009C1B48"/>
    <w:rsid w:val="009C243B"/>
    <w:rsid w:val="009C2612"/>
    <w:rsid w:val="009C2EF5"/>
    <w:rsid w:val="009C3E40"/>
    <w:rsid w:val="009C3F72"/>
    <w:rsid w:val="009C406B"/>
    <w:rsid w:val="009C4137"/>
    <w:rsid w:val="009C5B0C"/>
    <w:rsid w:val="009D0414"/>
    <w:rsid w:val="009D1985"/>
    <w:rsid w:val="009D2809"/>
    <w:rsid w:val="009D2A05"/>
    <w:rsid w:val="009D2C0C"/>
    <w:rsid w:val="009D2E94"/>
    <w:rsid w:val="009D2EB6"/>
    <w:rsid w:val="009D44CC"/>
    <w:rsid w:val="009D44D3"/>
    <w:rsid w:val="009D4C6F"/>
    <w:rsid w:val="009D6810"/>
    <w:rsid w:val="009D6A32"/>
    <w:rsid w:val="009D6E02"/>
    <w:rsid w:val="009D768B"/>
    <w:rsid w:val="009D7D1C"/>
    <w:rsid w:val="009E00B4"/>
    <w:rsid w:val="009E0544"/>
    <w:rsid w:val="009E149E"/>
    <w:rsid w:val="009E1EEE"/>
    <w:rsid w:val="009E6844"/>
    <w:rsid w:val="009E713B"/>
    <w:rsid w:val="009E7C7A"/>
    <w:rsid w:val="009F0908"/>
    <w:rsid w:val="009F0E33"/>
    <w:rsid w:val="009F1CDD"/>
    <w:rsid w:val="009F1CFF"/>
    <w:rsid w:val="009F25F5"/>
    <w:rsid w:val="009F3124"/>
    <w:rsid w:val="009F3AE1"/>
    <w:rsid w:val="009F402A"/>
    <w:rsid w:val="009F4C2F"/>
    <w:rsid w:val="009F4D5E"/>
    <w:rsid w:val="009F580A"/>
    <w:rsid w:val="009F6E95"/>
    <w:rsid w:val="009F70C1"/>
    <w:rsid w:val="009F7AAD"/>
    <w:rsid w:val="009F7B2B"/>
    <w:rsid w:val="009F7B74"/>
    <w:rsid w:val="00A00FEF"/>
    <w:rsid w:val="00A011E0"/>
    <w:rsid w:val="00A01B37"/>
    <w:rsid w:val="00A02314"/>
    <w:rsid w:val="00A02E37"/>
    <w:rsid w:val="00A03E5C"/>
    <w:rsid w:val="00A048B7"/>
    <w:rsid w:val="00A04EE8"/>
    <w:rsid w:val="00A10918"/>
    <w:rsid w:val="00A11FA8"/>
    <w:rsid w:val="00A12849"/>
    <w:rsid w:val="00A13B24"/>
    <w:rsid w:val="00A13CB7"/>
    <w:rsid w:val="00A140B8"/>
    <w:rsid w:val="00A15376"/>
    <w:rsid w:val="00A15E37"/>
    <w:rsid w:val="00A15FF7"/>
    <w:rsid w:val="00A16068"/>
    <w:rsid w:val="00A1619F"/>
    <w:rsid w:val="00A16BC3"/>
    <w:rsid w:val="00A2155B"/>
    <w:rsid w:val="00A23532"/>
    <w:rsid w:val="00A23923"/>
    <w:rsid w:val="00A26A3A"/>
    <w:rsid w:val="00A2763A"/>
    <w:rsid w:val="00A27AEA"/>
    <w:rsid w:val="00A27F67"/>
    <w:rsid w:val="00A27FBB"/>
    <w:rsid w:val="00A341B8"/>
    <w:rsid w:val="00A3495F"/>
    <w:rsid w:val="00A40A8A"/>
    <w:rsid w:val="00A4218C"/>
    <w:rsid w:val="00A4289D"/>
    <w:rsid w:val="00A43567"/>
    <w:rsid w:val="00A44FF9"/>
    <w:rsid w:val="00A45692"/>
    <w:rsid w:val="00A45AAD"/>
    <w:rsid w:val="00A45BF2"/>
    <w:rsid w:val="00A45CB1"/>
    <w:rsid w:val="00A47587"/>
    <w:rsid w:val="00A50A7B"/>
    <w:rsid w:val="00A51CB7"/>
    <w:rsid w:val="00A54154"/>
    <w:rsid w:val="00A61106"/>
    <w:rsid w:val="00A61EF0"/>
    <w:rsid w:val="00A63028"/>
    <w:rsid w:val="00A63376"/>
    <w:rsid w:val="00A63B28"/>
    <w:rsid w:val="00A64397"/>
    <w:rsid w:val="00A64A5D"/>
    <w:rsid w:val="00A64D55"/>
    <w:rsid w:val="00A64EC3"/>
    <w:rsid w:val="00A64F39"/>
    <w:rsid w:val="00A65806"/>
    <w:rsid w:val="00A700EA"/>
    <w:rsid w:val="00A71DC0"/>
    <w:rsid w:val="00A72030"/>
    <w:rsid w:val="00A72E8E"/>
    <w:rsid w:val="00A73A7F"/>
    <w:rsid w:val="00A74AC8"/>
    <w:rsid w:val="00A75BF8"/>
    <w:rsid w:val="00A76A8F"/>
    <w:rsid w:val="00A76B31"/>
    <w:rsid w:val="00A7734A"/>
    <w:rsid w:val="00A811B3"/>
    <w:rsid w:val="00A8239F"/>
    <w:rsid w:val="00A82B47"/>
    <w:rsid w:val="00A84663"/>
    <w:rsid w:val="00A8470F"/>
    <w:rsid w:val="00A84D79"/>
    <w:rsid w:val="00A8540D"/>
    <w:rsid w:val="00A858A5"/>
    <w:rsid w:val="00A8692E"/>
    <w:rsid w:val="00A86D36"/>
    <w:rsid w:val="00A871D2"/>
    <w:rsid w:val="00A873BC"/>
    <w:rsid w:val="00A903F6"/>
    <w:rsid w:val="00A90CB0"/>
    <w:rsid w:val="00A92D0A"/>
    <w:rsid w:val="00A93082"/>
    <w:rsid w:val="00A936A1"/>
    <w:rsid w:val="00A95C3A"/>
    <w:rsid w:val="00A9668F"/>
    <w:rsid w:val="00AA1186"/>
    <w:rsid w:val="00AA134F"/>
    <w:rsid w:val="00AA139E"/>
    <w:rsid w:val="00AA15F4"/>
    <w:rsid w:val="00AA18A4"/>
    <w:rsid w:val="00AA3715"/>
    <w:rsid w:val="00AA3FC4"/>
    <w:rsid w:val="00AA7C5E"/>
    <w:rsid w:val="00AB02AA"/>
    <w:rsid w:val="00AB08D6"/>
    <w:rsid w:val="00AB0F13"/>
    <w:rsid w:val="00AB1CF7"/>
    <w:rsid w:val="00AB38E3"/>
    <w:rsid w:val="00AB43E1"/>
    <w:rsid w:val="00AB4C01"/>
    <w:rsid w:val="00AB5E56"/>
    <w:rsid w:val="00AB65F1"/>
    <w:rsid w:val="00AB76EC"/>
    <w:rsid w:val="00AB7BB3"/>
    <w:rsid w:val="00AC1EF1"/>
    <w:rsid w:val="00AC267C"/>
    <w:rsid w:val="00AC3E7D"/>
    <w:rsid w:val="00AC4417"/>
    <w:rsid w:val="00AC48B1"/>
    <w:rsid w:val="00AC4A97"/>
    <w:rsid w:val="00AC5F4F"/>
    <w:rsid w:val="00AC66ED"/>
    <w:rsid w:val="00AC687D"/>
    <w:rsid w:val="00AC6CB9"/>
    <w:rsid w:val="00AD21E6"/>
    <w:rsid w:val="00AD33B1"/>
    <w:rsid w:val="00AD6643"/>
    <w:rsid w:val="00AD73F6"/>
    <w:rsid w:val="00AE1EBC"/>
    <w:rsid w:val="00AE25C2"/>
    <w:rsid w:val="00AE3152"/>
    <w:rsid w:val="00AE370C"/>
    <w:rsid w:val="00AE397B"/>
    <w:rsid w:val="00AE53FF"/>
    <w:rsid w:val="00AE557E"/>
    <w:rsid w:val="00AE6145"/>
    <w:rsid w:val="00AE6474"/>
    <w:rsid w:val="00AE78E4"/>
    <w:rsid w:val="00AF0A0F"/>
    <w:rsid w:val="00AF1672"/>
    <w:rsid w:val="00AF1725"/>
    <w:rsid w:val="00AF1D57"/>
    <w:rsid w:val="00AF2CDE"/>
    <w:rsid w:val="00AF366D"/>
    <w:rsid w:val="00AF3CFD"/>
    <w:rsid w:val="00AF40B5"/>
    <w:rsid w:val="00AF4BD7"/>
    <w:rsid w:val="00AF574E"/>
    <w:rsid w:val="00AF691D"/>
    <w:rsid w:val="00AF71C9"/>
    <w:rsid w:val="00B01359"/>
    <w:rsid w:val="00B0384D"/>
    <w:rsid w:val="00B042EF"/>
    <w:rsid w:val="00B0650C"/>
    <w:rsid w:val="00B06BC8"/>
    <w:rsid w:val="00B06E25"/>
    <w:rsid w:val="00B06EE4"/>
    <w:rsid w:val="00B07026"/>
    <w:rsid w:val="00B0702B"/>
    <w:rsid w:val="00B07725"/>
    <w:rsid w:val="00B0777E"/>
    <w:rsid w:val="00B10056"/>
    <w:rsid w:val="00B13FD8"/>
    <w:rsid w:val="00B14BAF"/>
    <w:rsid w:val="00B159B4"/>
    <w:rsid w:val="00B159EF"/>
    <w:rsid w:val="00B17B77"/>
    <w:rsid w:val="00B17C83"/>
    <w:rsid w:val="00B2137C"/>
    <w:rsid w:val="00B213CE"/>
    <w:rsid w:val="00B218B6"/>
    <w:rsid w:val="00B22CD8"/>
    <w:rsid w:val="00B233C6"/>
    <w:rsid w:val="00B23AE7"/>
    <w:rsid w:val="00B24501"/>
    <w:rsid w:val="00B24A1B"/>
    <w:rsid w:val="00B24D69"/>
    <w:rsid w:val="00B26B8C"/>
    <w:rsid w:val="00B27AAB"/>
    <w:rsid w:val="00B30E07"/>
    <w:rsid w:val="00B32A7B"/>
    <w:rsid w:val="00B33513"/>
    <w:rsid w:val="00B336E5"/>
    <w:rsid w:val="00B33A6A"/>
    <w:rsid w:val="00B34174"/>
    <w:rsid w:val="00B3448D"/>
    <w:rsid w:val="00B350C1"/>
    <w:rsid w:val="00B368F5"/>
    <w:rsid w:val="00B369A3"/>
    <w:rsid w:val="00B3731F"/>
    <w:rsid w:val="00B4188A"/>
    <w:rsid w:val="00B4202D"/>
    <w:rsid w:val="00B42F88"/>
    <w:rsid w:val="00B4514B"/>
    <w:rsid w:val="00B45395"/>
    <w:rsid w:val="00B45866"/>
    <w:rsid w:val="00B45EF3"/>
    <w:rsid w:val="00B474A3"/>
    <w:rsid w:val="00B50E68"/>
    <w:rsid w:val="00B533A5"/>
    <w:rsid w:val="00B5442E"/>
    <w:rsid w:val="00B54E2B"/>
    <w:rsid w:val="00B54ECB"/>
    <w:rsid w:val="00B54F8B"/>
    <w:rsid w:val="00B551DB"/>
    <w:rsid w:val="00B5527F"/>
    <w:rsid w:val="00B55C1F"/>
    <w:rsid w:val="00B60201"/>
    <w:rsid w:val="00B60267"/>
    <w:rsid w:val="00B60B62"/>
    <w:rsid w:val="00B6179A"/>
    <w:rsid w:val="00B617AE"/>
    <w:rsid w:val="00B61D85"/>
    <w:rsid w:val="00B61D8E"/>
    <w:rsid w:val="00B62AF2"/>
    <w:rsid w:val="00B633F6"/>
    <w:rsid w:val="00B665B2"/>
    <w:rsid w:val="00B724A5"/>
    <w:rsid w:val="00B72B26"/>
    <w:rsid w:val="00B735B1"/>
    <w:rsid w:val="00B76D92"/>
    <w:rsid w:val="00B779DE"/>
    <w:rsid w:val="00B77CFB"/>
    <w:rsid w:val="00B80243"/>
    <w:rsid w:val="00B80DD2"/>
    <w:rsid w:val="00B811CE"/>
    <w:rsid w:val="00B82C46"/>
    <w:rsid w:val="00B8362F"/>
    <w:rsid w:val="00B8472F"/>
    <w:rsid w:val="00B85603"/>
    <w:rsid w:val="00B85A15"/>
    <w:rsid w:val="00B85C29"/>
    <w:rsid w:val="00B879EC"/>
    <w:rsid w:val="00B87A9A"/>
    <w:rsid w:val="00B90A40"/>
    <w:rsid w:val="00B90EEA"/>
    <w:rsid w:val="00B9164D"/>
    <w:rsid w:val="00B917E4"/>
    <w:rsid w:val="00B92989"/>
    <w:rsid w:val="00B92A09"/>
    <w:rsid w:val="00B92C05"/>
    <w:rsid w:val="00B93158"/>
    <w:rsid w:val="00B932AC"/>
    <w:rsid w:val="00B93926"/>
    <w:rsid w:val="00B93D89"/>
    <w:rsid w:val="00B9478A"/>
    <w:rsid w:val="00B96E00"/>
    <w:rsid w:val="00B97263"/>
    <w:rsid w:val="00B97C08"/>
    <w:rsid w:val="00B97F1A"/>
    <w:rsid w:val="00BA0954"/>
    <w:rsid w:val="00BA212C"/>
    <w:rsid w:val="00BA3268"/>
    <w:rsid w:val="00BA4044"/>
    <w:rsid w:val="00BA47C6"/>
    <w:rsid w:val="00BA5AE1"/>
    <w:rsid w:val="00BA7AAD"/>
    <w:rsid w:val="00BA7D8B"/>
    <w:rsid w:val="00BB09BF"/>
    <w:rsid w:val="00BB3D41"/>
    <w:rsid w:val="00BB43E7"/>
    <w:rsid w:val="00BB60B2"/>
    <w:rsid w:val="00BB7488"/>
    <w:rsid w:val="00BC10A9"/>
    <w:rsid w:val="00BC2133"/>
    <w:rsid w:val="00BC2BBE"/>
    <w:rsid w:val="00BC3664"/>
    <w:rsid w:val="00BC413A"/>
    <w:rsid w:val="00BC41C3"/>
    <w:rsid w:val="00BC522A"/>
    <w:rsid w:val="00BC65CB"/>
    <w:rsid w:val="00BC6600"/>
    <w:rsid w:val="00BD12F4"/>
    <w:rsid w:val="00BD2240"/>
    <w:rsid w:val="00BD35BC"/>
    <w:rsid w:val="00BD3F15"/>
    <w:rsid w:val="00BD40E1"/>
    <w:rsid w:val="00BD44F4"/>
    <w:rsid w:val="00BD45ED"/>
    <w:rsid w:val="00BE0687"/>
    <w:rsid w:val="00BE0977"/>
    <w:rsid w:val="00BE1432"/>
    <w:rsid w:val="00BE2C7D"/>
    <w:rsid w:val="00BE59A4"/>
    <w:rsid w:val="00BE7886"/>
    <w:rsid w:val="00BF0FC1"/>
    <w:rsid w:val="00BF171A"/>
    <w:rsid w:val="00BF25CA"/>
    <w:rsid w:val="00BF41DA"/>
    <w:rsid w:val="00BF511C"/>
    <w:rsid w:val="00BF56D3"/>
    <w:rsid w:val="00BF5ECE"/>
    <w:rsid w:val="00BF78F9"/>
    <w:rsid w:val="00C00DB6"/>
    <w:rsid w:val="00C02866"/>
    <w:rsid w:val="00C02AD0"/>
    <w:rsid w:val="00C044E2"/>
    <w:rsid w:val="00C059C6"/>
    <w:rsid w:val="00C065A6"/>
    <w:rsid w:val="00C07B50"/>
    <w:rsid w:val="00C10A2E"/>
    <w:rsid w:val="00C118B0"/>
    <w:rsid w:val="00C12B87"/>
    <w:rsid w:val="00C13FBF"/>
    <w:rsid w:val="00C14192"/>
    <w:rsid w:val="00C1588A"/>
    <w:rsid w:val="00C17E92"/>
    <w:rsid w:val="00C20A4B"/>
    <w:rsid w:val="00C20C4A"/>
    <w:rsid w:val="00C21FB6"/>
    <w:rsid w:val="00C23CDA"/>
    <w:rsid w:val="00C23D2F"/>
    <w:rsid w:val="00C242C9"/>
    <w:rsid w:val="00C246A9"/>
    <w:rsid w:val="00C2509A"/>
    <w:rsid w:val="00C25EC0"/>
    <w:rsid w:val="00C27917"/>
    <w:rsid w:val="00C30263"/>
    <w:rsid w:val="00C31325"/>
    <w:rsid w:val="00C31A1E"/>
    <w:rsid w:val="00C31CF6"/>
    <w:rsid w:val="00C32B36"/>
    <w:rsid w:val="00C34394"/>
    <w:rsid w:val="00C3484F"/>
    <w:rsid w:val="00C34F28"/>
    <w:rsid w:val="00C357C4"/>
    <w:rsid w:val="00C368A9"/>
    <w:rsid w:val="00C36B99"/>
    <w:rsid w:val="00C37CB3"/>
    <w:rsid w:val="00C406EA"/>
    <w:rsid w:val="00C41F32"/>
    <w:rsid w:val="00C423D9"/>
    <w:rsid w:val="00C451FD"/>
    <w:rsid w:val="00C4536F"/>
    <w:rsid w:val="00C4687F"/>
    <w:rsid w:val="00C4785D"/>
    <w:rsid w:val="00C47F9A"/>
    <w:rsid w:val="00C50292"/>
    <w:rsid w:val="00C50875"/>
    <w:rsid w:val="00C508D1"/>
    <w:rsid w:val="00C51CF8"/>
    <w:rsid w:val="00C524DC"/>
    <w:rsid w:val="00C546FF"/>
    <w:rsid w:val="00C5498A"/>
    <w:rsid w:val="00C54DBF"/>
    <w:rsid w:val="00C54F12"/>
    <w:rsid w:val="00C561A1"/>
    <w:rsid w:val="00C56C58"/>
    <w:rsid w:val="00C623B5"/>
    <w:rsid w:val="00C66288"/>
    <w:rsid w:val="00C6677F"/>
    <w:rsid w:val="00C66F22"/>
    <w:rsid w:val="00C703C6"/>
    <w:rsid w:val="00C71869"/>
    <w:rsid w:val="00C7223F"/>
    <w:rsid w:val="00C72A49"/>
    <w:rsid w:val="00C735D6"/>
    <w:rsid w:val="00C74448"/>
    <w:rsid w:val="00C75528"/>
    <w:rsid w:val="00C763BB"/>
    <w:rsid w:val="00C763D7"/>
    <w:rsid w:val="00C776AB"/>
    <w:rsid w:val="00C80A25"/>
    <w:rsid w:val="00C81435"/>
    <w:rsid w:val="00C82F43"/>
    <w:rsid w:val="00C83E2B"/>
    <w:rsid w:val="00C86428"/>
    <w:rsid w:val="00C90228"/>
    <w:rsid w:val="00C90DC1"/>
    <w:rsid w:val="00C912C0"/>
    <w:rsid w:val="00C91597"/>
    <w:rsid w:val="00C919E2"/>
    <w:rsid w:val="00C92D31"/>
    <w:rsid w:val="00C94659"/>
    <w:rsid w:val="00C96CD5"/>
    <w:rsid w:val="00C96F0C"/>
    <w:rsid w:val="00C97488"/>
    <w:rsid w:val="00C97BC1"/>
    <w:rsid w:val="00C97F78"/>
    <w:rsid w:val="00CA185F"/>
    <w:rsid w:val="00CA196C"/>
    <w:rsid w:val="00CA29A2"/>
    <w:rsid w:val="00CA2A62"/>
    <w:rsid w:val="00CA485A"/>
    <w:rsid w:val="00CA618E"/>
    <w:rsid w:val="00CB0296"/>
    <w:rsid w:val="00CB0907"/>
    <w:rsid w:val="00CB1D61"/>
    <w:rsid w:val="00CB2BF7"/>
    <w:rsid w:val="00CB3220"/>
    <w:rsid w:val="00CB3A8F"/>
    <w:rsid w:val="00CB554E"/>
    <w:rsid w:val="00CB56E4"/>
    <w:rsid w:val="00CB6C14"/>
    <w:rsid w:val="00CB6F95"/>
    <w:rsid w:val="00CB7DDA"/>
    <w:rsid w:val="00CC04DC"/>
    <w:rsid w:val="00CC0EE0"/>
    <w:rsid w:val="00CC2787"/>
    <w:rsid w:val="00CC4E6F"/>
    <w:rsid w:val="00CC7EBD"/>
    <w:rsid w:val="00CD02C2"/>
    <w:rsid w:val="00CD0B32"/>
    <w:rsid w:val="00CD10B1"/>
    <w:rsid w:val="00CD212B"/>
    <w:rsid w:val="00CD2627"/>
    <w:rsid w:val="00CD28CA"/>
    <w:rsid w:val="00CD3E3F"/>
    <w:rsid w:val="00CD5582"/>
    <w:rsid w:val="00CD6259"/>
    <w:rsid w:val="00CD6A3E"/>
    <w:rsid w:val="00CE0755"/>
    <w:rsid w:val="00CE1479"/>
    <w:rsid w:val="00CE1856"/>
    <w:rsid w:val="00CE30F1"/>
    <w:rsid w:val="00CE4ABB"/>
    <w:rsid w:val="00CE4C88"/>
    <w:rsid w:val="00CE4E38"/>
    <w:rsid w:val="00CE5A79"/>
    <w:rsid w:val="00CE5C09"/>
    <w:rsid w:val="00CE5EC2"/>
    <w:rsid w:val="00CE709A"/>
    <w:rsid w:val="00CF1AE8"/>
    <w:rsid w:val="00CF21F4"/>
    <w:rsid w:val="00CF39C8"/>
    <w:rsid w:val="00CF73B9"/>
    <w:rsid w:val="00D00039"/>
    <w:rsid w:val="00D005A0"/>
    <w:rsid w:val="00D0239E"/>
    <w:rsid w:val="00D026E7"/>
    <w:rsid w:val="00D02D73"/>
    <w:rsid w:val="00D0396D"/>
    <w:rsid w:val="00D03A42"/>
    <w:rsid w:val="00D06E91"/>
    <w:rsid w:val="00D10B8C"/>
    <w:rsid w:val="00D11130"/>
    <w:rsid w:val="00D11902"/>
    <w:rsid w:val="00D131DD"/>
    <w:rsid w:val="00D13D98"/>
    <w:rsid w:val="00D16172"/>
    <w:rsid w:val="00D17EEC"/>
    <w:rsid w:val="00D20803"/>
    <w:rsid w:val="00D21B26"/>
    <w:rsid w:val="00D220FA"/>
    <w:rsid w:val="00D239CA"/>
    <w:rsid w:val="00D24FA9"/>
    <w:rsid w:val="00D26902"/>
    <w:rsid w:val="00D2691C"/>
    <w:rsid w:val="00D26BC2"/>
    <w:rsid w:val="00D27A4A"/>
    <w:rsid w:val="00D27DF4"/>
    <w:rsid w:val="00D30D08"/>
    <w:rsid w:val="00D316A5"/>
    <w:rsid w:val="00D319D7"/>
    <w:rsid w:val="00D31BA0"/>
    <w:rsid w:val="00D36872"/>
    <w:rsid w:val="00D37780"/>
    <w:rsid w:val="00D40305"/>
    <w:rsid w:val="00D413FC"/>
    <w:rsid w:val="00D4291D"/>
    <w:rsid w:val="00D4304F"/>
    <w:rsid w:val="00D434B4"/>
    <w:rsid w:val="00D440F9"/>
    <w:rsid w:val="00D446AA"/>
    <w:rsid w:val="00D45477"/>
    <w:rsid w:val="00D45BA9"/>
    <w:rsid w:val="00D47441"/>
    <w:rsid w:val="00D475A2"/>
    <w:rsid w:val="00D47B11"/>
    <w:rsid w:val="00D51D6C"/>
    <w:rsid w:val="00D5207B"/>
    <w:rsid w:val="00D5270F"/>
    <w:rsid w:val="00D52BEA"/>
    <w:rsid w:val="00D55256"/>
    <w:rsid w:val="00D55EF3"/>
    <w:rsid w:val="00D60863"/>
    <w:rsid w:val="00D60FB5"/>
    <w:rsid w:val="00D62E76"/>
    <w:rsid w:val="00D632B8"/>
    <w:rsid w:val="00D64951"/>
    <w:rsid w:val="00D65905"/>
    <w:rsid w:val="00D65FF8"/>
    <w:rsid w:val="00D660C9"/>
    <w:rsid w:val="00D67BA0"/>
    <w:rsid w:val="00D7009A"/>
    <w:rsid w:val="00D70DAA"/>
    <w:rsid w:val="00D73A00"/>
    <w:rsid w:val="00D73EF3"/>
    <w:rsid w:val="00D74467"/>
    <w:rsid w:val="00D760C2"/>
    <w:rsid w:val="00D76F06"/>
    <w:rsid w:val="00D802FF"/>
    <w:rsid w:val="00D8190D"/>
    <w:rsid w:val="00D82A1D"/>
    <w:rsid w:val="00D834D4"/>
    <w:rsid w:val="00D8603E"/>
    <w:rsid w:val="00D8633C"/>
    <w:rsid w:val="00D86B3B"/>
    <w:rsid w:val="00D8744D"/>
    <w:rsid w:val="00D8773D"/>
    <w:rsid w:val="00D90BD3"/>
    <w:rsid w:val="00D90E76"/>
    <w:rsid w:val="00D933BD"/>
    <w:rsid w:val="00D93794"/>
    <w:rsid w:val="00D93D37"/>
    <w:rsid w:val="00D950A8"/>
    <w:rsid w:val="00D95428"/>
    <w:rsid w:val="00D96130"/>
    <w:rsid w:val="00D96131"/>
    <w:rsid w:val="00D97B0F"/>
    <w:rsid w:val="00DA021B"/>
    <w:rsid w:val="00DA04CA"/>
    <w:rsid w:val="00DA07F8"/>
    <w:rsid w:val="00DA0822"/>
    <w:rsid w:val="00DA2DBF"/>
    <w:rsid w:val="00DA2E67"/>
    <w:rsid w:val="00DA3FC9"/>
    <w:rsid w:val="00DA44D5"/>
    <w:rsid w:val="00DA4D64"/>
    <w:rsid w:val="00DA5951"/>
    <w:rsid w:val="00DA680A"/>
    <w:rsid w:val="00DA7AE7"/>
    <w:rsid w:val="00DB0110"/>
    <w:rsid w:val="00DB20F4"/>
    <w:rsid w:val="00DB5B0A"/>
    <w:rsid w:val="00DB6978"/>
    <w:rsid w:val="00DB6CEA"/>
    <w:rsid w:val="00DC0A11"/>
    <w:rsid w:val="00DC12AE"/>
    <w:rsid w:val="00DC1D18"/>
    <w:rsid w:val="00DC375C"/>
    <w:rsid w:val="00DC4192"/>
    <w:rsid w:val="00DC4DA7"/>
    <w:rsid w:val="00DC524B"/>
    <w:rsid w:val="00DC5563"/>
    <w:rsid w:val="00DC5A26"/>
    <w:rsid w:val="00DC5F5E"/>
    <w:rsid w:val="00DC7150"/>
    <w:rsid w:val="00DD0361"/>
    <w:rsid w:val="00DD09B1"/>
    <w:rsid w:val="00DD0C83"/>
    <w:rsid w:val="00DD1585"/>
    <w:rsid w:val="00DD17A0"/>
    <w:rsid w:val="00DD2D15"/>
    <w:rsid w:val="00DD2E34"/>
    <w:rsid w:val="00DD6421"/>
    <w:rsid w:val="00DE130F"/>
    <w:rsid w:val="00DE1895"/>
    <w:rsid w:val="00DE27DE"/>
    <w:rsid w:val="00DE5326"/>
    <w:rsid w:val="00DE548B"/>
    <w:rsid w:val="00DE5EB9"/>
    <w:rsid w:val="00DE62E7"/>
    <w:rsid w:val="00DE6638"/>
    <w:rsid w:val="00DE7C63"/>
    <w:rsid w:val="00DF44F8"/>
    <w:rsid w:val="00DF48A8"/>
    <w:rsid w:val="00DF5089"/>
    <w:rsid w:val="00DF55B1"/>
    <w:rsid w:val="00DF5794"/>
    <w:rsid w:val="00DF587E"/>
    <w:rsid w:val="00DF5E1B"/>
    <w:rsid w:val="00DF607C"/>
    <w:rsid w:val="00DF780B"/>
    <w:rsid w:val="00E0240E"/>
    <w:rsid w:val="00E02527"/>
    <w:rsid w:val="00E0265A"/>
    <w:rsid w:val="00E02F18"/>
    <w:rsid w:val="00E040E8"/>
    <w:rsid w:val="00E06C1B"/>
    <w:rsid w:val="00E07AF6"/>
    <w:rsid w:val="00E07E1D"/>
    <w:rsid w:val="00E11AD6"/>
    <w:rsid w:val="00E13031"/>
    <w:rsid w:val="00E13564"/>
    <w:rsid w:val="00E1360E"/>
    <w:rsid w:val="00E15DF2"/>
    <w:rsid w:val="00E162B6"/>
    <w:rsid w:val="00E21C29"/>
    <w:rsid w:val="00E22572"/>
    <w:rsid w:val="00E2289E"/>
    <w:rsid w:val="00E23502"/>
    <w:rsid w:val="00E24567"/>
    <w:rsid w:val="00E25B1B"/>
    <w:rsid w:val="00E26242"/>
    <w:rsid w:val="00E268CF"/>
    <w:rsid w:val="00E277A9"/>
    <w:rsid w:val="00E31020"/>
    <w:rsid w:val="00E31889"/>
    <w:rsid w:val="00E32447"/>
    <w:rsid w:val="00E32EBE"/>
    <w:rsid w:val="00E33F48"/>
    <w:rsid w:val="00E34062"/>
    <w:rsid w:val="00E34481"/>
    <w:rsid w:val="00E347E3"/>
    <w:rsid w:val="00E35466"/>
    <w:rsid w:val="00E35591"/>
    <w:rsid w:val="00E36889"/>
    <w:rsid w:val="00E36F6D"/>
    <w:rsid w:val="00E40306"/>
    <w:rsid w:val="00E4119F"/>
    <w:rsid w:val="00E412A3"/>
    <w:rsid w:val="00E41431"/>
    <w:rsid w:val="00E42249"/>
    <w:rsid w:val="00E4252E"/>
    <w:rsid w:val="00E43AD4"/>
    <w:rsid w:val="00E43C63"/>
    <w:rsid w:val="00E45464"/>
    <w:rsid w:val="00E45F88"/>
    <w:rsid w:val="00E479CB"/>
    <w:rsid w:val="00E502A3"/>
    <w:rsid w:val="00E506CF"/>
    <w:rsid w:val="00E50A4E"/>
    <w:rsid w:val="00E5281E"/>
    <w:rsid w:val="00E5314B"/>
    <w:rsid w:val="00E533B4"/>
    <w:rsid w:val="00E538AE"/>
    <w:rsid w:val="00E53F12"/>
    <w:rsid w:val="00E54CA1"/>
    <w:rsid w:val="00E55106"/>
    <w:rsid w:val="00E57DED"/>
    <w:rsid w:val="00E60960"/>
    <w:rsid w:val="00E60D0B"/>
    <w:rsid w:val="00E62F1A"/>
    <w:rsid w:val="00E631D6"/>
    <w:rsid w:val="00E65FC4"/>
    <w:rsid w:val="00E66CDA"/>
    <w:rsid w:val="00E66E6D"/>
    <w:rsid w:val="00E6746E"/>
    <w:rsid w:val="00E67D7B"/>
    <w:rsid w:val="00E67EC4"/>
    <w:rsid w:val="00E70155"/>
    <w:rsid w:val="00E705A3"/>
    <w:rsid w:val="00E70902"/>
    <w:rsid w:val="00E70A5D"/>
    <w:rsid w:val="00E70ADE"/>
    <w:rsid w:val="00E71041"/>
    <w:rsid w:val="00E71AC0"/>
    <w:rsid w:val="00E72D16"/>
    <w:rsid w:val="00E7330D"/>
    <w:rsid w:val="00E736D9"/>
    <w:rsid w:val="00E74FF4"/>
    <w:rsid w:val="00E7507E"/>
    <w:rsid w:val="00E75F75"/>
    <w:rsid w:val="00E770DC"/>
    <w:rsid w:val="00E81E93"/>
    <w:rsid w:val="00E82407"/>
    <w:rsid w:val="00E82495"/>
    <w:rsid w:val="00E828C8"/>
    <w:rsid w:val="00E83924"/>
    <w:rsid w:val="00E86845"/>
    <w:rsid w:val="00E8691B"/>
    <w:rsid w:val="00E8720D"/>
    <w:rsid w:val="00E87999"/>
    <w:rsid w:val="00E904F7"/>
    <w:rsid w:val="00E917A7"/>
    <w:rsid w:val="00E91BD9"/>
    <w:rsid w:val="00E921EE"/>
    <w:rsid w:val="00E93664"/>
    <w:rsid w:val="00E939DC"/>
    <w:rsid w:val="00E94582"/>
    <w:rsid w:val="00EA0026"/>
    <w:rsid w:val="00EA00CA"/>
    <w:rsid w:val="00EA09D6"/>
    <w:rsid w:val="00EA0F44"/>
    <w:rsid w:val="00EA1E82"/>
    <w:rsid w:val="00EA2621"/>
    <w:rsid w:val="00EA4B3C"/>
    <w:rsid w:val="00EA4DDF"/>
    <w:rsid w:val="00EA51EF"/>
    <w:rsid w:val="00EA52E9"/>
    <w:rsid w:val="00EA5CAD"/>
    <w:rsid w:val="00EA75AE"/>
    <w:rsid w:val="00EB05E7"/>
    <w:rsid w:val="00EB1447"/>
    <w:rsid w:val="00EB163F"/>
    <w:rsid w:val="00EB1DB1"/>
    <w:rsid w:val="00EB1F83"/>
    <w:rsid w:val="00EB2266"/>
    <w:rsid w:val="00EB2ACF"/>
    <w:rsid w:val="00EB4C5D"/>
    <w:rsid w:val="00EB5A27"/>
    <w:rsid w:val="00EB5F09"/>
    <w:rsid w:val="00EB62C6"/>
    <w:rsid w:val="00EB7A43"/>
    <w:rsid w:val="00EC25DF"/>
    <w:rsid w:val="00EC26A4"/>
    <w:rsid w:val="00EC3846"/>
    <w:rsid w:val="00EC3F19"/>
    <w:rsid w:val="00EC407D"/>
    <w:rsid w:val="00EC7599"/>
    <w:rsid w:val="00EC7AA3"/>
    <w:rsid w:val="00ED0F3D"/>
    <w:rsid w:val="00ED2EE3"/>
    <w:rsid w:val="00ED3EA7"/>
    <w:rsid w:val="00ED4519"/>
    <w:rsid w:val="00ED47A0"/>
    <w:rsid w:val="00ED51A8"/>
    <w:rsid w:val="00ED6AAD"/>
    <w:rsid w:val="00ED7349"/>
    <w:rsid w:val="00EE2479"/>
    <w:rsid w:val="00EE3B19"/>
    <w:rsid w:val="00EE5445"/>
    <w:rsid w:val="00EE63DC"/>
    <w:rsid w:val="00EE68A4"/>
    <w:rsid w:val="00EE7D9A"/>
    <w:rsid w:val="00EF0879"/>
    <w:rsid w:val="00EF0DAF"/>
    <w:rsid w:val="00EF1224"/>
    <w:rsid w:val="00EF28A9"/>
    <w:rsid w:val="00EF4D11"/>
    <w:rsid w:val="00EF564B"/>
    <w:rsid w:val="00EF5B55"/>
    <w:rsid w:val="00EF6510"/>
    <w:rsid w:val="00EF6F0A"/>
    <w:rsid w:val="00EF73B0"/>
    <w:rsid w:val="00EF7B76"/>
    <w:rsid w:val="00F01E32"/>
    <w:rsid w:val="00F02F4B"/>
    <w:rsid w:val="00F030CF"/>
    <w:rsid w:val="00F0470E"/>
    <w:rsid w:val="00F04E60"/>
    <w:rsid w:val="00F05D0C"/>
    <w:rsid w:val="00F068D5"/>
    <w:rsid w:val="00F07AF9"/>
    <w:rsid w:val="00F10212"/>
    <w:rsid w:val="00F102A8"/>
    <w:rsid w:val="00F11B08"/>
    <w:rsid w:val="00F11CAB"/>
    <w:rsid w:val="00F12387"/>
    <w:rsid w:val="00F13248"/>
    <w:rsid w:val="00F1496C"/>
    <w:rsid w:val="00F14D33"/>
    <w:rsid w:val="00F152CE"/>
    <w:rsid w:val="00F15D24"/>
    <w:rsid w:val="00F2058C"/>
    <w:rsid w:val="00F20992"/>
    <w:rsid w:val="00F2275C"/>
    <w:rsid w:val="00F23E2B"/>
    <w:rsid w:val="00F26B1C"/>
    <w:rsid w:val="00F3130F"/>
    <w:rsid w:val="00F31E52"/>
    <w:rsid w:val="00F31F23"/>
    <w:rsid w:val="00F32007"/>
    <w:rsid w:val="00F327E9"/>
    <w:rsid w:val="00F3299B"/>
    <w:rsid w:val="00F32C06"/>
    <w:rsid w:val="00F32DBB"/>
    <w:rsid w:val="00F337AC"/>
    <w:rsid w:val="00F33FA5"/>
    <w:rsid w:val="00F3661C"/>
    <w:rsid w:val="00F36C08"/>
    <w:rsid w:val="00F36C7D"/>
    <w:rsid w:val="00F37B1F"/>
    <w:rsid w:val="00F37E5F"/>
    <w:rsid w:val="00F41927"/>
    <w:rsid w:val="00F41D2E"/>
    <w:rsid w:val="00F42005"/>
    <w:rsid w:val="00F4380E"/>
    <w:rsid w:val="00F43AEA"/>
    <w:rsid w:val="00F4457E"/>
    <w:rsid w:val="00F45A67"/>
    <w:rsid w:val="00F45FB8"/>
    <w:rsid w:val="00F46A24"/>
    <w:rsid w:val="00F46D3B"/>
    <w:rsid w:val="00F51B62"/>
    <w:rsid w:val="00F53C65"/>
    <w:rsid w:val="00F53F85"/>
    <w:rsid w:val="00F54CA6"/>
    <w:rsid w:val="00F55946"/>
    <w:rsid w:val="00F55B86"/>
    <w:rsid w:val="00F560AC"/>
    <w:rsid w:val="00F560C0"/>
    <w:rsid w:val="00F5616A"/>
    <w:rsid w:val="00F56436"/>
    <w:rsid w:val="00F56A11"/>
    <w:rsid w:val="00F575CB"/>
    <w:rsid w:val="00F61CBA"/>
    <w:rsid w:val="00F61E4E"/>
    <w:rsid w:val="00F622BB"/>
    <w:rsid w:val="00F626BE"/>
    <w:rsid w:val="00F62A52"/>
    <w:rsid w:val="00F62CF3"/>
    <w:rsid w:val="00F62EBC"/>
    <w:rsid w:val="00F6428B"/>
    <w:rsid w:val="00F6484B"/>
    <w:rsid w:val="00F64EBB"/>
    <w:rsid w:val="00F64FA9"/>
    <w:rsid w:val="00F64FC3"/>
    <w:rsid w:val="00F66708"/>
    <w:rsid w:val="00F66B94"/>
    <w:rsid w:val="00F67FE7"/>
    <w:rsid w:val="00F71005"/>
    <w:rsid w:val="00F710F1"/>
    <w:rsid w:val="00F71357"/>
    <w:rsid w:val="00F7278C"/>
    <w:rsid w:val="00F72DA4"/>
    <w:rsid w:val="00F740E2"/>
    <w:rsid w:val="00F74C96"/>
    <w:rsid w:val="00F76055"/>
    <w:rsid w:val="00F76526"/>
    <w:rsid w:val="00F770B4"/>
    <w:rsid w:val="00F77868"/>
    <w:rsid w:val="00F81001"/>
    <w:rsid w:val="00F810A1"/>
    <w:rsid w:val="00F81113"/>
    <w:rsid w:val="00F81278"/>
    <w:rsid w:val="00F813B3"/>
    <w:rsid w:val="00F81FFA"/>
    <w:rsid w:val="00F829F6"/>
    <w:rsid w:val="00F82D10"/>
    <w:rsid w:val="00F8320A"/>
    <w:rsid w:val="00F832F2"/>
    <w:rsid w:val="00F85776"/>
    <w:rsid w:val="00F85930"/>
    <w:rsid w:val="00F867DA"/>
    <w:rsid w:val="00F86DFD"/>
    <w:rsid w:val="00F86E35"/>
    <w:rsid w:val="00F86F6D"/>
    <w:rsid w:val="00F87E97"/>
    <w:rsid w:val="00F92A93"/>
    <w:rsid w:val="00FA0DC5"/>
    <w:rsid w:val="00FA1319"/>
    <w:rsid w:val="00FA228E"/>
    <w:rsid w:val="00FA35EF"/>
    <w:rsid w:val="00FA3942"/>
    <w:rsid w:val="00FA51D3"/>
    <w:rsid w:val="00FA55C4"/>
    <w:rsid w:val="00FA67F8"/>
    <w:rsid w:val="00FA6D21"/>
    <w:rsid w:val="00FB2BA7"/>
    <w:rsid w:val="00FB3685"/>
    <w:rsid w:val="00FB44E2"/>
    <w:rsid w:val="00FB4B62"/>
    <w:rsid w:val="00FB50C5"/>
    <w:rsid w:val="00FB54F2"/>
    <w:rsid w:val="00FB6BC0"/>
    <w:rsid w:val="00FB7729"/>
    <w:rsid w:val="00FB7918"/>
    <w:rsid w:val="00FB7F6A"/>
    <w:rsid w:val="00FC059F"/>
    <w:rsid w:val="00FC0673"/>
    <w:rsid w:val="00FC244F"/>
    <w:rsid w:val="00FC25C6"/>
    <w:rsid w:val="00FC2851"/>
    <w:rsid w:val="00FC2FD9"/>
    <w:rsid w:val="00FC360C"/>
    <w:rsid w:val="00FC3735"/>
    <w:rsid w:val="00FC5549"/>
    <w:rsid w:val="00FC58EF"/>
    <w:rsid w:val="00FC6D17"/>
    <w:rsid w:val="00FD0225"/>
    <w:rsid w:val="00FD0ED4"/>
    <w:rsid w:val="00FD2D55"/>
    <w:rsid w:val="00FD33FB"/>
    <w:rsid w:val="00FD3926"/>
    <w:rsid w:val="00FD3F25"/>
    <w:rsid w:val="00FD59E1"/>
    <w:rsid w:val="00FD7402"/>
    <w:rsid w:val="00FE05D6"/>
    <w:rsid w:val="00FE1598"/>
    <w:rsid w:val="00FE23A9"/>
    <w:rsid w:val="00FE30BD"/>
    <w:rsid w:val="00FE346E"/>
    <w:rsid w:val="00FE467F"/>
    <w:rsid w:val="00FE4EF2"/>
    <w:rsid w:val="00FE5332"/>
    <w:rsid w:val="00FE65FC"/>
    <w:rsid w:val="00FE6A1E"/>
    <w:rsid w:val="00FE71B8"/>
    <w:rsid w:val="00FE730D"/>
    <w:rsid w:val="00FF0294"/>
    <w:rsid w:val="00FF02B9"/>
    <w:rsid w:val="00FF0B59"/>
    <w:rsid w:val="00FF1EFF"/>
    <w:rsid w:val="00FF21A1"/>
    <w:rsid w:val="00FF2408"/>
    <w:rsid w:val="00FF24AB"/>
    <w:rsid w:val="00FF46C4"/>
    <w:rsid w:val="00FF5AC4"/>
    <w:rsid w:val="00FF5B90"/>
    <w:rsid w:val="00FF71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1CF989C"/>
  <w15:docId w15:val="{572033F9-6EC1-43BC-BC62-B45B20D6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D49A6"/>
    <w:pPr>
      <w:tabs>
        <w:tab w:val="left" w:pos="7368"/>
      </w:tabs>
    </w:pPr>
    <w:rPr>
      <w:rFonts w:ascii="Arial" w:hAnsi="Arial" w:cs="Arial"/>
    </w:rPr>
  </w:style>
  <w:style w:type="paragraph" w:styleId="Heading1">
    <w:name w:val="heading 1"/>
    <w:aliases w:val="L1 Heading (Divider),Level 1 Chapter Heading_TEMPLE,~SectionHeading,Chapter Heading,Savell Bird..,Section Heading,Chapter,Chapter head,L1,CH,. (1.0),Do Not Use,Heading 1 - chapter,H1,H11,H12,Heading,Chapter1,Chapter2,Oscar Faber 1,Numbered 1"/>
    <w:next w:val="Heading2"/>
    <w:link w:val="Heading1Char"/>
    <w:qFormat/>
    <w:rsid w:val="005331C7"/>
    <w:pPr>
      <w:keepNext/>
      <w:pageBreakBefore/>
      <w:numPr>
        <w:numId w:val="1"/>
      </w:numPr>
      <w:spacing w:before="200" w:after="0" w:line="360" w:lineRule="atLeast"/>
      <w:outlineLvl w:val="0"/>
    </w:pPr>
    <w:rPr>
      <w:rFonts w:ascii="Arial" w:eastAsiaTheme="majorEastAsia" w:hAnsi="Arial" w:cs="Arial"/>
      <w:b/>
      <w:bCs/>
      <w:smallCaps/>
      <w:color w:val="002159"/>
      <w:sz w:val="36"/>
      <w:szCs w:val="28"/>
    </w:rPr>
  </w:style>
  <w:style w:type="paragraph" w:styleId="Heading2">
    <w:name w:val="heading 2"/>
    <w:aliases w:val="L2 Heading,Level 2 Sub Heading_TEMPLE,Head2,H2,level 2,Ramboll Heading 2,Handover Heading 2,Numbered - 2,Section,Oscar Faber 2,Numbered 2,DHA Numbered Heading,VES ES Heading 2 2007,ES Heading 2 2006,Para Nos,h2,Bijlage,Reset numbering,b"/>
    <w:next w:val="Heading3"/>
    <w:link w:val="Heading2Char"/>
    <w:qFormat/>
    <w:rsid w:val="005331C7"/>
    <w:pPr>
      <w:keepNext/>
      <w:numPr>
        <w:ilvl w:val="1"/>
        <w:numId w:val="1"/>
      </w:numPr>
      <w:spacing w:before="200" w:after="0" w:line="360" w:lineRule="atLeast"/>
      <w:outlineLvl w:val="1"/>
    </w:pPr>
    <w:rPr>
      <w:rFonts w:ascii="Arial" w:eastAsiaTheme="majorEastAsia" w:hAnsi="Arial" w:cs="Arial"/>
      <w:b/>
      <w:bCs/>
      <w:color w:val="002159"/>
      <w:sz w:val="26"/>
      <w:szCs w:val="26"/>
    </w:rPr>
  </w:style>
  <w:style w:type="paragraph" w:styleId="Heading3">
    <w:name w:val="heading 3"/>
    <w:aliases w:val="Body text numbered,L3 Heading,DONT USE Main Text paragraphs,ArchHeading 3"/>
    <w:link w:val="Heading3Char"/>
    <w:qFormat/>
    <w:rsid w:val="0043109E"/>
    <w:pPr>
      <w:numPr>
        <w:ilvl w:val="2"/>
        <w:numId w:val="1"/>
      </w:numPr>
      <w:spacing w:before="180" w:after="100" w:line="260" w:lineRule="atLeast"/>
      <w:outlineLvl w:val="2"/>
    </w:pPr>
    <w:rPr>
      <w:rFonts w:ascii="Arial" w:eastAsiaTheme="majorEastAsia" w:hAnsi="Arial" w:cstheme="majorBidi"/>
      <w:bCs/>
    </w:rPr>
  </w:style>
  <w:style w:type="paragraph" w:styleId="Heading4">
    <w:name w:val="heading 4"/>
    <w:aliases w:val="Heading 3 (not numbered),L4 Heading"/>
    <w:next w:val="Heading3"/>
    <w:link w:val="Heading4Char"/>
    <w:qFormat/>
    <w:rsid w:val="005331C7"/>
    <w:pPr>
      <w:keepNext/>
      <w:spacing w:before="180" w:after="100" w:line="260" w:lineRule="atLeast"/>
      <w:ind w:left="851"/>
      <w:outlineLvl w:val="3"/>
    </w:pPr>
    <w:rPr>
      <w:rFonts w:ascii="Arial" w:hAnsi="Arial" w:cs="Arial"/>
      <w:b/>
      <w:i/>
      <w:color w:val="002159"/>
      <w:sz w:val="24"/>
    </w:rPr>
  </w:style>
  <w:style w:type="paragraph" w:styleId="Heading5">
    <w:name w:val="heading 5"/>
    <w:aliases w:val="Heading 4 (not numbered)"/>
    <w:next w:val="Heading3"/>
    <w:link w:val="Heading5Char"/>
    <w:uiPriority w:val="9"/>
    <w:unhideWhenUsed/>
    <w:qFormat/>
    <w:rsid w:val="005331C7"/>
    <w:pPr>
      <w:spacing w:before="180" w:after="100" w:line="260" w:lineRule="atLeast"/>
      <w:ind w:left="851"/>
      <w:outlineLvl w:val="4"/>
    </w:pPr>
    <w:rPr>
      <w:rFonts w:ascii="Arial" w:hAnsi="Arial" w:cs="Arial"/>
      <w:i/>
      <w:color w:val="002159"/>
      <w:sz w:val="24"/>
      <w:u w:val="single"/>
    </w:rPr>
  </w:style>
  <w:style w:type="paragraph" w:styleId="Heading6">
    <w:name w:val="heading 6"/>
    <w:aliases w:val="Heading 5 (not numbered)"/>
    <w:next w:val="Heading3"/>
    <w:link w:val="Heading6Char"/>
    <w:uiPriority w:val="9"/>
    <w:unhideWhenUsed/>
    <w:qFormat/>
    <w:rsid w:val="005331C7"/>
    <w:pPr>
      <w:spacing w:before="180" w:after="100" w:line="260" w:lineRule="atLeast"/>
      <w:ind w:left="851"/>
      <w:outlineLvl w:val="5"/>
    </w:pPr>
    <w:rPr>
      <w:rFonts w:ascii="Arial" w:hAnsi="Arial" w:cs="Arial"/>
      <w:b/>
      <w:i/>
      <w:color w:val="002159"/>
      <w:sz w:val="20"/>
    </w:rPr>
  </w:style>
  <w:style w:type="paragraph" w:styleId="Heading7">
    <w:name w:val="heading 7"/>
    <w:basedOn w:val="Normal"/>
    <w:next w:val="Normal"/>
    <w:link w:val="Heading7Char"/>
    <w:uiPriority w:val="9"/>
    <w:qFormat/>
    <w:rsid w:val="006C29C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Heading 8(unused),Ignore5,Ignore!!,Do Not Use 8,Economics List (a),ADVICE 8,ADVICE 81,Summary - title,L8,. [(a)],not Kinhill2,DO NOT USE 8,Appendix 3,Bullet 3,title 8,Ignore me,RSKH8,RSKH81,RSKH82,Legal Level 1.1.1."/>
    <w:basedOn w:val="Normal"/>
    <w:next w:val="Normal"/>
    <w:link w:val="Heading8Char"/>
    <w:uiPriority w:val="9"/>
    <w:qFormat/>
    <w:rsid w:val="006C29C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unused),Do Not Use 9,Table header,Table header1,Table header2,Table header11,Table header3,Table header12,Summary - heading 2,Ignore6,Ignore!!!,HeadingTwo,. [(iii)],L9,not Kinhill1,DO NOT USE 9,Appendix 4,title 9,Ignore this,RSK-H9"/>
    <w:basedOn w:val="Normal"/>
    <w:next w:val="Normal"/>
    <w:link w:val="Heading9Char"/>
    <w:uiPriority w:val="9"/>
    <w:qFormat/>
    <w:rsid w:val="006C29C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A152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129F0"/>
    <w:rPr>
      <w:rFonts w:ascii="Arial" w:hAnsi="Arial" w:cs="Arial"/>
    </w:rPr>
  </w:style>
  <w:style w:type="paragraph" w:styleId="Footer">
    <w:name w:val="footer"/>
    <w:basedOn w:val="Normal"/>
    <w:link w:val="FooterChar"/>
    <w:uiPriority w:val="99"/>
    <w:semiHidden/>
    <w:rsid w:val="005A152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29F0"/>
    <w:rPr>
      <w:rFonts w:ascii="Arial" w:hAnsi="Arial" w:cs="Arial"/>
    </w:rPr>
  </w:style>
  <w:style w:type="paragraph" w:styleId="BalloonText">
    <w:name w:val="Balloon Text"/>
    <w:basedOn w:val="Normal"/>
    <w:link w:val="BalloonTextChar"/>
    <w:uiPriority w:val="99"/>
    <w:semiHidden/>
    <w:rsid w:val="005A15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9A7"/>
    <w:rPr>
      <w:rFonts w:ascii="Tahoma" w:hAnsi="Tahoma" w:cs="Tahoma"/>
      <w:sz w:val="16"/>
      <w:szCs w:val="16"/>
    </w:rPr>
  </w:style>
  <w:style w:type="table" w:styleId="TableGrid">
    <w:name w:val="Table Grid"/>
    <w:basedOn w:val="TableNormal"/>
    <w:uiPriority w:val="59"/>
    <w:rsid w:val="00ED4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952BB1"/>
    <w:pPr>
      <w:spacing w:before="180" w:after="100" w:line="260" w:lineRule="atLeast"/>
    </w:pPr>
    <w:rPr>
      <w:spacing w:val="6"/>
    </w:rPr>
  </w:style>
  <w:style w:type="character" w:customStyle="1" w:styleId="BodyTextChar">
    <w:name w:val="Body Text Char"/>
    <w:basedOn w:val="DefaultParagraphFont"/>
    <w:link w:val="BodyText"/>
    <w:semiHidden/>
    <w:rsid w:val="004E7B24"/>
    <w:rPr>
      <w:rFonts w:ascii="Arial" w:hAnsi="Arial" w:cs="Arial"/>
      <w:spacing w:val="6"/>
    </w:rPr>
  </w:style>
  <w:style w:type="character" w:customStyle="1" w:styleId="Heading1Char">
    <w:name w:val="Heading 1 Char"/>
    <w:aliases w:val="L1 Heading (Divider) Char,Level 1 Chapter Heading_TEMPLE Char,~SectionHeading Char,Chapter Heading Char,Savell Bird.. Char,Section Heading Char,Chapter Char,Chapter head Char,L1 Char,CH Char,. (1.0) Char,Do Not Use Char,H1 Char,H11 Char"/>
    <w:basedOn w:val="DefaultParagraphFont"/>
    <w:link w:val="Heading1"/>
    <w:rsid w:val="005331C7"/>
    <w:rPr>
      <w:rFonts w:ascii="Arial" w:eastAsiaTheme="majorEastAsia" w:hAnsi="Arial" w:cs="Arial"/>
      <w:b/>
      <w:bCs/>
      <w:smallCaps/>
      <w:color w:val="002159"/>
      <w:sz w:val="36"/>
      <w:szCs w:val="28"/>
    </w:rPr>
  </w:style>
  <w:style w:type="character" w:customStyle="1" w:styleId="Heading2Char">
    <w:name w:val="Heading 2 Char"/>
    <w:aliases w:val="L2 Heading Char,Level 2 Sub Heading_TEMPLE Char,Head2 Char,H2 Char,level 2 Char,Ramboll Heading 2 Char,Handover Heading 2 Char,Numbered - 2 Char,Section Char,Oscar Faber 2 Char,Numbered 2 Char,DHA Numbered Heading Char,Para Nos Char"/>
    <w:basedOn w:val="DefaultParagraphFont"/>
    <w:link w:val="Heading2"/>
    <w:rsid w:val="005331C7"/>
    <w:rPr>
      <w:rFonts w:ascii="Arial" w:eastAsiaTheme="majorEastAsia" w:hAnsi="Arial" w:cs="Arial"/>
      <w:b/>
      <w:bCs/>
      <w:color w:val="002159"/>
      <w:sz w:val="26"/>
      <w:szCs w:val="26"/>
    </w:rPr>
  </w:style>
  <w:style w:type="character" w:customStyle="1" w:styleId="Heading3Char">
    <w:name w:val="Heading 3 Char"/>
    <w:aliases w:val="Body text numbered Char,L3 Heading Char,DONT USE Main Text paragraphs Char,ArchHeading 3 Char"/>
    <w:basedOn w:val="DefaultParagraphFont"/>
    <w:link w:val="Heading3"/>
    <w:rsid w:val="0043109E"/>
    <w:rPr>
      <w:rFonts w:ascii="Arial" w:eastAsiaTheme="majorEastAsia" w:hAnsi="Arial" w:cstheme="majorBidi"/>
      <w:bCs/>
    </w:rPr>
  </w:style>
  <w:style w:type="character" w:customStyle="1" w:styleId="Heading4Char">
    <w:name w:val="Heading 4 Char"/>
    <w:aliases w:val="Heading 3 (not numbered) Char,L4 Heading Char"/>
    <w:basedOn w:val="DefaultParagraphFont"/>
    <w:link w:val="Heading4"/>
    <w:uiPriority w:val="9"/>
    <w:rsid w:val="005331C7"/>
    <w:rPr>
      <w:rFonts w:ascii="Arial" w:hAnsi="Arial" w:cs="Arial"/>
      <w:b/>
      <w:i/>
      <w:color w:val="002159"/>
      <w:sz w:val="24"/>
    </w:rPr>
  </w:style>
  <w:style w:type="character" w:customStyle="1" w:styleId="Heading5Char">
    <w:name w:val="Heading 5 Char"/>
    <w:aliases w:val="Heading 4 (not numbered) Char"/>
    <w:basedOn w:val="DefaultParagraphFont"/>
    <w:link w:val="Heading5"/>
    <w:uiPriority w:val="9"/>
    <w:rsid w:val="005331C7"/>
    <w:rPr>
      <w:rFonts w:ascii="Arial" w:hAnsi="Arial" w:cs="Arial"/>
      <w:i/>
      <w:color w:val="002159"/>
      <w:sz w:val="24"/>
      <w:u w:val="single"/>
    </w:rPr>
  </w:style>
  <w:style w:type="character" w:customStyle="1" w:styleId="Heading6Char">
    <w:name w:val="Heading 6 Char"/>
    <w:aliases w:val="Heading 5 (not numbered) Char"/>
    <w:basedOn w:val="DefaultParagraphFont"/>
    <w:link w:val="Heading6"/>
    <w:uiPriority w:val="9"/>
    <w:rsid w:val="005331C7"/>
    <w:rPr>
      <w:rFonts w:ascii="Arial" w:hAnsi="Arial" w:cs="Arial"/>
      <w:b/>
      <w:i/>
      <w:color w:val="002159"/>
      <w:sz w:val="20"/>
    </w:rPr>
  </w:style>
  <w:style w:type="character" w:customStyle="1" w:styleId="Heading7Char">
    <w:name w:val="Heading 7 Char"/>
    <w:basedOn w:val="DefaultParagraphFont"/>
    <w:link w:val="Heading7"/>
    <w:uiPriority w:val="9"/>
    <w:rsid w:val="004659A7"/>
    <w:rPr>
      <w:rFonts w:asciiTheme="majorHAnsi" w:eastAsiaTheme="majorEastAsia" w:hAnsiTheme="majorHAnsi" w:cstheme="majorBidi"/>
      <w:i/>
      <w:iCs/>
      <w:color w:val="404040" w:themeColor="text1" w:themeTint="BF"/>
    </w:rPr>
  </w:style>
  <w:style w:type="character" w:customStyle="1" w:styleId="Heading8Char">
    <w:name w:val="Heading 8 Char"/>
    <w:aliases w:val="Heading 8(unused) Char,Ignore5 Char,Ignore!! Char,Do Not Use 8 Char,Economics List (a) Char,ADVICE 8 Char,ADVICE 81 Char,Summary - title Char,L8 Char,. [(a)] Char,not Kinhill2 Char,DO NOT USE 8 Char,Appendix 3 Char,Bullet 3 Char"/>
    <w:basedOn w:val="DefaultParagraphFont"/>
    <w:link w:val="Heading8"/>
    <w:uiPriority w:val="9"/>
    <w:rsid w:val="004659A7"/>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unused) Char,Do Not Use 9 Char,Table header Char,Table header1 Char,Table header2 Char,Table header11 Char,Table header3 Char,Table header12 Char,Summary - heading 2 Char,Ignore6 Char,Ignore!!! Char,HeadingTwo Char,L9 Char"/>
    <w:basedOn w:val="DefaultParagraphFont"/>
    <w:link w:val="Heading9"/>
    <w:uiPriority w:val="9"/>
    <w:rsid w:val="004659A7"/>
    <w:rPr>
      <w:rFonts w:asciiTheme="majorHAnsi" w:eastAsiaTheme="majorEastAsia" w:hAnsiTheme="majorHAnsi" w:cstheme="majorBidi"/>
      <w:i/>
      <w:iCs/>
      <w:color w:val="404040" w:themeColor="text1" w:themeTint="BF"/>
      <w:sz w:val="20"/>
      <w:szCs w:val="20"/>
    </w:rPr>
  </w:style>
  <w:style w:type="paragraph" w:styleId="Caption">
    <w:name w:val="caption"/>
    <w:aliases w:val="Caption (Table/Figure Heading)"/>
    <w:next w:val="TableText"/>
    <w:link w:val="CaptionChar"/>
    <w:uiPriority w:val="35"/>
    <w:qFormat/>
    <w:rsid w:val="00044187"/>
    <w:pPr>
      <w:keepNext/>
      <w:spacing w:before="180" w:after="100" w:line="260" w:lineRule="atLeast"/>
      <w:ind w:left="851"/>
    </w:pPr>
    <w:rPr>
      <w:rFonts w:ascii="Arial" w:hAnsi="Arial" w:cs="Arial"/>
      <w:b/>
      <w:i/>
      <w:color w:val="002159" w:themeColor="text2"/>
      <w:sz w:val="20"/>
      <w:szCs w:val="16"/>
    </w:rPr>
  </w:style>
  <w:style w:type="paragraph" w:customStyle="1" w:styleId="Bullet1Unnumbered">
    <w:name w:val="Bullet 1 Unnumbered"/>
    <w:link w:val="Bullet1UnnumberedChar"/>
    <w:uiPriority w:val="1"/>
    <w:qFormat/>
    <w:rsid w:val="00DA07F8"/>
    <w:pPr>
      <w:spacing w:before="180" w:after="100" w:line="260" w:lineRule="atLeast"/>
    </w:pPr>
    <w:rPr>
      <w:rFonts w:ascii="Arial" w:hAnsi="Arial" w:cs="Arial"/>
    </w:rPr>
  </w:style>
  <w:style w:type="paragraph" w:styleId="FootnoteText">
    <w:name w:val="footnote text"/>
    <w:link w:val="FootnoteTextChar"/>
    <w:uiPriority w:val="99"/>
    <w:qFormat/>
    <w:rsid w:val="00862328"/>
    <w:pPr>
      <w:tabs>
        <w:tab w:val="left" w:pos="426"/>
      </w:tabs>
      <w:spacing w:before="120" w:after="0" w:line="240" w:lineRule="auto"/>
    </w:pPr>
    <w:rPr>
      <w:rFonts w:ascii="Arial" w:hAnsi="Arial" w:cs="Arial"/>
      <w:sz w:val="16"/>
      <w:szCs w:val="20"/>
    </w:rPr>
  </w:style>
  <w:style w:type="character" w:customStyle="1" w:styleId="FootnoteTextChar">
    <w:name w:val="Footnote Text Char"/>
    <w:basedOn w:val="DefaultParagraphFont"/>
    <w:link w:val="FootnoteText"/>
    <w:uiPriority w:val="99"/>
    <w:rsid w:val="00862328"/>
    <w:rPr>
      <w:rFonts w:ascii="Arial" w:hAnsi="Arial" w:cs="Arial"/>
      <w:sz w:val="16"/>
      <w:szCs w:val="20"/>
    </w:rPr>
  </w:style>
  <w:style w:type="paragraph" w:styleId="TOC1">
    <w:name w:val="toc 1"/>
    <w:basedOn w:val="Normal"/>
    <w:next w:val="Normal"/>
    <w:autoRedefine/>
    <w:uiPriority w:val="39"/>
    <w:semiHidden/>
    <w:rsid w:val="00FB6BC0"/>
    <w:pPr>
      <w:tabs>
        <w:tab w:val="clear" w:pos="7368"/>
        <w:tab w:val="left" w:pos="567"/>
        <w:tab w:val="left" w:pos="1276"/>
        <w:tab w:val="right" w:pos="9656"/>
      </w:tabs>
      <w:spacing w:after="100"/>
    </w:pPr>
    <w:rPr>
      <w:noProof/>
    </w:rPr>
  </w:style>
  <w:style w:type="paragraph" w:styleId="TOC2">
    <w:name w:val="toc 2"/>
    <w:basedOn w:val="Normal"/>
    <w:next w:val="Normal"/>
    <w:autoRedefine/>
    <w:uiPriority w:val="39"/>
    <w:semiHidden/>
    <w:rsid w:val="00FF2408"/>
    <w:pPr>
      <w:tabs>
        <w:tab w:val="clear" w:pos="7368"/>
        <w:tab w:val="left" w:pos="1134"/>
        <w:tab w:val="right" w:pos="9656"/>
      </w:tabs>
      <w:spacing w:after="100"/>
      <w:ind w:left="567"/>
    </w:pPr>
    <w:rPr>
      <w:noProof/>
    </w:rPr>
  </w:style>
  <w:style w:type="character" w:styleId="Hyperlink">
    <w:name w:val="Hyperlink"/>
    <w:basedOn w:val="DefaultParagraphFont"/>
    <w:uiPriority w:val="99"/>
    <w:rsid w:val="00FF2408"/>
    <w:rPr>
      <w:color w:val="002159" w:themeColor="hyperlink"/>
      <w:u w:val="single"/>
    </w:rPr>
  </w:style>
  <w:style w:type="paragraph" w:customStyle="1" w:styleId="TableColumnHeading">
    <w:name w:val="Table Column Heading"/>
    <w:link w:val="TableColumnHeadingChar"/>
    <w:uiPriority w:val="10"/>
    <w:qFormat/>
    <w:rsid w:val="005331C7"/>
    <w:pPr>
      <w:spacing w:before="40" w:after="40" w:line="240" w:lineRule="auto"/>
    </w:pPr>
    <w:rPr>
      <w:rFonts w:ascii="Arial" w:hAnsi="Arial" w:cs="Arial"/>
      <w:b/>
      <w:sz w:val="18"/>
    </w:rPr>
  </w:style>
  <w:style w:type="paragraph" w:customStyle="1" w:styleId="TableText">
    <w:name w:val="Table Text"/>
    <w:link w:val="TableTextChar"/>
    <w:uiPriority w:val="10"/>
    <w:qFormat/>
    <w:rsid w:val="00045572"/>
    <w:pPr>
      <w:spacing w:before="40" w:after="40" w:line="240" w:lineRule="auto"/>
    </w:pPr>
    <w:rPr>
      <w:rFonts w:ascii="Arial" w:hAnsi="Arial" w:cs="Arial"/>
      <w:sz w:val="18"/>
    </w:rPr>
  </w:style>
  <w:style w:type="character" w:styleId="FootnoteReference">
    <w:name w:val="footnote reference"/>
    <w:basedOn w:val="DefaultParagraphFont"/>
    <w:uiPriority w:val="99"/>
    <w:semiHidden/>
    <w:rsid w:val="00305EB4"/>
    <w:rPr>
      <w:vertAlign w:val="superscript"/>
    </w:rPr>
  </w:style>
  <w:style w:type="paragraph" w:customStyle="1" w:styleId="Bullet2Unnumbered">
    <w:name w:val="Bullet 2 Unnumbered"/>
    <w:link w:val="Bullet2UnnumberedChar"/>
    <w:uiPriority w:val="1"/>
    <w:unhideWhenUsed/>
    <w:rsid w:val="00DA07F8"/>
    <w:pPr>
      <w:spacing w:before="180" w:after="100" w:line="260" w:lineRule="atLeast"/>
    </w:pPr>
    <w:rPr>
      <w:rFonts w:ascii="Arial" w:hAnsi="Arial" w:cs="Arial"/>
    </w:rPr>
  </w:style>
  <w:style w:type="paragraph" w:customStyle="1" w:styleId="Cover">
    <w:name w:val="Cover"/>
    <w:semiHidden/>
    <w:rsid w:val="004B3A97"/>
    <w:pPr>
      <w:spacing w:after="0" w:line="240" w:lineRule="auto"/>
      <w:ind w:left="-108"/>
    </w:pPr>
    <w:rPr>
      <w:rFonts w:ascii="Arial" w:hAnsi="Arial" w:cs="Arial"/>
      <w:spacing w:val="6"/>
    </w:rPr>
  </w:style>
  <w:style w:type="paragraph" w:customStyle="1" w:styleId="AppendixHeading1">
    <w:name w:val="Appendix Heading 1"/>
    <w:next w:val="BodyText"/>
    <w:uiPriority w:val="99"/>
    <w:semiHidden/>
    <w:rsid w:val="00FB6BC0"/>
    <w:pPr>
      <w:pageBreakBefore/>
      <w:numPr>
        <w:numId w:val="3"/>
      </w:numPr>
      <w:tabs>
        <w:tab w:val="left" w:pos="2127"/>
      </w:tabs>
      <w:spacing w:before="280" w:after="0" w:line="360" w:lineRule="atLeast"/>
      <w:ind w:left="1701" w:hanging="1701"/>
    </w:pPr>
    <w:rPr>
      <w:rFonts w:ascii="Arial" w:hAnsi="Arial" w:cs="Arial"/>
      <w:b/>
      <w:color w:val="002159"/>
      <w:spacing w:val="6"/>
      <w:sz w:val="28"/>
      <w:szCs w:val="16"/>
    </w:rPr>
  </w:style>
  <w:style w:type="paragraph" w:styleId="TOCHeading">
    <w:name w:val="TOC Heading"/>
    <w:basedOn w:val="Heading1"/>
    <w:next w:val="Normal"/>
    <w:uiPriority w:val="39"/>
    <w:semiHidden/>
    <w:rsid w:val="00AF4BD7"/>
    <w:pPr>
      <w:keepLines/>
      <w:pageBreakBefore w:val="0"/>
      <w:numPr>
        <w:numId w:val="0"/>
      </w:numPr>
      <w:spacing w:before="480" w:line="276" w:lineRule="auto"/>
      <w:outlineLvl w:val="9"/>
    </w:pPr>
    <w:rPr>
      <w:rFonts w:asciiTheme="majorHAnsi" w:hAnsiTheme="majorHAnsi" w:cstheme="majorBidi"/>
      <w:color w:val="B23513" w:themeColor="accent1" w:themeShade="BF"/>
      <w:lang w:val="en-US" w:eastAsia="ja-JP"/>
    </w:rPr>
  </w:style>
  <w:style w:type="paragraph" w:styleId="TOC3">
    <w:name w:val="toc 3"/>
    <w:basedOn w:val="Normal"/>
    <w:next w:val="Normal"/>
    <w:autoRedefine/>
    <w:uiPriority w:val="39"/>
    <w:semiHidden/>
    <w:rsid w:val="00AF4BD7"/>
    <w:pPr>
      <w:tabs>
        <w:tab w:val="clear" w:pos="7368"/>
      </w:tabs>
      <w:spacing w:after="100"/>
      <w:ind w:left="440"/>
    </w:pPr>
  </w:style>
  <w:style w:type="table" w:customStyle="1" w:styleId="Style1">
    <w:name w:val="Style1"/>
    <w:basedOn w:val="TableNormal"/>
    <w:uiPriority w:val="99"/>
    <w:rsid w:val="00E040E8"/>
    <w:pPr>
      <w:spacing w:before="40" w:after="40" w:line="240" w:lineRule="auto"/>
    </w:pPr>
    <w:rPr>
      <w:rFonts w:ascii="Arial" w:hAnsi="Arial"/>
      <w:spacing w:val="6"/>
      <w:sz w:val="18"/>
    </w:rPr>
    <w:tblPr>
      <w:tblInd w:w="964" w:type="dxa"/>
      <w:tblBorders>
        <w:top w:val="single" w:sz="18" w:space="0" w:color="auto"/>
        <w:left w:val="single" w:sz="4" w:space="0" w:color="auto"/>
        <w:bottom w:val="single" w:sz="18" w:space="0" w:color="auto"/>
        <w:right w:val="single" w:sz="4" w:space="0" w:color="auto"/>
        <w:insideH w:val="single" w:sz="4" w:space="0" w:color="auto"/>
        <w:insideV w:val="single" w:sz="4" w:space="0" w:color="auto"/>
      </w:tblBorders>
    </w:tblPr>
    <w:tblStylePr w:type="firstRow">
      <w:rPr>
        <w:rFonts w:ascii="Arial" w:hAnsi="Arial"/>
        <w:b/>
        <w:sz w:val="18"/>
      </w:rPr>
      <w:tblPr/>
      <w:tcPr>
        <w:tcBorders>
          <w:top w:val="single" w:sz="18" w:space="0" w:color="auto"/>
          <w:left w:val="single" w:sz="4" w:space="0" w:color="auto"/>
          <w:bottom w:val="single" w:sz="4" w:space="0" w:color="auto"/>
          <w:right w:val="single" w:sz="4" w:space="0" w:color="auto"/>
          <w:insideH w:val="nil"/>
          <w:insideV w:val="single" w:sz="4" w:space="0" w:color="auto"/>
          <w:tl2br w:val="nil"/>
          <w:tr2bl w:val="nil"/>
        </w:tcBorders>
      </w:tcPr>
    </w:tblStylePr>
  </w:style>
  <w:style w:type="paragraph" w:styleId="Quote">
    <w:name w:val="Quote"/>
    <w:next w:val="Heading3"/>
    <w:link w:val="QuoteChar"/>
    <w:uiPriority w:val="29"/>
    <w:qFormat/>
    <w:rsid w:val="005331C7"/>
    <w:pPr>
      <w:spacing w:before="180" w:after="100" w:line="260" w:lineRule="atLeast"/>
      <w:ind w:left="851"/>
    </w:pPr>
    <w:rPr>
      <w:rFonts w:ascii="Arial" w:hAnsi="Arial" w:cs="Arial"/>
      <w:i/>
    </w:rPr>
  </w:style>
  <w:style w:type="character" w:customStyle="1" w:styleId="QuoteChar">
    <w:name w:val="Quote Char"/>
    <w:basedOn w:val="DefaultParagraphFont"/>
    <w:link w:val="Quote"/>
    <w:uiPriority w:val="29"/>
    <w:rsid w:val="005331C7"/>
    <w:rPr>
      <w:rFonts w:ascii="Arial" w:hAnsi="Arial" w:cs="Arial"/>
      <w:i/>
    </w:rPr>
  </w:style>
  <w:style w:type="paragraph" w:customStyle="1" w:styleId="AppendixHeading2">
    <w:name w:val="Appendix Heading 2"/>
    <w:basedOn w:val="AppendixHeading1"/>
    <w:uiPriority w:val="99"/>
    <w:semiHidden/>
    <w:rsid w:val="00FB6BC0"/>
    <w:pPr>
      <w:keepNext/>
      <w:pageBreakBefore w:val="0"/>
      <w:numPr>
        <w:ilvl w:val="1"/>
      </w:numPr>
      <w:tabs>
        <w:tab w:val="left" w:pos="1276"/>
      </w:tabs>
      <w:spacing w:before="200"/>
      <w:ind w:left="851" w:hanging="851"/>
    </w:pPr>
    <w:rPr>
      <w:sz w:val="24"/>
      <w:szCs w:val="24"/>
    </w:rPr>
  </w:style>
  <w:style w:type="paragraph" w:customStyle="1" w:styleId="Appendixtext">
    <w:name w:val="Appendix text"/>
    <w:basedOn w:val="AppendixHeading2"/>
    <w:uiPriority w:val="99"/>
    <w:semiHidden/>
    <w:rsid w:val="00FB6BC0"/>
    <w:pPr>
      <w:keepNext w:val="0"/>
      <w:numPr>
        <w:ilvl w:val="2"/>
      </w:numPr>
      <w:spacing w:before="180" w:after="100" w:line="260" w:lineRule="exact"/>
      <w:ind w:left="851" w:hanging="851"/>
    </w:pPr>
    <w:rPr>
      <w:b w:val="0"/>
      <w:color w:val="auto"/>
      <w:sz w:val="22"/>
    </w:rPr>
  </w:style>
  <w:style w:type="paragraph" w:customStyle="1" w:styleId="Bullet3Unnumbered">
    <w:name w:val="Bullet 3 Unnumbered"/>
    <w:basedOn w:val="Bullet2"/>
    <w:link w:val="Bullet3UnnumberedChar"/>
    <w:uiPriority w:val="1"/>
    <w:unhideWhenUsed/>
    <w:rsid w:val="0028780C"/>
    <w:pPr>
      <w:tabs>
        <w:tab w:val="clear" w:pos="7368"/>
      </w:tabs>
    </w:pPr>
  </w:style>
  <w:style w:type="paragraph" w:customStyle="1" w:styleId="Bullet2">
    <w:name w:val="Bullet2"/>
    <w:basedOn w:val="Normal"/>
    <w:semiHidden/>
    <w:rsid w:val="00B34174"/>
  </w:style>
  <w:style w:type="paragraph" w:customStyle="1" w:styleId="Bullet1Numbered">
    <w:name w:val="Bullet 1 Numbered"/>
    <w:link w:val="Bullet1NumberedChar"/>
    <w:uiPriority w:val="2"/>
    <w:qFormat/>
    <w:rsid w:val="005331C7"/>
    <w:pPr>
      <w:numPr>
        <w:numId w:val="4"/>
      </w:numPr>
      <w:spacing w:before="180" w:after="100" w:line="260" w:lineRule="atLeast"/>
      <w:ind w:left="1276" w:hanging="425"/>
    </w:pPr>
    <w:rPr>
      <w:rFonts w:ascii="Arial" w:eastAsiaTheme="majorEastAsia" w:hAnsi="Arial" w:cstheme="majorBidi"/>
      <w:bCs/>
    </w:rPr>
  </w:style>
  <w:style w:type="paragraph" w:customStyle="1" w:styleId="Bullet2Numbered">
    <w:name w:val="Bullet 2 Numbered"/>
    <w:link w:val="Bullet2NumberedChar"/>
    <w:uiPriority w:val="2"/>
    <w:unhideWhenUsed/>
    <w:rsid w:val="005331C7"/>
    <w:pPr>
      <w:numPr>
        <w:ilvl w:val="1"/>
        <w:numId w:val="4"/>
      </w:numPr>
      <w:spacing w:before="180" w:after="100" w:line="260" w:lineRule="atLeast"/>
      <w:ind w:left="1701" w:hanging="425"/>
    </w:pPr>
    <w:rPr>
      <w:rFonts w:ascii="Arial" w:eastAsiaTheme="majorEastAsia" w:hAnsi="Arial" w:cstheme="majorBidi"/>
      <w:bCs/>
    </w:rPr>
  </w:style>
  <w:style w:type="paragraph" w:customStyle="1" w:styleId="Bullet3Numbered">
    <w:name w:val="Bullet 3 Numbered"/>
    <w:link w:val="Bullet3NumberedChar"/>
    <w:uiPriority w:val="2"/>
    <w:unhideWhenUsed/>
    <w:rsid w:val="00C623B5"/>
    <w:pPr>
      <w:numPr>
        <w:ilvl w:val="2"/>
        <w:numId w:val="4"/>
      </w:numPr>
      <w:spacing w:before="180" w:after="100" w:line="260" w:lineRule="atLeast"/>
      <w:ind w:left="2127" w:hanging="284"/>
    </w:pPr>
    <w:rPr>
      <w:rFonts w:ascii="Arial" w:eastAsiaTheme="majorEastAsia" w:hAnsi="Arial" w:cstheme="majorBidi"/>
      <w:bCs/>
    </w:rPr>
  </w:style>
  <w:style w:type="character" w:styleId="CommentReference">
    <w:name w:val="annotation reference"/>
    <w:basedOn w:val="DefaultParagraphFont"/>
    <w:uiPriority w:val="99"/>
    <w:semiHidden/>
    <w:rsid w:val="001F1BC8"/>
    <w:rPr>
      <w:sz w:val="16"/>
      <w:szCs w:val="16"/>
    </w:rPr>
  </w:style>
  <w:style w:type="paragraph" w:styleId="CommentText">
    <w:name w:val="annotation text"/>
    <w:basedOn w:val="Normal"/>
    <w:link w:val="CommentTextChar"/>
    <w:uiPriority w:val="99"/>
    <w:semiHidden/>
    <w:rsid w:val="001F1BC8"/>
    <w:pPr>
      <w:spacing w:line="240" w:lineRule="auto"/>
    </w:pPr>
    <w:rPr>
      <w:sz w:val="20"/>
      <w:szCs w:val="20"/>
    </w:rPr>
  </w:style>
  <w:style w:type="character" w:customStyle="1" w:styleId="CommentTextChar">
    <w:name w:val="Comment Text Char"/>
    <w:basedOn w:val="DefaultParagraphFont"/>
    <w:link w:val="CommentText"/>
    <w:uiPriority w:val="99"/>
    <w:semiHidden/>
    <w:rsid w:val="001F1BC8"/>
    <w:rPr>
      <w:rFonts w:ascii="Arial" w:hAnsi="Arial" w:cs="Arial"/>
      <w:sz w:val="20"/>
      <w:szCs w:val="20"/>
    </w:rPr>
  </w:style>
  <w:style w:type="paragraph" w:styleId="CommentSubject">
    <w:name w:val="annotation subject"/>
    <w:basedOn w:val="CommentText"/>
    <w:next w:val="CommentText"/>
    <w:link w:val="CommentSubjectChar"/>
    <w:uiPriority w:val="99"/>
    <w:semiHidden/>
    <w:rsid w:val="001F1BC8"/>
    <w:rPr>
      <w:b/>
      <w:bCs/>
    </w:rPr>
  </w:style>
  <w:style w:type="character" w:customStyle="1" w:styleId="CommentSubjectChar">
    <w:name w:val="Comment Subject Char"/>
    <w:basedOn w:val="CommentTextChar"/>
    <w:link w:val="CommentSubject"/>
    <w:uiPriority w:val="99"/>
    <w:semiHidden/>
    <w:rsid w:val="001F1BC8"/>
    <w:rPr>
      <w:rFonts w:ascii="Arial" w:hAnsi="Arial" w:cs="Arial"/>
      <w:b/>
      <w:bCs/>
      <w:sz w:val="20"/>
      <w:szCs w:val="20"/>
    </w:rPr>
  </w:style>
  <w:style w:type="paragraph" w:customStyle="1" w:styleId="TableText-tight">
    <w:name w:val="Table Text - tight"/>
    <w:basedOn w:val="TableText"/>
    <w:uiPriority w:val="99"/>
    <w:rsid w:val="00D11902"/>
    <w:pPr>
      <w:framePr w:hSpace="180" w:wrap="around" w:vAnchor="text" w:hAnchor="margin" w:x="959" w:y="72"/>
      <w:spacing w:before="0" w:after="0"/>
    </w:pPr>
  </w:style>
  <w:style w:type="character" w:customStyle="1" w:styleId="Bullet1UnnumberedChar">
    <w:name w:val="Bullet 1 Unnumbered Char"/>
    <w:basedOn w:val="DefaultParagraphFont"/>
    <w:link w:val="Bullet1Unnumbered"/>
    <w:uiPriority w:val="1"/>
    <w:rsid w:val="00DA07F8"/>
    <w:rPr>
      <w:rFonts w:ascii="Arial" w:hAnsi="Arial" w:cs="Arial"/>
    </w:rPr>
  </w:style>
  <w:style w:type="character" w:customStyle="1" w:styleId="Bullet2UnnumberedChar">
    <w:name w:val="Bullet 2 Unnumbered Char"/>
    <w:basedOn w:val="DefaultParagraphFont"/>
    <w:link w:val="Bullet2Unnumbered"/>
    <w:uiPriority w:val="1"/>
    <w:rsid w:val="00DA07F8"/>
    <w:rPr>
      <w:rFonts w:ascii="Arial" w:hAnsi="Arial" w:cs="Arial"/>
    </w:rPr>
  </w:style>
  <w:style w:type="character" w:customStyle="1" w:styleId="Bullet3UnnumberedChar">
    <w:name w:val="Bullet 3 Unnumbered Char"/>
    <w:basedOn w:val="DefaultParagraphFont"/>
    <w:link w:val="Bullet3Unnumbered"/>
    <w:uiPriority w:val="1"/>
    <w:rsid w:val="0028780C"/>
    <w:rPr>
      <w:rFonts w:ascii="Arial" w:hAnsi="Arial" w:cs="Arial"/>
    </w:rPr>
  </w:style>
  <w:style w:type="character" w:customStyle="1" w:styleId="Bullet1NumberedChar">
    <w:name w:val="Bullet 1 Numbered Char"/>
    <w:basedOn w:val="DefaultParagraphFont"/>
    <w:link w:val="Bullet1Numbered"/>
    <w:uiPriority w:val="2"/>
    <w:rsid w:val="005331C7"/>
    <w:rPr>
      <w:rFonts w:ascii="Arial" w:eastAsiaTheme="majorEastAsia" w:hAnsi="Arial" w:cstheme="majorBidi"/>
      <w:bCs/>
    </w:rPr>
  </w:style>
  <w:style w:type="character" w:customStyle="1" w:styleId="Bullet2NumberedChar">
    <w:name w:val="Bullet 2 Numbered Char"/>
    <w:basedOn w:val="DefaultParagraphFont"/>
    <w:link w:val="Bullet2Numbered"/>
    <w:uiPriority w:val="2"/>
    <w:rsid w:val="005331C7"/>
    <w:rPr>
      <w:rFonts w:ascii="Arial" w:eastAsiaTheme="majorEastAsia" w:hAnsi="Arial" w:cstheme="majorBidi"/>
      <w:bCs/>
    </w:rPr>
  </w:style>
  <w:style w:type="character" w:customStyle="1" w:styleId="Bullet3NumberedChar">
    <w:name w:val="Bullet 3 Numbered Char"/>
    <w:basedOn w:val="DefaultParagraphFont"/>
    <w:link w:val="Bullet3Numbered"/>
    <w:uiPriority w:val="2"/>
    <w:rsid w:val="00C623B5"/>
    <w:rPr>
      <w:rFonts w:ascii="Arial" w:eastAsiaTheme="majorEastAsia" w:hAnsi="Arial" w:cstheme="majorBidi"/>
      <w:bCs/>
    </w:rPr>
  </w:style>
  <w:style w:type="character" w:customStyle="1" w:styleId="TableColumnHeadingChar">
    <w:name w:val="Table Column Heading Char"/>
    <w:basedOn w:val="DefaultParagraphFont"/>
    <w:link w:val="TableColumnHeading"/>
    <w:uiPriority w:val="10"/>
    <w:rsid w:val="005331C7"/>
    <w:rPr>
      <w:rFonts w:ascii="Arial" w:hAnsi="Arial" w:cs="Arial"/>
      <w:b/>
      <w:sz w:val="18"/>
    </w:rPr>
  </w:style>
  <w:style w:type="character" w:customStyle="1" w:styleId="CaptionChar">
    <w:name w:val="Caption Char"/>
    <w:aliases w:val="Caption (Table/Figure Heading) Char"/>
    <w:basedOn w:val="DefaultParagraphFont"/>
    <w:link w:val="Caption"/>
    <w:uiPriority w:val="35"/>
    <w:rsid w:val="00044187"/>
    <w:rPr>
      <w:rFonts w:ascii="Arial" w:hAnsi="Arial" w:cs="Arial"/>
      <w:b/>
      <w:i/>
      <w:color w:val="002159" w:themeColor="text2"/>
      <w:sz w:val="20"/>
      <w:szCs w:val="16"/>
    </w:rPr>
  </w:style>
  <w:style w:type="character" w:customStyle="1" w:styleId="TableTextChar">
    <w:name w:val="Table Text Char"/>
    <w:link w:val="TableText"/>
    <w:uiPriority w:val="10"/>
    <w:locked/>
    <w:rsid w:val="0051534A"/>
    <w:rPr>
      <w:rFonts w:ascii="Arial" w:hAnsi="Arial" w:cs="Arial"/>
      <w:sz w:val="18"/>
    </w:rPr>
  </w:style>
  <w:style w:type="paragraph" w:customStyle="1" w:styleId="TableRowHead">
    <w:name w:val="TableRowHead"/>
    <w:uiPriority w:val="4"/>
    <w:qFormat/>
    <w:rsid w:val="0051534A"/>
    <w:pPr>
      <w:spacing w:before="40" w:after="40" w:line="220" w:lineRule="atLeast"/>
    </w:pPr>
    <w:rPr>
      <w:rFonts w:ascii="Arial" w:eastAsia="Arial" w:hAnsi="Arial" w:cs="Times New Roman"/>
      <w:b/>
      <w:sz w:val="18"/>
      <w:szCs w:val="24"/>
    </w:rPr>
  </w:style>
  <w:style w:type="paragraph" w:customStyle="1" w:styleId="L4Body">
    <w:name w:val="L4 Body"/>
    <w:basedOn w:val="Heading4"/>
    <w:link w:val="L4BodyChar"/>
    <w:qFormat/>
    <w:rsid w:val="00BA212C"/>
    <w:pPr>
      <w:keepLines/>
      <w:numPr>
        <w:ilvl w:val="3"/>
        <w:numId w:val="1"/>
      </w:numPr>
      <w:spacing w:before="100" w:beforeAutospacing="1" w:after="170" w:line="240" w:lineRule="auto"/>
    </w:pPr>
    <w:rPr>
      <w:rFonts w:eastAsiaTheme="majorEastAsia"/>
      <w:b w:val="0"/>
      <w:i w:val="0"/>
      <w:color w:val="auto"/>
      <w:sz w:val="18"/>
      <w:szCs w:val="24"/>
    </w:rPr>
  </w:style>
  <w:style w:type="paragraph" w:customStyle="1" w:styleId="L5Body">
    <w:name w:val="L5 Body"/>
    <w:basedOn w:val="Normal"/>
    <w:link w:val="L5BodyChar"/>
    <w:qFormat/>
    <w:rsid w:val="00BA212C"/>
    <w:pPr>
      <w:tabs>
        <w:tab w:val="clear" w:pos="7368"/>
      </w:tabs>
      <w:spacing w:after="170" w:line="220" w:lineRule="exact"/>
      <w:ind w:left="907" w:hanging="907"/>
      <w:outlineLvl w:val="4"/>
    </w:pPr>
    <w:rPr>
      <w:rFonts w:cstheme="majorHAnsi"/>
      <w:color w:val="000000" w:themeColor="text1"/>
      <w:sz w:val="18"/>
      <w:szCs w:val="18"/>
    </w:rPr>
  </w:style>
  <w:style w:type="character" w:customStyle="1" w:styleId="L4BodyChar">
    <w:name w:val="L4 Body Char"/>
    <w:basedOn w:val="DefaultParagraphFont"/>
    <w:link w:val="L4Body"/>
    <w:locked/>
    <w:rsid w:val="00BA212C"/>
    <w:rPr>
      <w:rFonts w:ascii="Arial" w:eastAsiaTheme="majorEastAsia" w:hAnsi="Arial" w:cs="Arial"/>
      <w:sz w:val="18"/>
      <w:szCs w:val="24"/>
    </w:rPr>
  </w:style>
  <w:style w:type="paragraph" w:customStyle="1" w:styleId="Caption-Fig">
    <w:name w:val="Caption - Fig"/>
    <w:basedOn w:val="Caption"/>
    <w:uiPriority w:val="1"/>
    <w:qFormat/>
    <w:rsid w:val="00BA212C"/>
    <w:pPr>
      <w:keepNext w:val="0"/>
      <w:tabs>
        <w:tab w:val="num" w:pos="360"/>
      </w:tabs>
      <w:spacing w:before="0" w:after="170" w:line="200" w:lineRule="exact"/>
      <w:ind w:left="0"/>
    </w:pPr>
    <w:rPr>
      <w:b w:val="0"/>
      <w:i w:val="0"/>
      <w:color w:val="646464"/>
      <w:sz w:val="16"/>
      <w:szCs w:val="18"/>
    </w:rPr>
  </w:style>
  <w:style w:type="character" w:customStyle="1" w:styleId="Caption-TableChar">
    <w:name w:val="Caption - Table Char"/>
    <w:basedOn w:val="DefaultParagraphFont"/>
    <w:link w:val="Caption-Table"/>
    <w:uiPriority w:val="1"/>
    <w:locked/>
    <w:rsid w:val="00BA212C"/>
    <w:rPr>
      <w:rFonts w:ascii="Arial" w:hAnsi="Arial" w:cs="Arial"/>
      <w:color w:val="646464"/>
      <w:sz w:val="16"/>
      <w:szCs w:val="18"/>
    </w:rPr>
  </w:style>
  <w:style w:type="paragraph" w:customStyle="1" w:styleId="Caption-Table">
    <w:name w:val="Caption - Table"/>
    <w:basedOn w:val="Caption"/>
    <w:link w:val="Caption-TableChar"/>
    <w:uiPriority w:val="1"/>
    <w:qFormat/>
    <w:rsid w:val="00BA212C"/>
    <w:pPr>
      <w:keepNext w:val="0"/>
      <w:spacing w:before="0" w:after="170" w:line="200" w:lineRule="exact"/>
      <w:ind w:left="907" w:hanging="907"/>
    </w:pPr>
    <w:rPr>
      <w:b w:val="0"/>
      <w:i w:val="0"/>
      <w:color w:val="646464"/>
      <w:sz w:val="16"/>
      <w:szCs w:val="18"/>
    </w:rPr>
  </w:style>
  <w:style w:type="table" w:customStyle="1" w:styleId="TGYTable">
    <w:name w:val="TGY Table"/>
    <w:basedOn w:val="TableNormal"/>
    <w:uiPriority w:val="99"/>
    <w:rsid w:val="00BA212C"/>
    <w:pPr>
      <w:spacing w:after="0" w:line="240" w:lineRule="auto"/>
    </w:pPr>
    <w:rPr>
      <w:rFonts w:ascii="Arial" w:hAnsi="Arial"/>
      <w:sz w:val="18"/>
    </w:rPr>
    <w:tblPr>
      <w:tblBorders>
        <w:top w:val="single" w:sz="4" w:space="0" w:color="5C688C"/>
        <w:left w:val="single" w:sz="4" w:space="0" w:color="5C688C"/>
        <w:bottom w:val="single" w:sz="4" w:space="0" w:color="5C688C"/>
        <w:right w:val="single" w:sz="4" w:space="0" w:color="5C688C"/>
        <w:insideH w:val="single" w:sz="4" w:space="0" w:color="5C688C"/>
        <w:insideV w:val="single" w:sz="4" w:space="0" w:color="5C688C"/>
      </w:tblBorders>
      <w:tblCellMar>
        <w:top w:w="113" w:type="dxa"/>
        <w:bottom w:w="113" w:type="dxa"/>
      </w:tblCellMar>
    </w:tblPr>
    <w:tblStylePr w:type="firstRow">
      <w:tblPr/>
      <w:tcPr>
        <w:shd w:val="clear" w:color="auto" w:fill="DBDBE6"/>
      </w:tcPr>
    </w:tblStylePr>
  </w:style>
  <w:style w:type="character" w:customStyle="1" w:styleId="L5BodyChar">
    <w:name w:val="L5 Body Char"/>
    <w:basedOn w:val="DefaultParagraphFont"/>
    <w:link w:val="L5Body"/>
    <w:locked/>
    <w:rsid w:val="00BA212C"/>
    <w:rPr>
      <w:rFonts w:ascii="Arial" w:hAnsi="Arial" w:cstheme="majorHAnsi"/>
      <w:color w:val="000000" w:themeColor="text1"/>
      <w:sz w:val="18"/>
      <w:szCs w:val="18"/>
    </w:rPr>
  </w:style>
  <w:style w:type="paragraph" w:styleId="ListParagraph">
    <w:name w:val="List Paragraph"/>
    <w:basedOn w:val="Normal"/>
    <w:uiPriority w:val="34"/>
    <w:qFormat/>
    <w:rsid w:val="0010699E"/>
    <w:pPr>
      <w:tabs>
        <w:tab w:val="clear" w:pos="7368"/>
      </w:tabs>
      <w:spacing w:after="160" w:line="259" w:lineRule="auto"/>
      <w:ind w:left="720"/>
      <w:contextualSpacing/>
    </w:pPr>
    <w:rPr>
      <w:rFonts w:asciiTheme="minorHAnsi" w:hAnsiTheme="minorHAnsi" w:cstheme="minorBidi"/>
    </w:rPr>
  </w:style>
  <w:style w:type="paragraph" w:styleId="EndnoteText">
    <w:name w:val="endnote text"/>
    <w:basedOn w:val="Normal"/>
    <w:link w:val="EndnoteTextChar"/>
    <w:uiPriority w:val="99"/>
    <w:semiHidden/>
    <w:unhideWhenUsed/>
    <w:rsid w:val="00942C0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2C0B"/>
    <w:rPr>
      <w:rFonts w:ascii="Arial" w:hAnsi="Arial" w:cs="Arial"/>
      <w:sz w:val="20"/>
      <w:szCs w:val="20"/>
    </w:rPr>
  </w:style>
  <w:style w:type="character" w:styleId="EndnoteReference">
    <w:name w:val="endnote reference"/>
    <w:basedOn w:val="DefaultParagraphFont"/>
    <w:uiPriority w:val="99"/>
    <w:semiHidden/>
    <w:unhideWhenUsed/>
    <w:rsid w:val="00942C0B"/>
    <w:rPr>
      <w:vertAlign w:val="superscript"/>
    </w:rPr>
  </w:style>
  <w:style w:type="character" w:customStyle="1" w:styleId="UnresolvedMention1">
    <w:name w:val="Unresolved Mention1"/>
    <w:basedOn w:val="DefaultParagraphFont"/>
    <w:uiPriority w:val="99"/>
    <w:semiHidden/>
    <w:unhideWhenUsed/>
    <w:rsid w:val="008B67E0"/>
    <w:rPr>
      <w:color w:val="605E5C"/>
      <w:shd w:val="clear" w:color="auto" w:fill="E1DFDD"/>
    </w:rPr>
  </w:style>
  <w:style w:type="paragraph" w:customStyle="1" w:styleId="NumH1">
    <w:name w:val="Num H1"/>
    <w:basedOn w:val="Heading1"/>
    <w:next w:val="NumBodyText"/>
    <w:uiPriority w:val="4"/>
    <w:qFormat/>
    <w:rsid w:val="00DC0A11"/>
    <w:pPr>
      <w:keepLines/>
      <w:numPr>
        <w:numId w:val="5"/>
      </w:numPr>
      <w:pBdr>
        <w:bottom w:val="single" w:sz="4" w:space="1" w:color="00AEEF" w:themeColor="accent2"/>
      </w:pBdr>
      <w:spacing w:before="240" w:after="240" w:line="240" w:lineRule="auto"/>
      <w:ind w:left="720" w:hanging="360"/>
    </w:pPr>
    <w:rPr>
      <w:rFonts w:cstheme="majorBidi"/>
      <w:bCs w:val="0"/>
      <w:caps/>
      <w:smallCaps w:val="0"/>
      <w:color w:val="000000" w:themeColor="text1"/>
      <w:sz w:val="32"/>
      <w:szCs w:val="32"/>
    </w:rPr>
  </w:style>
  <w:style w:type="paragraph" w:customStyle="1" w:styleId="NumH2">
    <w:name w:val="Num H2"/>
    <w:basedOn w:val="Heading2"/>
    <w:next w:val="NumBodyText"/>
    <w:uiPriority w:val="4"/>
    <w:qFormat/>
    <w:rsid w:val="00DC0A11"/>
    <w:pPr>
      <w:keepLines/>
      <w:numPr>
        <w:numId w:val="5"/>
      </w:numPr>
      <w:spacing w:before="40" w:after="60" w:line="240" w:lineRule="auto"/>
      <w:ind w:left="1440" w:hanging="360"/>
    </w:pPr>
    <w:rPr>
      <w:rFonts w:ascii="Arial Bold" w:hAnsi="Arial Bold" w:cstheme="majorBidi"/>
      <w:bCs w:val="0"/>
      <w:caps/>
      <w:color w:val="000000" w:themeColor="text1"/>
      <w:sz w:val="28"/>
    </w:rPr>
  </w:style>
  <w:style w:type="paragraph" w:customStyle="1" w:styleId="NumBodyText">
    <w:name w:val="Num Body Text"/>
    <w:basedOn w:val="Normal"/>
    <w:uiPriority w:val="1"/>
    <w:qFormat/>
    <w:rsid w:val="00DC0A11"/>
    <w:pPr>
      <w:numPr>
        <w:ilvl w:val="2"/>
        <w:numId w:val="5"/>
      </w:numPr>
      <w:tabs>
        <w:tab w:val="clear" w:pos="7368"/>
      </w:tabs>
      <w:spacing w:after="120" w:line="240" w:lineRule="auto"/>
    </w:pPr>
    <w:rPr>
      <w:rFonts w:cstheme="minorBidi"/>
      <w:sz w:val="20"/>
    </w:rPr>
  </w:style>
  <w:style w:type="paragraph" w:customStyle="1" w:styleId="BodyCopy-level104Body">
    <w:name w:val="Body Copy - level 1 (04 Body)"/>
    <w:basedOn w:val="Normal"/>
    <w:uiPriority w:val="99"/>
    <w:rsid w:val="0020666C"/>
    <w:pPr>
      <w:tabs>
        <w:tab w:val="clear" w:pos="7368"/>
      </w:tabs>
      <w:suppressAutoHyphens/>
      <w:autoSpaceDE w:val="0"/>
      <w:autoSpaceDN w:val="0"/>
      <w:adjustRightInd w:val="0"/>
      <w:spacing w:after="227" w:line="288" w:lineRule="auto"/>
      <w:textAlignment w:val="center"/>
    </w:pPr>
    <w:rPr>
      <w:color w:val="545855"/>
      <w:sz w:val="18"/>
      <w:szCs w:val="18"/>
    </w:rPr>
  </w:style>
  <w:style w:type="paragraph" w:styleId="Revision">
    <w:name w:val="Revision"/>
    <w:hidden/>
    <w:uiPriority w:val="99"/>
    <w:semiHidden/>
    <w:rsid w:val="00C4785D"/>
    <w:pPr>
      <w:spacing w:after="0" w:line="240" w:lineRule="auto"/>
    </w:pPr>
    <w:rPr>
      <w:rFonts w:ascii="Arial" w:hAnsi="Arial" w:cs="Arial"/>
    </w:rPr>
  </w:style>
  <w:style w:type="character" w:customStyle="1" w:styleId="ColorfulGrid-Accent1Char">
    <w:name w:val="Colorful Grid - Accent 1 Char"/>
    <w:link w:val="ColorfulGrid-Accent1"/>
    <w:uiPriority w:val="29"/>
    <w:rsid w:val="00D06E91"/>
    <w:rPr>
      <w:rFonts w:ascii="Arial" w:hAnsi="Arial" w:cs="Arial"/>
      <w:i/>
    </w:rPr>
  </w:style>
  <w:style w:type="table" w:styleId="ColorfulGrid-Accent1">
    <w:name w:val="Colorful Grid Accent 1"/>
    <w:basedOn w:val="TableNormal"/>
    <w:link w:val="ColorfulGrid-Accent1Char"/>
    <w:uiPriority w:val="29"/>
    <w:semiHidden/>
    <w:unhideWhenUsed/>
    <w:rsid w:val="00D06E91"/>
    <w:pPr>
      <w:spacing w:after="0" w:line="240" w:lineRule="auto"/>
    </w:pPr>
    <w:rPr>
      <w:rFonts w:ascii="Arial" w:hAnsi="Arial" w:cs="Arial"/>
      <w:i/>
    </w:rPr>
    <w:tblPr>
      <w:tblStyleRowBandSize w:val="1"/>
      <w:tblStyleColBandSize w:val="1"/>
      <w:tblBorders>
        <w:insideH w:val="single" w:sz="4" w:space="0" w:color="FFFFFF" w:themeColor="background1"/>
      </w:tblBorders>
    </w:tblPr>
    <w:tcPr>
      <w:shd w:val="clear" w:color="auto" w:fill="FADBD2" w:themeFill="accent1" w:themeFillTint="33"/>
    </w:tcPr>
    <w:tblStylePr w:type="firstRow">
      <w:tblPr/>
      <w:tcPr>
        <w:shd w:val="clear" w:color="auto" w:fill="F5B7A6" w:themeFill="accent1" w:themeFillTint="66"/>
      </w:tcPr>
    </w:tblStylePr>
    <w:tblStylePr w:type="lastRow">
      <w:tblPr/>
      <w:tcPr>
        <w:shd w:val="clear" w:color="auto" w:fill="F5B7A6" w:themeFill="accent1" w:themeFillTint="66"/>
      </w:tcPr>
    </w:tblStylePr>
    <w:tblStylePr w:type="firstCol">
      <w:tblPr/>
      <w:tcPr>
        <w:shd w:val="clear" w:color="auto" w:fill="B23513" w:themeFill="accent1" w:themeFillShade="BF"/>
      </w:tcPr>
    </w:tblStylePr>
    <w:tblStylePr w:type="lastCol">
      <w:tblPr/>
      <w:tcPr>
        <w:shd w:val="clear" w:color="auto" w:fill="B23513" w:themeFill="accent1" w:themeFillShade="BF"/>
      </w:tcPr>
    </w:tblStylePr>
    <w:tblStylePr w:type="band1Vert">
      <w:tblPr/>
      <w:tcPr>
        <w:shd w:val="clear" w:color="auto" w:fill="F3A590" w:themeFill="accent1" w:themeFillTint="7F"/>
      </w:tcPr>
    </w:tblStylePr>
    <w:tblStylePr w:type="band1Horz">
      <w:tblPr/>
      <w:tcPr>
        <w:shd w:val="clear" w:color="auto" w:fill="F3A590" w:themeFill="accent1" w:themeFillTint="7F"/>
      </w:tcPr>
    </w:tblStylePr>
  </w:style>
  <w:style w:type="paragraph" w:customStyle="1" w:styleId="usethisone">
    <w:name w:val="use this one"/>
    <w:basedOn w:val="Bullet1Unnumbered"/>
    <w:link w:val="usethisoneChar"/>
    <w:qFormat/>
    <w:rsid w:val="001B04CC"/>
    <w:rPr>
      <w:rFonts w:cstheme="minorHAnsi"/>
    </w:rPr>
  </w:style>
  <w:style w:type="character" w:customStyle="1" w:styleId="usethisoneChar">
    <w:name w:val="use this one Char"/>
    <w:basedOn w:val="Bullet1UnnumberedChar"/>
    <w:link w:val="usethisone"/>
    <w:rsid w:val="001B04CC"/>
    <w:rPr>
      <w:rFonts w:ascii="Arial" w:hAnsi="Arial" w:cstheme="minorHAnsi"/>
    </w:rPr>
  </w:style>
  <w:style w:type="paragraph" w:customStyle="1" w:styleId="BodyCopy-level1nospaceafter04Body">
    <w:name w:val="Body Copy - level 1 no space after (04 Body)"/>
    <w:basedOn w:val="BodyCopy-level104Body"/>
    <w:uiPriority w:val="99"/>
    <w:rsid w:val="008E5AE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3268">
      <w:bodyDiv w:val="1"/>
      <w:marLeft w:val="0"/>
      <w:marRight w:val="0"/>
      <w:marTop w:val="0"/>
      <w:marBottom w:val="0"/>
      <w:divBdr>
        <w:top w:val="none" w:sz="0" w:space="0" w:color="auto"/>
        <w:left w:val="none" w:sz="0" w:space="0" w:color="auto"/>
        <w:bottom w:val="none" w:sz="0" w:space="0" w:color="auto"/>
        <w:right w:val="none" w:sz="0" w:space="0" w:color="auto"/>
      </w:divBdr>
    </w:div>
    <w:div w:id="314839368">
      <w:bodyDiv w:val="1"/>
      <w:marLeft w:val="0"/>
      <w:marRight w:val="0"/>
      <w:marTop w:val="0"/>
      <w:marBottom w:val="0"/>
      <w:divBdr>
        <w:top w:val="none" w:sz="0" w:space="0" w:color="auto"/>
        <w:left w:val="none" w:sz="0" w:space="0" w:color="auto"/>
        <w:bottom w:val="none" w:sz="0" w:space="0" w:color="auto"/>
        <w:right w:val="none" w:sz="0" w:space="0" w:color="auto"/>
      </w:divBdr>
    </w:div>
    <w:div w:id="451677188">
      <w:bodyDiv w:val="1"/>
      <w:marLeft w:val="0"/>
      <w:marRight w:val="0"/>
      <w:marTop w:val="0"/>
      <w:marBottom w:val="0"/>
      <w:divBdr>
        <w:top w:val="none" w:sz="0" w:space="0" w:color="auto"/>
        <w:left w:val="none" w:sz="0" w:space="0" w:color="auto"/>
        <w:bottom w:val="none" w:sz="0" w:space="0" w:color="auto"/>
        <w:right w:val="none" w:sz="0" w:space="0" w:color="auto"/>
      </w:divBdr>
    </w:div>
    <w:div w:id="496045338">
      <w:bodyDiv w:val="1"/>
      <w:marLeft w:val="0"/>
      <w:marRight w:val="0"/>
      <w:marTop w:val="0"/>
      <w:marBottom w:val="0"/>
      <w:divBdr>
        <w:top w:val="none" w:sz="0" w:space="0" w:color="auto"/>
        <w:left w:val="none" w:sz="0" w:space="0" w:color="auto"/>
        <w:bottom w:val="none" w:sz="0" w:space="0" w:color="auto"/>
        <w:right w:val="none" w:sz="0" w:space="0" w:color="auto"/>
      </w:divBdr>
    </w:div>
    <w:div w:id="755709561">
      <w:bodyDiv w:val="1"/>
      <w:marLeft w:val="0"/>
      <w:marRight w:val="0"/>
      <w:marTop w:val="0"/>
      <w:marBottom w:val="0"/>
      <w:divBdr>
        <w:top w:val="none" w:sz="0" w:space="0" w:color="auto"/>
        <w:left w:val="none" w:sz="0" w:space="0" w:color="auto"/>
        <w:bottom w:val="none" w:sz="0" w:space="0" w:color="auto"/>
        <w:right w:val="none" w:sz="0" w:space="0" w:color="auto"/>
      </w:divBdr>
    </w:div>
    <w:div w:id="789394221">
      <w:bodyDiv w:val="1"/>
      <w:marLeft w:val="0"/>
      <w:marRight w:val="0"/>
      <w:marTop w:val="0"/>
      <w:marBottom w:val="0"/>
      <w:divBdr>
        <w:top w:val="none" w:sz="0" w:space="0" w:color="auto"/>
        <w:left w:val="none" w:sz="0" w:space="0" w:color="auto"/>
        <w:bottom w:val="none" w:sz="0" w:space="0" w:color="auto"/>
        <w:right w:val="none" w:sz="0" w:space="0" w:color="auto"/>
      </w:divBdr>
    </w:div>
    <w:div w:id="799956879">
      <w:bodyDiv w:val="1"/>
      <w:marLeft w:val="0"/>
      <w:marRight w:val="0"/>
      <w:marTop w:val="0"/>
      <w:marBottom w:val="0"/>
      <w:divBdr>
        <w:top w:val="none" w:sz="0" w:space="0" w:color="auto"/>
        <w:left w:val="none" w:sz="0" w:space="0" w:color="auto"/>
        <w:bottom w:val="none" w:sz="0" w:space="0" w:color="auto"/>
        <w:right w:val="none" w:sz="0" w:space="0" w:color="auto"/>
      </w:divBdr>
    </w:div>
    <w:div w:id="1021130027">
      <w:bodyDiv w:val="1"/>
      <w:marLeft w:val="0"/>
      <w:marRight w:val="0"/>
      <w:marTop w:val="0"/>
      <w:marBottom w:val="0"/>
      <w:divBdr>
        <w:top w:val="none" w:sz="0" w:space="0" w:color="auto"/>
        <w:left w:val="none" w:sz="0" w:space="0" w:color="auto"/>
        <w:bottom w:val="none" w:sz="0" w:space="0" w:color="auto"/>
        <w:right w:val="none" w:sz="0" w:space="0" w:color="auto"/>
      </w:divBdr>
    </w:div>
    <w:div w:id="1057124654">
      <w:bodyDiv w:val="1"/>
      <w:marLeft w:val="0"/>
      <w:marRight w:val="0"/>
      <w:marTop w:val="0"/>
      <w:marBottom w:val="0"/>
      <w:divBdr>
        <w:top w:val="none" w:sz="0" w:space="0" w:color="auto"/>
        <w:left w:val="none" w:sz="0" w:space="0" w:color="auto"/>
        <w:bottom w:val="none" w:sz="0" w:space="0" w:color="auto"/>
        <w:right w:val="none" w:sz="0" w:space="0" w:color="auto"/>
      </w:divBdr>
      <w:divsChild>
        <w:div w:id="1327708919">
          <w:marLeft w:val="0"/>
          <w:marRight w:val="0"/>
          <w:marTop w:val="0"/>
          <w:marBottom w:val="0"/>
          <w:divBdr>
            <w:top w:val="none" w:sz="0" w:space="0" w:color="auto"/>
            <w:left w:val="none" w:sz="0" w:space="0" w:color="auto"/>
            <w:bottom w:val="none" w:sz="0" w:space="0" w:color="auto"/>
            <w:right w:val="none" w:sz="0" w:space="0" w:color="auto"/>
          </w:divBdr>
          <w:divsChild>
            <w:div w:id="897593763">
              <w:marLeft w:val="0"/>
              <w:marRight w:val="0"/>
              <w:marTop w:val="0"/>
              <w:marBottom w:val="0"/>
              <w:divBdr>
                <w:top w:val="none" w:sz="0" w:space="0" w:color="auto"/>
                <w:left w:val="none" w:sz="0" w:space="0" w:color="auto"/>
                <w:bottom w:val="none" w:sz="0" w:space="0" w:color="auto"/>
                <w:right w:val="none" w:sz="0" w:space="0" w:color="auto"/>
              </w:divBdr>
              <w:divsChild>
                <w:div w:id="1748527343">
                  <w:marLeft w:val="0"/>
                  <w:marRight w:val="0"/>
                  <w:marTop w:val="0"/>
                  <w:marBottom w:val="0"/>
                  <w:divBdr>
                    <w:top w:val="none" w:sz="0" w:space="0" w:color="auto"/>
                    <w:left w:val="none" w:sz="0" w:space="0" w:color="auto"/>
                    <w:bottom w:val="none" w:sz="0" w:space="0" w:color="auto"/>
                    <w:right w:val="none" w:sz="0" w:space="0" w:color="auto"/>
                  </w:divBdr>
                  <w:divsChild>
                    <w:div w:id="1814059110">
                      <w:marLeft w:val="0"/>
                      <w:marRight w:val="0"/>
                      <w:marTop w:val="0"/>
                      <w:marBottom w:val="0"/>
                      <w:divBdr>
                        <w:top w:val="none" w:sz="0" w:space="0" w:color="auto"/>
                        <w:left w:val="none" w:sz="0" w:space="0" w:color="auto"/>
                        <w:bottom w:val="none" w:sz="0" w:space="0" w:color="auto"/>
                        <w:right w:val="none" w:sz="0" w:space="0" w:color="auto"/>
                      </w:divBdr>
                      <w:divsChild>
                        <w:div w:id="1540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214465">
      <w:bodyDiv w:val="1"/>
      <w:marLeft w:val="0"/>
      <w:marRight w:val="0"/>
      <w:marTop w:val="0"/>
      <w:marBottom w:val="0"/>
      <w:divBdr>
        <w:top w:val="none" w:sz="0" w:space="0" w:color="auto"/>
        <w:left w:val="none" w:sz="0" w:space="0" w:color="auto"/>
        <w:bottom w:val="none" w:sz="0" w:space="0" w:color="auto"/>
        <w:right w:val="none" w:sz="0" w:space="0" w:color="auto"/>
      </w:divBdr>
    </w:div>
    <w:div w:id="1302272186">
      <w:bodyDiv w:val="1"/>
      <w:marLeft w:val="0"/>
      <w:marRight w:val="0"/>
      <w:marTop w:val="0"/>
      <w:marBottom w:val="0"/>
      <w:divBdr>
        <w:top w:val="none" w:sz="0" w:space="0" w:color="auto"/>
        <w:left w:val="none" w:sz="0" w:space="0" w:color="auto"/>
        <w:bottom w:val="none" w:sz="0" w:space="0" w:color="auto"/>
        <w:right w:val="none" w:sz="0" w:space="0" w:color="auto"/>
      </w:divBdr>
    </w:div>
    <w:div w:id="1353922494">
      <w:bodyDiv w:val="1"/>
      <w:marLeft w:val="0"/>
      <w:marRight w:val="0"/>
      <w:marTop w:val="0"/>
      <w:marBottom w:val="0"/>
      <w:divBdr>
        <w:top w:val="none" w:sz="0" w:space="0" w:color="auto"/>
        <w:left w:val="none" w:sz="0" w:space="0" w:color="auto"/>
        <w:bottom w:val="none" w:sz="0" w:space="0" w:color="auto"/>
        <w:right w:val="none" w:sz="0" w:space="0" w:color="auto"/>
      </w:divBdr>
    </w:div>
    <w:div w:id="1497766807">
      <w:bodyDiv w:val="1"/>
      <w:marLeft w:val="0"/>
      <w:marRight w:val="0"/>
      <w:marTop w:val="0"/>
      <w:marBottom w:val="0"/>
      <w:divBdr>
        <w:top w:val="none" w:sz="0" w:space="0" w:color="auto"/>
        <w:left w:val="none" w:sz="0" w:space="0" w:color="auto"/>
        <w:bottom w:val="none" w:sz="0" w:space="0" w:color="auto"/>
        <w:right w:val="none" w:sz="0" w:space="0" w:color="auto"/>
      </w:divBdr>
    </w:div>
    <w:div w:id="185888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emple">
      <a:dk1>
        <a:srgbClr val="000000"/>
      </a:dk1>
      <a:lt1>
        <a:srgbClr val="FFFFFF"/>
      </a:lt1>
      <a:dk2>
        <a:srgbClr val="002159"/>
      </a:dk2>
      <a:lt2>
        <a:srgbClr val="F6F6F7"/>
      </a:lt2>
      <a:accent1>
        <a:srgbClr val="E74D22"/>
      </a:accent1>
      <a:accent2>
        <a:srgbClr val="00AEEF"/>
      </a:accent2>
      <a:accent3>
        <a:srgbClr val="000000"/>
      </a:accent3>
      <a:accent4>
        <a:srgbClr val="A7A9AC"/>
      </a:accent4>
      <a:accent5>
        <a:srgbClr val="002159"/>
      </a:accent5>
      <a:accent6>
        <a:srgbClr val="99A6BD"/>
      </a:accent6>
      <a:hlink>
        <a:srgbClr val="002159"/>
      </a:hlink>
      <a:folHlink>
        <a:srgbClr val="99A6B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AA0B6-296A-47F7-8BFA-773F14FBA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Erica Ward</dc:creator>
  <cp:lastModifiedBy>pati-svc</cp:lastModifiedBy>
  <cp:revision>2</cp:revision>
  <cp:lastPrinted>2020-05-26T11:56:00Z</cp:lastPrinted>
  <dcterms:created xsi:type="dcterms:W3CDTF">2021-05-27T09:05:00Z</dcterms:created>
  <dcterms:modified xsi:type="dcterms:W3CDTF">2021-05-27T09:05:00Z</dcterms:modified>
</cp:coreProperties>
</file>