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CFE" w:rsidRPr="00160EF1"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160EF1">
        <w:rPr>
          <w:rFonts w:ascii="Trebuchet MS" w:hAnsi="Trebuchet MS"/>
          <w:b/>
          <w:sz w:val="22"/>
          <w:szCs w:val="22"/>
        </w:rPr>
        <w:t xml:space="preserve">    </w:t>
      </w:r>
      <w:r w:rsidR="00633773" w:rsidRPr="006A0B28">
        <w:rPr>
          <w:rFonts w:ascii="Trebuchet MS" w:hAnsi="Trebuchet MS"/>
          <w:b/>
          <w:sz w:val="22"/>
          <w:szCs w:val="22"/>
        </w:rPr>
        <w:t>Target Date:</w:t>
      </w:r>
      <w:r w:rsidR="00160EF1">
        <w:rPr>
          <w:rFonts w:ascii="Trebuchet MS" w:hAnsi="Trebuchet MS"/>
          <w:b/>
          <w:sz w:val="22"/>
          <w:szCs w:val="22"/>
        </w:rPr>
        <w:t xml:space="preserve"> </w:t>
      </w:r>
      <w:r w:rsidR="00160EF1">
        <w:rPr>
          <w:rFonts w:ascii="Trebuchet MS" w:hAnsi="Trebuchet MS"/>
          <w:sz w:val="22"/>
          <w:szCs w:val="22"/>
        </w:rPr>
        <w:t>14/04/21</w:t>
      </w:r>
    </w:p>
    <w:p w:rsidR="00FA1CFE" w:rsidRPr="006A0B28" w:rsidRDefault="00FA1CFE" w:rsidP="006A0B28">
      <w:pPr>
        <w:rPr>
          <w:rFonts w:ascii="Trebuchet MS" w:hAnsi="Trebuchet MS"/>
          <w:b/>
          <w:sz w:val="22"/>
          <w:szCs w:val="22"/>
        </w:rPr>
      </w:pPr>
    </w:p>
    <w:p w:rsidR="00FA1CFE" w:rsidRPr="00CB2D42" w:rsidRDefault="00E90482" w:rsidP="006A0B28">
      <w:pPr>
        <w:rPr>
          <w:rFonts w:ascii="Trebuchet MS" w:hAnsi="Trebuchet MS"/>
          <w:sz w:val="22"/>
          <w:szCs w:val="22"/>
        </w:rPr>
      </w:pPr>
      <w:r w:rsidRPr="006A0B28">
        <w:rPr>
          <w:rFonts w:ascii="Trebuchet MS" w:hAnsi="Trebuchet MS"/>
          <w:b/>
          <w:sz w:val="22"/>
          <w:szCs w:val="22"/>
        </w:rPr>
        <w:t>Application No:</w:t>
      </w:r>
      <w:r w:rsidR="00CB2D42">
        <w:rPr>
          <w:rFonts w:ascii="Trebuchet MS" w:hAnsi="Trebuchet MS"/>
          <w:b/>
          <w:sz w:val="22"/>
          <w:szCs w:val="22"/>
        </w:rPr>
        <w:t xml:space="preserve"> </w:t>
      </w:r>
      <w:r w:rsidR="00CB2D42">
        <w:rPr>
          <w:rFonts w:ascii="Trebuchet MS" w:hAnsi="Trebuchet MS"/>
          <w:sz w:val="22"/>
          <w:szCs w:val="22"/>
        </w:rPr>
        <w:t>210270/HOU</w:t>
      </w:r>
    </w:p>
    <w:p w:rsidR="00FA1CFE" w:rsidRPr="00CB2D42" w:rsidRDefault="00FA1CFE" w:rsidP="006A0B28">
      <w:pPr>
        <w:rPr>
          <w:rFonts w:ascii="Trebuchet MS" w:hAnsi="Trebuchet MS"/>
          <w:sz w:val="22"/>
          <w:szCs w:val="22"/>
        </w:rPr>
      </w:pPr>
      <w:r w:rsidRPr="006A0B28">
        <w:rPr>
          <w:rFonts w:ascii="Trebuchet MS" w:hAnsi="Trebuchet MS"/>
          <w:b/>
          <w:sz w:val="22"/>
          <w:szCs w:val="22"/>
        </w:rPr>
        <w:t xml:space="preserve">Address: </w:t>
      </w:r>
      <w:r w:rsidR="00CB2D42">
        <w:rPr>
          <w:rFonts w:ascii="Trebuchet MS" w:hAnsi="Trebuchet MS"/>
          <w:sz w:val="22"/>
          <w:szCs w:val="22"/>
        </w:rPr>
        <w:t>159 Henley Road</w:t>
      </w:r>
    </w:p>
    <w:p w:rsidR="00D235B9" w:rsidRPr="00160EF1" w:rsidRDefault="00FA1CFE" w:rsidP="006A0B28">
      <w:pPr>
        <w:rPr>
          <w:rFonts w:ascii="Trebuchet MS" w:hAnsi="Trebuchet MS"/>
          <w:sz w:val="22"/>
          <w:szCs w:val="22"/>
        </w:rPr>
      </w:pPr>
      <w:r w:rsidRPr="006A0B28">
        <w:rPr>
          <w:rFonts w:ascii="Trebuchet MS" w:hAnsi="Trebuchet MS"/>
          <w:b/>
          <w:sz w:val="22"/>
          <w:szCs w:val="22"/>
        </w:rPr>
        <w:t xml:space="preserve">Proposal: </w:t>
      </w:r>
      <w:r w:rsidR="00160EF1">
        <w:rPr>
          <w:rFonts w:ascii="Trebuchet MS" w:hAnsi="Trebuchet MS"/>
          <w:sz w:val="22"/>
          <w:szCs w:val="22"/>
        </w:rPr>
        <w:t>Two storey side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160EF1" w:rsidRPr="00160EF1" w:rsidRDefault="00160EF1" w:rsidP="006A0B28">
      <w:pPr>
        <w:rPr>
          <w:rFonts w:ascii="Trebuchet MS" w:hAnsi="Trebuchet MS"/>
          <w:sz w:val="22"/>
          <w:szCs w:val="22"/>
        </w:rPr>
      </w:pPr>
      <w:r>
        <w:rPr>
          <w:rFonts w:ascii="Trebuchet MS" w:hAnsi="Trebuchet MS"/>
          <w:sz w:val="22"/>
          <w:szCs w:val="22"/>
        </w:rPr>
        <w:t xml:space="preserve">159 Henley Road is a </w:t>
      </w:r>
      <w:proofErr w:type="gramStart"/>
      <w:r>
        <w:rPr>
          <w:rFonts w:ascii="Trebuchet MS" w:hAnsi="Trebuchet MS"/>
          <w:sz w:val="22"/>
          <w:szCs w:val="22"/>
        </w:rPr>
        <w:t>two storey</w:t>
      </w:r>
      <w:proofErr w:type="gramEnd"/>
      <w:r>
        <w:rPr>
          <w:rFonts w:ascii="Trebuchet MS" w:hAnsi="Trebuchet MS"/>
          <w:sz w:val="22"/>
          <w:szCs w:val="22"/>
        </w:rPr>
        <w:t xml:space="preserve"> end-of-terraced dwelling. The dwelling benefits from single storey front and side extensions, and a part one, part two storey rear extension. A narrow path separates no. 159 and no. 157. The surrounding area is residential in character.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917558" w:rsidRPr="00917558" w:rsidRDefault="00917558" w:rsidP="006A0B28">
      <w:pPr>
        <w:rPr>
          <w:rFonts w:ascii="Trebuchet MS" w:hAnsi="Trebuchet MS"/>
          <w:sz w:val="22"/>
          <w:szCs w:val="22"/>
        </w:rPr>
      </w:pPr>
      <w:r>
        <w:rPr>
          <w:rFonts w:ascii="Trebuchet MS" w:hAnsi="Trebuchet MS"/>
          <w:sz w:val="22"/>
          <w:szCs w:val="22"/>
        </w:rPr>
        <w:t xml:space="preserve">The proposal is for a </w:t>
      </w:r>
      <w:proofErr w:type="gramStart"/>
      <w:r>
        <w:rPr>
          <w:rFonts w:ascii="Trebuchet MS" w:hAnsi="Trebuchet MS"/>
          <w:sz w:val="22"/>
          <w:szCs w:val="22"/>
        </w:rPr>
        <w:t>two storey</w:t>
      </w:r>
      <w:proofErr w:type="gramEnd"/>
      <w:r>
        <w:rPr>
          <w:rFonts w:ascii="Trebuchet MS" w:hAnsi="Trebuchet MS"/>
          <w:sz w:val="22"/>
          <w:szCs w:val="22"/>
        </w:rPr>
        <w:t xml:space="preserve"> side extension. The </w:t>
      </w:r>
      <w:r w:rsidR="00E32636">
        <w:rPr>
          <w:rFonts w:ascii="Trebuchet MS" w:hAnsi="Trebuchet MS"/>
          <w:sz w:val="22"/>
          <w:szCs w:val="22"/>
        </w:rPr>
        <w:t>proposal</w:t>
      </w:r>
      <w:r>
        <w:rPr>
          <w:rFonts w:ascii="Trebuchet MS" w:hAnsi="Trebuchet MS"/>
          <w:sz w:val="22"/>
          <w:szCs w:val="22"/>
        </w:rPr>
        <w:t xml:space="preserve"> would </w:t>
      </w:r>
      <w:r w:rsidR="00E32636">
        <w:rPr>
          <w:rFonts w:ascii="Trebuchet MS" w:hAnsi="Trebuchet MS"/>
          <w:sz w:val="22"/>
          <w:szCs w:val="22"/>
        </w:rPr>
        <w:t xml:space="preserve">extend at the same width as the existing single storey side extension, projecting to a total depth of 9m, 4m beyond the original rear elevation. The proposal would have a minimal set back from the principal elevation, and a minimal set down from the original ridgeline. </w:t>
      </w:r>
      <w:r w:rsidR="004D350A">
        <w:rPr>
          <w:rFonts w:ascii="Trebuchet MS" w:hAnsi="Trebuchet MS"/>
          <w:sz w:val="22"/>
          <w:szCs w:val="22"/>
        </w:rPr>
        <w:t xml:space="preserve">The hipped roof form of the existing two storey extension would be enlarged to accommodate the proposal. Fenestration would be located to the front and rear elevations. External materials would match those of the existing dwelling.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4D350A">
        <w:rPr>
          <w:rFonts w:ascii="Trebuchet MS" w:hAnsi="Trebuchet MS"/>
          <w:sz w:val="22"/>
          <w:szCs w:val="22"/>
        </w:rPr>
        <w:t>18/02/21:</w:t>
      </w:r>
    </w:p>
    <w:p w:rsidR="004D350A" w:rsidRDefault="004D350A" w:rsidP="006A0B28">
      <w:pPr>
        <w:rPr>
          <w:rFonts w:ascii="Trebuchet MS" w:hAnsi="Trebuchet MS"/>
          <w:sz w:val="22"/>
          <w:szCs w:val="22"/>
        </w:rPr>
      </w:pPr>
      <w:r>
        <w:rPr>
          <w:rFonts w:ascii="Trebuchet MS" w:hAnsi="Trebuchet MS"/>
          <w:sz w:val="22"/>
          <w:szCs w:val="22"/>
        </w:rPr>
        <w:t>Drawing No: 00121-07 – Site Location and Block Plan</w:t>
      </w:r>
    </w:p>
    <w:p w:rsidR="004D350A" w:rsidRDefault="004D350A" w:rsidP="006A0B28">
      <w:pPr>
        <w:rPr>
          <w:rFonts w:ascii="Trebuchet MS" w:hAnsi="Trebuchet MS"/>
          <w:sz w:val="22"/>
          <w:szCs w:val="22"/>
        </w:rPr>
      </w:pPr>
      <w:r>
        <w:rPr>
          <w:rFonts w:ascii="Trebuchet MS" w:hAnsi="Trebuchet MS"/>
          <w:sz w:val="22"/>
          <w:szCs w:val="22"/>
        </w:rPr>
        <w:t>Drawing No: 00121-01 – Existing Ground Floor Plan</w:t>
      </w:r>
    </w:p>
    <w:p w:rsidR="004D350A" w:rsidRDefault="004D350A" w:rsidP="006A0B28">
      <w:pPr>
        <w:rPr>
          <w:rFonts w:ascii="Trebuchet MS" w:hAnsi="Trebuchet MS"/>
          <w:sz w:val="22"/>
          <w:szCs w:val="22"/>
        </w:rPr>
      </w:pPr>
      <w:r>
        <w:rPr>
          <w:rFonts w:ascii="Trebuchet MS" w:hAnsi="Trebuchet MS"/>
          <w:sz w:val="22"/>
          <w:szCs w:val="22"/>
        </w:rPr>
        <w:t>Drawing No: 00121-02 – Existing First Floor Plan</w:t>
      </w:r>
    </w:p>
    <w:p w:rsidR="004D350A" w:rsidRDefault="004D350A" w:rsidP="006A0B28">
      <w:pPr>
        <w:rPr>
          <w:rFonts w:ascii="Trebuchet MS" w:hAnsi="Trebuchet MS"/>
          <w:sz w:val="22"/>
          <w:szCs w:val="22"/>
        </w:rPr>
      </w:pPr>
      <w:r>
        <w:rPr>
          <w:rFonts w:ascii="Trebuchet MS" w:hAnsi="Trebuchet MS"/>
          <w:sz w:val="22"/>
          <w:szCs w:val="22"/>
        </w:rPr>
        <w:t>Drawing No: 00121-04 – Proposed Ground Floor Plan</w:t>
      </w:r>
    </w:p>
    <w:p w:rsidR="004D350A" w:rsidRDefault="004D350A" w:rsidP="006A0B28">
      <w:pPr>
        <w:rPr>
          <w:rFonts w:ascii="Trebuchet MS" w:hAnsi="Trebuchet MS"/>
          <w:sz w:val="22"/>
          <w:szCs w:val="22"/>
        </w:rPr>
      </w:pPr>
      <w:r>
        <w:rPr>
          <w:rFonts w:ascii="Trebuchet MS" w:hAnsi="Trebuchet MS"/>
          <w:sz w:val="22"/>
          <w:szCs w:val="22"/>
        </w:rPr>
        <w:t>Drawing No: 00121-05 – Proposed First Floor Plan</w:t>
      </w:r>
    </w:p>
    <w:p w:rsidR="004D350A" w:rsidRDefault="004D350A" w:rsidP="006A0B28">
      <w:pPr>
        <w:rPr>
          <w:rFonts w:ascii="Trebuchet MS" w:hAnsi="Trebuchet MS"/>
          <w:sz w:val="22"/>
          <w:szCs w:val="22"/>
        </w:rPr>
      </w:pPr>
      <w:r>
        <w:rPr>
          <w:rFonts w:ascii="Trebuchet MS" w:hAnsi="Trebuchet MS"/>
          <w:sz w:val="22"/>
          <w:szCs w:val="22"/>
        </w:rPr>
        <w:t>Drawing No: 00121-03 – Existing Elevations</w:t>
      </w:r>
    </w:p>
    <w:p w:rsidR="004D350A" w:rsidRPr="006A0B28" w:rsidRDefault="004D350A" w:rsidP="006A0B28">
      <w:pPr>
        <w:rPr>
          <w:rFonts w:ascii="Trebuchet MS" w:hAnsi="Trebuchet MS"/>
          <w:sz w:val="22"/>
          <w:szCs w:val="22"/>
        </w:rPr>
      </w:pPr>
      <w:r>
        <w:rPr>
          <w:rFonts w:ascii="Trebuchet MS" w:hAnsi="Trebuchet MS"/>
          <w:sz w:val="22"/>
          <w:szCs w:val="22"/>
        </w:rPr>
        <w:t>Drawing No: 00121-06 – Proposed Elevations</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160EF1" w:rsidRPr="00160EF1" w:rsidRDefault="00160EF1" w:rsidP="006A0B28">
      <w:pPr>
        <w:rPr>
          <w:rFonts w:ascii="Trebuchet MS" w:hAnsi="Trebuchet MS"/>
          <w:sz w:val="22"/>
          <w:szCs w:val="22"/>
        </w:rPr>
      </w:pPr>
      <w:r>
        <w:rPr>
          <w:rFonts w:ascii="Trebuchet MS" w:hAnsi="Trebuchet MS"/>
          <w:sz w:val="22"/>
          <w:szCs w:val="22"/>
        </w:rPr>
        <w:t>131028/HOU – First floor rear extension – Permitted 05/09/13</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5E0C12" w:rsidRPr="005E0C12" w:rsidRDefault="005E0C12" w:rsidP="006A0B28">
      <w:pPr>
        <w:rPr>
          <w:rFonts w:ascii="Trebuchet MS" w:hAnsi="Trebuchet MS"/>
          <w:sz w:val="22"/>
          <w:szCs w:val="22"/>
        </w:rPr>
      </w:pPr>
      <w:r>
        <w:rPr>
          <w:rFonts w:ascii="Trebuchet MS" w:hAnsi="Trebuchet MS"/>
          <w:sz w:val="22"/>
          <w:szCs w:val="22"/>
        </w:rPr>
        <w:t xml:space="preserve">Neighbouring </w:t>
      </w:r>
      <w:r w:rsidR="002E1068">
        <w:rPr>
          <w:rFonts w:ascii="Trebuchet MS" w:hAnsi="Trebuchet MS"/>
          <w:sz w:val="22"/>
          <w:szCs w:val="22"/>
        </w:rPr>
        <w:t xml:space="preserve">properties at 157 and 161 Henley Road, and 55 and 57 Lower Henley Road were consulted by letter. No representations were received. </w:t>
      </w:r>
    </w:p>
    <w:p w:rsidR="00FA1CFE" w:rsidRPr="006A0B28" w:rsidRDefault="00FA1CFE"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2E1068" w:rsidRPr="002E1068" w:rsidRDefault="002E1068" w:rsidP="006A0B28">
      <w:pPr>
        <w:rPr>
          <w:rFonts w:ascii="Trebuchet MS" w:hAnsi="Trebuchet MS"/>
          <w:sz w:val="22"/>
          <w:szCs w:val="22"/>
        </w:rPr>
      </w:pPr>
      <w:r>
        <w:rPr>
          <w:rFonts w:ascii="Trebuchet MS" w:hAnsi="Trebuchet MS"/>
          <w:sz w:val="22"/>
          <w:szCs w:val="22"/>
        </w:rPr>
        <w:t xml:space="preserve">The agent was advised by email, dated 08/04/21, of significant concerns held with the proposal and that the application was subject for refusal. No response was received.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lastRenderedPageBreak/>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Default="00525C5C" w:rsidP="0041021B">
      <w:pPr>
        <w:rPr>
          <w:rFonts w:ascii="Trebuchet MS" w:hAnsi="Trebuchet MS"/>
          <w:sz w:val="22"/>
          <w:szCs w:val="22"/>
          <w:u w:val="single"/>
        </w:rPr>
      </w:pPr>
      <w:r w:rsidRPr="006A0B28">
        <w:rPr>
          <w:rFonts w:ascii="Trebuchet MS" w:hAnsi="Trebuchet MS"/>
          <w:sz w:val="22"/>
          <w:szCs w:val="22"/>
          <w:u w:val="single"/>
        </w:rPr>
        <w:t xml:space="preserve">Reading Borough Local </w:t>
      </w:r>
      <w:r w:rsidR="0041021B">
        <w:rPr>
          <w:rFonts w:ascii="Trebuchet MS" w:hAnsi="Trebuchet MS"/>
          <w:sz w:val="22"/>
          <w:szCs w:val="22"/>
          <w:u w:val="single"/>
        </w:rPr>
        <w:t>Plan (2019)</w:t>
      </w:r>
    </w:p>
    <w:p w:rsidR="0041021B" w:rsidRDefault="0041021B" w:rsidP="0041021B">
      <w:pPr>
        <w:rPr>
          <w:rFonts w:ascii="Trebuchet MS" w:hAnsi="Trebuchet MS"/>
          <w:sz w:val="22"/>
          <w:szCs w:val="22"/>
        </w:rPr>
      </w:pPr>
      <w:r>
        <w:rPr>
          <w:rFonts w:ascii="Trebuchet MS" w:hAnsi="Trebuchet MS"/>
          <w:sz w:val="22"/>
          <w:szCs w:val="22"/>
        </w:rPr>
        <w:t>Policy CC7 – Design and the Public Realm</w:t>
      </w:r>
    </w:p>
    <w:p w:rsidR="0041021B" w:rsidRDefault="0041021B" w:rsidP="0041021B">
      <w:pPr>
        <w:rPr>
          <w:rFonts w:ascii="Trebuchet MS" w:hAnsi="Trebuchet MS"/>
          <w:sz w:val="22"/>
          <w:szCs w:val="22"/>
        </w:rPr>
      </w:pPr>
      <w:r>
        <w:rPr>
          <w:rFonts w:ascii="Trebuchet MS" w:hAnsi="Trebuchet MS"/>
          <w:sz w:val="22"/>
          <w:szCs w:val="22"/>
        </w:rPr>
        <w:t>Policy CC8 – Safeguarding Amenity</w:t>
      </w:r>
    </w:p>
    <w:p w:rsidR="0041021B" w:rsidRPr="006A0B28" w:rsidRDefault="0041021B" w:rsidP="0041021B">
      <w:pPr>
        <w:rPr>
          <w:rFonts w:ascii="Trebuchet MS" w:hAnsi="Trebuchet MS"/>
          <w:sz w:val="22"/>
          <w:szCs w:val="22"/>
        </w:rPr>
      </w:pPr>
      <w:r>
        <w:rPr>
          <w:rFonts w:ascii="Trebuchet MS" w:hAnsi="Trebuchet MS"/>
          <w:sz w:val="22"/>
          <w:szCs w:val="22"/>
        </w:rPr>
        <w:t xml:space="preserve">Policy H9 – House Extensions and Ancillary Accommodation </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 xml:space="preserve">Design Guide to House Extensions </w:t>
      </w:r>
      <w:r w:rsidR="0041021B">
        <w:rPr>
          <w:rFonts w:ascii="Trebuchet MS" w:hAnsi="Trebuchet MS"/>
          <w:sz w:val="22"/>
          <w:szCs w:val="22"/>
          <w:u w:val="single"/>
        </w:rPr>
        <w:t xml:space="preserve">SPD </w:t>
      </w:r>
      <w:r w:rsidRPr="006A0B28">
        <w:rPr>
          <w:rFonts w:ascii="Trebuchet MS" w:hAnsi="Trebuchet MS"/>
          <w:sz w:val="22"/>
          <w:szCs w:val="22"/>
          <w:u w:val="single"/>
        </w:rPr>
        <w:t>(20</w:t>
      </w:r>
      <w:r w:rsidR="0041021B">
        <w:rPr>
          <w:rFonts w:ascii="Trebuchet MS" w:hAnsi="Trebuchet MS"/>
          <w:sz w:val="22"/>
          <w:szCs w:val="22"/>
          <w:u w:val="single"/>
        </w:rPr>
        <w:t>21</w:t>
      </w:r>
      <w:r w:rsidRPr="006A0B28">
        <w:rPr>
          <w:rFonts w:ascii="Trebuchet MS" w:hAnsi="Trebuchet MS"/>
          <w:sz w:val="22"/>
          <w:szCs w:val="22"/>
          <w:u w:val="single"/>
        </w:rPr>
        <w:t>)</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2E1068" w:rsidRPr="00EF09D1" w:rsidRDefault="002E1068" w:rsidP="002E1068">
      <w:pPr>
        <w:rPr>
          <w:rFonts w:ascii="Trebuchet MS" w:hAnsi="Trebuchet MS"/>
          <w:sz w:val="22"/>
          <w:szCs w:val="22"/>
        </w:rPr>
      </w:pPr>
      <w:r w:rsidRPr="004B7EE6">
        <w:rPr>
          <w:rFonts w:ascii="Trebuchet MS" w:hAnsi="Trebuchet MS"/>
          <w:sz w:val="22"/>
          <w:szCs w:val="22"/>
        </w:rPr>
        <w:t>The case officer was able to make a full assessment of the proposal using photographs of the site supplied by the applicant/agent and Google Maps data</w:t>
      </w:r>
      <w:r>
        <w:rPr>
          <w:rFonts w:ascii="Trebuchet MS" w:hAnsi="Trebuchet MS"/>
          <w:sz w:val="22"/>
          <w:szCs w:val="22"/>
        </w:rPr>
        <w:t>.</w:t>
      </w:r>
    </w:p>
    <w:p w:rsidR="002E1068" w:rsidRPr="006A0B28" w:rsidRDefault="002E1068" w:rsidP="002E1068">
      <w:pPr>
        <w:rPr>
          <w:rFonts w:ascii="Trebuchet MS" w:hAnsi="Trebuchet MS"/>
          <w:b/>
          <w:sz w:val="22"/>
          <w:szCs w:val="22"/>
        </w:rPr>
      </w:pPr>
    </w:p>
    <w:p w:rsidR="002E1068" w:rsidRPr="005477FA" w:rsidRDefault="002E1068" w:rsidP="002E1068">
      <w:pPr>
        <w:rPr>
          <w:rFonts w:ascii="Trebuchet MS" w:hAnsi="Trebuchet MS"/>
          <w:sz w:val="22"/>
          <w:szCs w:val="22"/>
        </w:rPr>
      </w:pPr>
      <w:r>
        <w:rPr>
          <w:rFonts w:ascii="Trebuchet MS" w:hAnsi="Trebuchet MS"/>
          <w:sz w:val="22"/>
          <w:szCs w:val="22"/>
        </w:rPr>
        <w:t>Policy H9 states that an extension to a house will be acceptable where it respects the character and appearance of the house in terms of scale, location, materials and design. The Design Guide to House Extensions SPD describes the design principles against which proposals will be judged. The SPD states ‘</w:t>
      </w:r>
      <w:r>
        <w:rPr>
          <w:rFonts w:ascii="Trebuchet MS" w:hAnsi="Trebuchet MS"/>
          <w:i/>
          <w:sz w:val="22"/>
          <w:szCs w:val="22"/>
        </w:rPr>
        <w:t xml:space="preserve">proposals that appear bulky and sizeable in relation to the existing dwelling will not be considered favourably’. </w:t>
      </w:r>
      <w:r w:rsidRPr="005477FA">
        <w:rPr>
          <w:rFonts w:ascii="Trebuchet MS" w:hAnsi="Trebuchet MS"/>
          <w:sz w:val="22"/>
          <w:szCs w:val="22"/>
        </w:rPr>
        <w:t xml:space="preserve">There is a requirement that </w:t>
      </w:r>
      <w:r>
        <w:rPr>
          <w:rFonts w:ascii="Trebuchet MS" w:hAnsi="Trebuchet MS"/>
          <w:sz w:val="22"/>
          <w:szCs w:val="22"/>
        </w:rPr>
        <w:t xml:space="preserve">extensions complement the design of, and do not appear overbearing to, the existing dwelling. </w:t>
      </w:r>
      <w:r>
        <w:rPr>
          <w:rFonts w:ascii="Trebuchet MS" w:hAnsi="Trebuchet MS"/>
          <w:sz w:val="22"/>
          <w:szCs w:val="22"/>
        </w:rPr>
        <w:t xml:space="preserve">Two storey side extensions should be designed to be smaller in scale than the main dwelling. This can be achieved by setting the extension back from the principal elevation, down from the original ridgeline and away from sideward boundaries. </w:t>
      </w:r>
    </w:p>
    <w:p w:rsidR="002E1068" w:rsidRDefault="002E1068" w:rsidP="002E1068">
      <w:pPr>
        <w:rPr>
          <w:rFonts w:ascii="Trebuchet MS" w:hAnsi="Trebuchet MS"/>
          <w:sz w:val="22"/>
          <w:szCs w:val="22"/>
        </w:rPr>
      </w:pPr>
    </w:p>
    <w:p w:rsidR="003E496A" w:rsidRDefault="002E1068" w:rsidP="003E496A">
      <w:pPr>
        <w:rPr>
          <w:rFonts w:ascii="Trebuchet MS" w:hAnsi="Trebuchet MS"/>
          <w:sz w:val="22"/>
          <w:szCs w:val="22"/>
        </w:rPr>
      </w:pPr>
      <w:r>
        <w:rPr>
          <w:rFonts w:ascii="Trebuchet MS" w:hAnsi="Trebuchet MS"/>
          <w:sz w:val="22"/>
          <w:szCs w:val="22"/>
        </w:rPr>
        <w:t>A material consideration in the assessment of a planning application is existing development. The dwelling already benefits from</w:t>
      </w:r>
      <w:r>
        <w:rPr>
          <w:rFonts w:ascii="Trebuchet MS" w:hAnsi="Trebuchet MS"/>
          <w:sz w:val="22"/>
          <w:szCs w:val="22"/>
        </w:rPr>
        <w:t xml:space="preserve"> a substantial two storey rear extension, and single storey front and side extensions. </w:t>
      </w:r>
      <w:r w:rsidR="003E496A">
        <w:rPr>
          <w:rFonts w:ascii="Trebuchet MS" w:hAnsi="Trebuchet MS"/>
          <w:sz w:val="22"/>
          <w:szCs w:val="22"/>
        </w:rPr>
        <w:t xml:space="preserve">The proposal would extend along the full depth of the original dwelling, and 4m beyond the original rear elevation. The proposal alone represents a substantial enlargement of the original dwelling. </w:t>
      </w:r>
      <w:r w:rsidR="003E496A">
        <w:rPr>
          <w:rFonts w:ascii="Trebuchet MS" w:hAnsi="Trebuchet MS"/>
          <w:sz w:val="22"/>
          <w:szCs w:val="22"/>
        </w:rPr>
        <w:t xml:space="preserve">Considered cumulatively with the existing enlargements, the built form would occupy the entire width of the plot, creating a mass and bulk that is out of keeping with character of the area. The extensions unduly dominate the original dwelling, and its footprint would be considerably more than doubled. On this basis, insufficient subservience is generated in the design for it to be a sympathetic addition to the original dwelling. The large expanse of blank flank elevation is of poor design. By virtue of its depth, </w:t>
      </w:r>
      <w:r w:rsidR="003E496A">
        <w:rPr>
          <w:rFonts w:ascii="Trebuchet MS" w:hAnsi="Trebuchet MS"/>
          <w:sz w:val="22"/>
          <w:szCs w:val="22"/>
        </w:rPr>
        <w:t>and overall lack of subservience</w:t>
      </w:r>
      <w:r w:rsidR="003E496A">
        <w:rPr>
          <w:rFonts w:ascii="Trebuchet MS" w:hAnsi="Trebuchet MS"/>
          <w:sz w:val="22"/>
          <w:szCs w:val="22"/>
        </w:rPr>
        <w:t xml:space="preserve">, the proposal significantly detracts from the character and appearance of the original dwelling. This is contrary to Policies CC7 and H9 of the Local Plan, and the Design Guide to House Extensions SPD.   </w:t>
      </w:r>
    </w:p>
    <w:p w:rsidR="003E496A" w:rsidRDefault="003E496A" w:rsidP="003E496A">
      <w:pPr>
        <w:rPr>
          <w:rFonts w:ascii="Trebuchet MS" w:hAnsi="Trebuchet MS"/>
          <w:sz w:val="22"/>
          <w:szCs w:val="22"/>
        </w:rPr>
      </w:pPr>
    </w:p>
    <w:p w:rsidR="003E496A" w:rsidRDefault="003E496A" w:rsidP="003E496A">
      <w:pPr>
        <w:rPr>
          <w:rFonts w:ascii="Trebuchet MS" w:hAnsi="Trebuchet MS"/>
          <w:sz w:val="22"/>
          <w:szCs w:val="22"/>
        </w:rPr>
      </w:pPr>
      <w:r>
        <w:rPr>
          <w:rFonts w:ascii="Trebuchet MS" w:hAnsi="Trebuchet MS"/>
          <w:sz w:val="22"/>
          <w:szCs w:val="22"/>
        </w:rPr>
        <w:t xml:space="preserve">The Design Guide offers further advice on how to limit the impact of an extension on neighbouring residential amenities. Generally, harm can be avoided by setting an extension away from boundaries, and limiting the extent of the projection, and avoiding bulky roof forms. The proposed extension directly conflicts with this guidance. However, in the </w:t>
      </w:r>
      <w:proofErr w:type="gramStart"/>
      <w:r>
        <w:rPr>
          <w:rFonts w:ascii="Trebuchet MS" w:hAnsi="Trebuchet MS"/>
          <w:sz w:val="22"/>
          <w:szCs w:val="22"/>
        </w:rPr>
        <w:t>particular circumstance</w:t>
      </w:r>
      <w:proofErr w:type="gramEnd"/>
      <w:r>
        <w:rPr>
          <w:rFonts w:ascii="Trebuchet MS" w:hAnsi="Trebuchet MS"/>
          <w:sz w:val="22"/>
          <w:szCs w:val="22"/>
        </w:rPr>
        <w:t xml:space="preserve"> of the application site, the impact of the extension on neighbouring residential amenities is less than substantial. </w:t>
      </w:r>
      <w:r>
        <w:rPr>
          <w:rFonts w:ascii="Trebuchet MS" w:hAnsi="Trebuchet MS"/>
          <w:sz w:val="22"/>
          <w:szCs w:val="22"/>
        </w:rPr>
        <w:t xml:space="preserve">A path between the no. 157 and no.159 provides a helpful separation between the dwellings. </w:t>
      </w:r>
      <w:r>
        <w:rPr>
          <w:rFonts w:ascii="Trebuchet MS" w:hAnsi="Trebuchet MS"/>
          <w:sz w:val="22"/>
          <w:szCs w:val="22"/>
        </w:rPr>
        <w:t xml:space="preserve">While occupants of </w:t>
      </w:r>
      <w:r>
        <w:rPr>
          <w:rFonts w:ascii="Trebuchet MS" w:hAnsi="Trebuchet MS"/>
          <w:sz w:val="22"/>
          <w:szCs w:val="22"/>
        </w:rPr>
        <w:t xml:space="preserve">no. 157 </w:t>
      </w:r>
      <w:r>
        <w:rPr>
          <w:rFonts w:ascii="Trebuchet MS" w:hAnsi="Trebuchet MS"/>
          <w:sz w:val="22"/>
          <w:szCs w:val="22"/>
        </w:rPr>
        <w:t>would notice the additional height and depth of the proposal, no significant harm would be caused to their amenities.</w:t>
      </w:r>
    </w:p>
    <w:p w:rsidR="00884F67" w:rsidRDefault="002E1068" w:rsidP="006A0B28">
      <w:pPr>
        <w:rPr>
          <w:rFonts w:ascii="Trebuchet MS" w:hAnsi="Trebuchet MS"/>
          <w:sz w:val="22"/>
          <w:szCs w:val="22"/>
        </w:rPr>
      </w:pPr>
      <w:r>
        <w:rPr>
          <w:rFonts w:ascii="Trebuchet MS" w:hAnsi="Trebuchet MS"/>
          <w:sz w:val="22"/>
          <w:szCs w:val="22"/>
        </w:rPr>
        <w:t xml:space="preserve"> </w:t>
      </w:r>
    </w:p>
    <w:p w:rsidR="003E496A" w:rsidRDefault="003E496A" w:rsidP="003E496A">
      <w:pPr>
        <w:rPr>
          <w:rFonts w:ascii="Trebuchet MS" w:hAnsi="Trebuchet MS"/>
          <w:sz w:val="22"/>
          <w:szCs w:val="22"/>
        </w:rPr>
      </w:pPr>
      <w:r>
        <w:rPr>
          <w:rFonts w:ascii="Trebuchet MS" w:hAnsi="Trebuchet MS"/>
          <w:sz w:val="22"/>
          <w:szCs w:val="22"/>
        </w:rPr>
        <w:t xml:space="preserve">To conclude, for the reason of significant harm caused to the character and appearance of the original dwelling, the proposal is contrary to Policies CC7 and H9 and the Design Guide </w:t>
      </w:r>
      <w:proofErr w:type="gramStart"/>
      <w:r>
        <w:rPr>
          <w:rFonts w:ascii="Trebuchet MS" w:hAnsi="Trebuchet MS"/>
          <w:sz w:val="22"/>
          <w:szCs w:val="22"/>
        </w:rPr>
        <w:t>SPD, and</w:t>
      </w:r>
      <w:proofErr w:type="gramEnd"/>
      <w:r>
        <w:rPr>
          <w:rFonts w:ascii="Trebuchet MS" w:hAnsi="Trebuchet MS"/>
          <w:sz w:val="22"/>
          <w:szCs w:val="22"/>
        </w:rPr>
        <w:t xml:space="preserve"> is recommended for refusal on this basis. </w:t>
      </w:r>
    </w:p>
    <w:p w:rsidR="003E496A" w:rsidRPr="006A0B28" w:rsidRDefault="003E496A" w:rsidP="006A0B28">
      <w:pPr>
        <w:rPr>
          <w:rFonts w:ascii="Trebuchet MS" w:hAnsi="Trebuchet MS"/>
          <w:sz w:val="22"/>
          <w:szCs w:val="22"/>
        </w:rPr>
      </w:pPr>
      <w:bookmarkStart w:id="0" w:name="_GoBack"/>
      <w:bookmarkEnd w:id="0"/>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lastRenderedPageBreak/>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FE"/>
    <w:rsid w:val="00160EF1"/>
    <w:rsid w:val="002629C9"/>
    <w:rsid w:val="002D0918"/>
    <w:rsid w:val="002E1068"/>
    <w:rsid w:val="003D2AC0"/>
    <w:rsid w:val="003E496A"/>
    <w:rsid w:val="0041021B"/>
    <w:rsid w:val="00412C5D"/>
    <w:rsid w:val="004D350A"/>
    <w:rsid w:val="00525C5C"/>
    <w:rsid w:val="005E0C12"/>
    <w:rsid w:val="00633773"/>
    <w:rsid w:val="006A0B28"/>
    <w:rsid w:val="00884F67"/>
    <w:rsid w:val="00917558"/>
    <w:rsid w:val="00935217"/>
    <w:rsid w:val="00992F21"/>
    <w:rsid w:val="009D776F"/>
    <w:rsid w:val="00B7625A"/>
    <w:rsid w:val="00BF0E6D"/>
    <w:rsid w:val="00CB2D42"/>
    <w:rsid w:val="00CF603E"/>
    <w:rsid w:val="00D17229"/>
    <w:rsid w:val="00D235B9"/>
    <w:rsid w:val="00D34EB8"/>
    <w:rsid w:val="00E32636"/>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983E"/>
  <w15:docId w15:val="{DE0C3FE1-15D7-47F4-99DB-923140A0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2021-04-22T08:57:00Z</dcterms:created>
  <dcterms:modified xsi:type="dcterms:W3CDTF">2021-04-22T10:05:00Z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