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B32B33">
        <w:rPr>
          <w:rFonts w:ascii="Trebuchet MS" w:hAnsi="Trebuchet MS"/>
        </w:rPr>
        <w:t>09/09/20</w:t>
      </w:r>
    </w:p>
    <w:p w:rsidR="00625504" w:rsidRPr="00B32B33" w:rsidRDefault="00625504" w:rsidP="00AF3FE4">
      <w:pPr>
        <w:spacing w:line="240" w:lineRule="auto"/>
        <w:rPr>
          <w:rFonts w:ascii="Trebuchet MS" w:hAnsi="Trebuchet MS"/>
        </w:rPr>
      </w:pPr>
      <w:r w:rsidRPr="005F041D">
        <w:rPr>
          <w:rFonts w:ascii="Trebuchet MS" w:hAnsi="Trebuchet MS"/>
          <w:b/>
        </w:rPr>
        <w:t xml:space="preserve">Address: </w:t>
      </w:r>
      <w:r w:rsidR="00B32B33">
        <w:rPr>
          <w:rFonts w:ascii="Trebuchet MS" w:hAnsi="Trebuchet MS"/>
        </w:rPr>
        <w:t>45 Watlington Street</w:t>
      </w:r>
    </w:p>
    <w:p w:rsidR="00625504" w:rsidRPr="00B32B33" w:rsidRDefault="00625504" w:rsidP="00AF3FE4">
      <w:pPr>
        <w:spacing w:line="240" w:lineRule="auto"/>
        <w:rPr>
          <w:rFonts w:ascii="Trebuchet MS" w:hAnsi="Trebuchet MS"/>
        </w:rPr>
      </w:pPr>
      <w:r w:rsidRPr="005F041D">
        <w:rPr>
          <w:rFonts w:ascii="Trebuchet MS" w:hAnsi="Trebuchet MS"/>
          <w:b/>
        </w:rPr>
        <w:t xml:space="preserve">Application No: </w:t>
      </w:r>
      <w:r w:rsidR="00B32B33">
        <w:rPr>
          <w:rFonts w:ascii="Trebuchet MS" w:hAnsi="Trebuchet MS"/>
        </w:rPr>
        <w:t>201010/CLP</w:t>
      </w:r>
    </w:p>
    <w:p w:rsidR="00625504" w:rsidRPr="00B32B33" w:rsidRDefault="00625504" w:rsidP="00AF3FE4">
      <w:pPr>
        <w:spacing w:line="240" w:lineRule="auto"/>
        <w:rPr>
          <w:rFonts w:ascii="Trebuchet MS" w:hAnsi="Trebuchet MS"/>
        </w:rPr>
      </w:pPr>
      <w:r w:rsidRPr="005F041D">
        <w:rPr>
          <w:rFonts w:ascii="Trebuchet MS" w:hAnsi="Trebuchet MS"/>
          <w:b/>
        </w:rPr>
        <w:t xml:space="preserve">Proposal: </w:t>
      </w:r>
      <w:r w:rsidR="00B32B33">
        <w:rPr>
          <w:rFonts w:ascii="Trebuchet MS" w:hAnsi="Trebuchet MS"/>
        </w:rPr>
        <w:t>Single storey rear extension</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B32B33" w:rsidRPr="00B32B33" w:rsidRDefault="00B32B33" w:rsidP="00B32B33">
      <w:pPr>
        <w:rPr>
          <w:rFonts w:ascii="Trebuchet MS" w:hAnsi="Trebuchet MS"/>
          <w:b/>
        </w:rPr>
      </w:pPr>
      <w:r w:rsidRPr="00B32B33">
        <w:rPr>
          <w:rFonts w:ascii="Trebuchet MS" w:hAnsi="Trebuchet MS"/>
        </w:rPr>
        <w:t>45 Watlington Street is a</w:t>
      </w:r>
      <w:r w:rsidR="005A622F">
        <w:rPr>
          <w:rFonts w:ascii="Trebuchet MS" w:hAnsi="Trebuchet MS"/>
        </w:rPr>
        <w:t xml:space="preserve"> </w:t>
      </w:r>
      <w:r w:rsidRPr="00B32B33">
        <w:rPr>
          <w:rFonts w:ascii="Trebuchet MS" w:hAnsi="Trebuchet MS"/>
        </w:rPr>
        <w:t xml:space="preserve">mid-terraced property located within Eldon Square Conservation Area. The property benefits from a loft conversion, with front and rear dormers. The dormers combine to exceed the original ridge height. The dormers are unauthorised but have been in situ for in excess of ten years, so are immune from enforcement action due to the passing of time. Beyond the rear garden is located a parking court for </w:t>
      </w:r>
      <w:proofErr w:type="spellStart"/>
      <w:r w:rsidRPr="00B32B33">
        <w:rPr>
          <w:rFonts w:ascii="Trebuchet MS" w:hAnsi="Trebuchet MS"/>
        </w:rPr>
        <w:t>Barkham</w:t>
      </w:r>
      <w:proofErr w:type="spellEnd"/>
      <w:r w:rsidRPr="00B32B33">
        <w:rPr>
          <w:rFonts w:ascii="Trebuchet MS" w:hAnsi="Trebuchet MS"/>
        </w:rPr>
        <w:t xml:space="preserve"> Mews. </w:t>
      </w:r>
    </w:p>
    <w:p w:rsidR="00B32B33" w:rsidRPr="00B32B33" w:rsidRDefault="00B32B33" w:rsidP="00B32B33">
      <w:pPr>
        <w:rPr>
          <w:rFonts w:ascii="Trebuchet MS" w:hAnsi="Trebuchet MS"/>
          <w:b/>
        </w:rPr>
      </w:pPr>
      <w:r w:rsidRPr="00B32B33">
        <w:rPr>
          <w:rFonts w:ascii="Trebuchet MS" w:hAnsi="Trebuchet MS"/>
        </w:rPr>
        <w:t>The Eldon Square Conservation Area appraisal notes that the character of the area is predominantly residential, with Watlington Street being the primary street within the area</w:t>
      </w:r>
      <w:r>
        <w:rPr>
          <w:rFonts w:ascii="Trebuchet MS" w:hAnsi="Trebuchet MS"/>
        </w:rPr>
        <w:t>:</w:t>
      </w:r>
    </w:p>
    <w:p w:rsidR="00B32B33" w:rsidRPr="00B32B33" w:rsidRDefault="00B32B33" w:rsidP="00B32B33">
      <w:pPr>
        <w:rPr>
          <w:rFonts w:ascii="Trebuchet MS" w:hAnsi="Trebuchet MS"/>
        </w:rPr>
      </w:pPr>
      <w:r w:rsidRPr="00B32B33">
        <w:rPr>
          <w:rFonts w:ascii="Trebuchet MS" w:hAnsi="Trebuchet MS"/>
          <w:i/>
        </w:rPr>
        <w:t>“</w:t>
      </w:r>
      <w:proofErr w:type="spellStart"/>
      <w:r w:rsidRPr="00B32B33">
        <w:rPr>
          <w:rFonts w:ascii="Trebuchet MS" w:hAnsi="Trebuchet MS"/>
          <w:i/>
        </w:rPr>
        <w:t>Its</w:t>
      </w:r>
      <w:proofErr w:type="spellEnd"/>
      <w:r w:rsidRPr="00B32B33">
        <w:rPr>
          <w:rFonts w:ascii="Trebuchet MS" w:hAnsi="Trebuchet MS"/>
          <w:i/>
        </w:rPr>
        <w:t xml:space="preserve"> street frontage of short rows of two and three storey houses is punctuated by two significant places of worship and Watlington House, a 17</w:t>
      </w:r>
      <w:r w:rsidRPr="00B32B33">
        <w:rPr>
          <w:rFonts w:ascii="Trebuchet MS" w:hAnsi="Trebuchet MS"/>
          <w:i/>
          <w:vertAlign w:val="superscript"/>
        </w:rPr>
        <w:t>th</w:t>
      </w:r>
      <w:r w:rsidRPr="00B32B33">
        <w:rPr>
          <w:rFonts w:ascii="Trebuchet MS" w:hAnsi="Trebuchet MS"/>
          <w:i/>
        </w:rPr>
        <w:t xml:space="preserve"> Century clothier’s mansion, now offices”.</w:t>
      </w:r>
    </w:p>
    <w:p w:rsidR="00B32B33" w:rsidRDefault="00B32B33" w:rsidP="00B32B33">
      <w:pPr>
        <w:rPr>
          <w:rFonts w:ascii="Trebuchet MS" w:hAnsi="Trebuchet MS"/>
        </w:rPr>
      </w:pPr>
      <w:r w:rsidRPr="00B32B33">
        <w:rPr>
          <w:rFonts w:ascii="Trebuchet MS" w:hAnsi="Trebuchet MS"/>
        </w:rPr>
        <w:t xml:space="preserve">45 Watlington Street is identified as a Building of Townscape Merit, as are all the unlisted buildings along Watlington Street. The adjoining properties at 47 and 49 Watlington Street are a storey taller, and benefit from rearward gables and further extensions. The adjoining property at 43 Watlington Street is of the same original </w:t>
      </w:r>
      <w:proofErr w:type="gramStart"/>
      <w:r w:rsidRPr="00B32B33">
        <w:rPr>
          <w:rFonts w:ascii="Trebuchet MS" w:hAnsi="Trebuchet MS"/>
        </w:rPr>
        <w:t>form, and</w:t>
      </w:r>
      <w:proofErr w:type="gramEnd"/>
      <w:r w:rsidRPr="00B32B33">
        <w:rPr>
          <w:rFonts w:ascii="Trebuchet MS" w:hAnsi="Trebuchet MS"/>
        </w:rPr>
        <w:t xml:space="preserve"> has not been extended to the rear.</w:t>
      </w:r>
    </w:p>
    <w:p w:rsidR="00B32B33" w:rsidRPr="00B32B33" w:rsidRDefault="00B32B33" w:rsidP="00B32B33">
      <w:pPr>
        <w:rPr>
          <w:rFonts w:ascii="Trebuchet MS" w:hAnsi="Trebuchet MS"/>
        </w:rPr>
      </w:pPr>
      <w:r>
        <w:rPr>
          <w:rFonts w:ascii="Trebuchet MS" w:hAnsi="Trebuchet MS"/>
        </w:rPr>
        <w:t xml:space="preserve">The proposal is for the erection of a single storey rear extension. </w:t>
      </w:r>
      <w:r w:rsidR="00AA12FF">
        <w:rPr>
          <w:rFonts w:ascii="Trebuchet MS" w:hAnsi="Trebuchet MS"/>
        </w:rPr>
        <w:t xml:space="preserve">The extension would project to a depth of 2.134m, set 0.2m from the sideward boundaries. The extension would have a pitched roof with a maximum height of 3.573m and a height to eaves of 2.208m. The extension would be constructed of brickwork, to match the existing property. Bi-fold doors would be located to the rear elevation, with roof lights set within each roof slope.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AA12FF" w:rsidRDefault="00AB216D" w:rsidP="00246138">
      <w:pPr>
        <w:spacing w:line="240" w:lineRule="auto"/>
        <w:rPr>
          <w:rFonts w:ascii="Trebuchet MS" w:hAnsi="Trebuchet MS"/>
        </w:rPr>
      </w:pPr>
      <w:r>
        <w:rPr>
          <w:rFonts w:ascii="Trebuchet MS" w:hAnsi="Trebuchet MS"/>
        </w:rPr>
        <w:t xml:space="preserve">The </w:t>
      </w:r>
      <w:r w:rsidR="00AA12FF">
        <w:rPr>
          <w:rFonts w:ascii="Trebuchet MS" w:hAnsi="Trebuchet MS"/>
        </w:rPr>
        <w:t>age</w:t>
      </w:r>
      <w:r w:rsidR="00625504" w:rsidRPr="005F041D">
        <w:rPr>
          <w:rFonts w:ascii="Trebuchet MS" w:hAnsi="Trebuchet MS"/>
        </w:rPr>
        <w:t>nt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w:t>
      </w:r>
      <w:r w:rsidR="00AA12FF">
        <w:rPr>
          <w:rFonts w:ascii="Trebuchet MS" w:hAnsi="Trebuchet MS"/>
        </w:rPr>
        <w:t xml:space="preserve"> 15/07/20:</w:t>
      </w:r>
    </w:p>
    <w:p w:rsidR="0063565D" w:rsidRDefault="00AA12FF" w:rsidP="00246138">
      <w:pPr>
        <w:spacing w:line="240" w:lineRule="auto"/>
        <w:rPr>
          <w:rFonts w:ascii="Trebuchet MS" w:hAnsi="Trebuchet MS"/>
        </w:rPr>
      </w:pPr>
      <w:r>
        <w:rPr>
          <w:rFonts w:ascii="Trebuchet MS" w:hAnsi="Trebuchet MS"/>
        </w:rPr>
        <w:t xml:space="preserve">Drawing No: </w:t>
      </w:r>
      <w:r w:rsidR="0063565D">
        <w:rPr>
          <w:rFonts w:ascii="Trebuchet MS" w:hAnsi="Trebuchet MS"/>
        </w:rPr>
        <w:t>218-A2-01-A – Site Location, Block Plan, Existing Floor and Roof Plans, Elevations and 3D Views</w:t>
      </w:r>
    </w:p>
    <w:p w:rsidR="00AB216D" w:rsidRPr="005F041D" w:rsidRDefault="0063565D" w:rsidP="003C6957">
      <w:pPr>
        <w:spacing w:line="240" w:lineRule="auto"/>
        <w:rPr>
          <w:rFonts w:ascii="Trebuchet MS" w:hAnsi="Trebuchet MS"/>
        </w:rPr>
      </w:pPr>
      <w:r>
        <w:rPr>
          <w:rFonts w:ascii="Trebuchet MS" w:hAnsi="Trebuchet MS"/>
        </w:rPr>
        <w:t>Drawing No: 218-A1-10 – Site Location, Block Plan, Proposed Floor and Roof Plans, Elevations and 3D Views</w:t>
      </w:r>
      <w:r w:rsidR="00D330DE" w:rsidRPr="005F041D">
        <w:rPr>
          <w:rFonts w:ascii="Trebuchet MS" w:hAnsi="Trebuchet MS"/>
        </w:rPr>
        <w:t xml:space="preserve"> </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63565D" w:rsidRDefault="0063565D" w:rsidP="0063565D">
      <w:pPr>
        <w:rPr>
          <w:rFonts w:ascii="Trebuchet MS" w:hAnsi="Trebuchet MS"/>
        </w:rPr>
      </w:pPr>
      <w:r w:rsidRPr="0063565D">
        <w:rPr>
          <w:rFonts w:ascii="Trebuchet MS" w:hAnsi="Trebuchet MS"/>
        </w:rPr>
        <w:t>171787/HOU – Single storey rear extension and replacement of existing front and rear</w:t>
      </w:r>
      <w:r>
        <w:rPr>
          <w:rFonts w:ascii="Trebuchet MS" w:hAnsi="Trebuchet MS"/>
        </w:rPr>
        <w:t xml:space="preserve"> </w:t>
      </w:r>
      <w:r w:rsidRPr="0063565D">
        <w:rPr>
          <w:rFonts w:ascii="Trebuchet MS" w:hAnsi="Trebuchet MS"/>
        </w:rPr>
        <w:t>dormers – Withdrawn 18/12/17</w:t>
      </w:r>
    </w:p>
    <w:p w:rsidR="0063565D" w:rsidRDefault="0063565D" w:rsidP="0063565D">
      <w:pPr>
        <w:rPr>
          <w:rFonts w:ascii="Trebuchet MS" w:hAnsi="Trebuchet MS"/>
        </w:rPr>
      </w:pPr>
      <w:r w:rsidRPr="0063565D">
        <w:rPr>
          <w:rFonts w:ascii="Trebuchet MS" w:hAnsi="Trebuchet MS"/>
        </w:rPr>
        <w:lastRenderedPageBreak/>
        <w:t>191353/PRE – Various external works including single storey rear extension, elevational alterations and reconstruction of dormers – Observations sent 08/10/19</w:t>
      </w:r>
    </w:p>
    <w:p w:rsidR="0063565D" w:rsidRPr="0063565D" w:rsidRDefault="0063565D" w:rsidP="0063565D">
      <w:pPr>
        <w:rPr>
          <w:rFonts w:ascii="Trebuchet MS" w:hAnsi="Trebuchet MS"/>
        </w:rPr>
      </w:pPr>
      <w:r>
        <w:rPr>
          <w:rFonts w:ascii="Trebuchet MS" w:hAnsi="Trebuchet MS"/>
        </w:rPr>
        <w:t xml:space="preserve">192052/HOU - </w:t>
      </w:r>
      <w:r w:rsidRPr="0063565D">
        <w:rPr>
          <w:rFonts w:ascii="Trebuchet MS" w:hAnsi="Trebuchet MS"/>
        </w:rPr>
        <w:t>Single storey rear extension, alterations to fenestration and</w:t>
      </w:r>
      <w:r>
        <w:rPr>
          <w:rFonts w:ascii="Trebuchet MS" w:hAnsi="Trebuchet MS"/>
        </w:rPr>
        <w:t xml:space="preserve"> </w:t>
      </w:r>
      <w:r w:rsidRPr="0063565D">
        <w:rPr>
          <w:rFonts w:ascii="Trebuchet MS" w:hAnsi="Trebuchet MS"/>
        </w:rPr>
        <w:t>provision of roof light to forward roof slope</w:t>
      </w:r>
      <w:r>
        <w:rPr>
          <w:rFonts w:ascii="Trebuchet MS" w:hAnsi="Trebuchet MS"/>
        </w:rPr>
        <w:t xml:space="preserve"> – Refused 10/06/20</w:t>
      </w:r>
    </w:p>
    <w:p w:rsidR="00625504" w:rsidRPr="005F041D" w:rsidRDefault="00625504" w:rsidP="004B190A">
      <w:pPr>
        <w:spacing w:line="240" w:lineRule="auto"/>
        <w:rPr>
          <w:rFonts w:ascii="Trebuchet MS" w:hAnsi="Trebuchet MS"/>
          <w:b/>
        </w:rPr>
      </w:pPr>
      <w:r w:rsidRPr="005F041D">
        <w:rPr>
          <w:rFonts w:ascii="Trebuchet MS" w:hAnsi="Trebuchet MS"/>
          <w:b/>
        </w:rPr>
        <w:t>Summary of Consultations</w:t>
      </w:r>
    </w:p>
    <w:p w:rsidR="00625504" w:rsidRPr="005F041D" w:rsidRDefault="00625504" w:rsidP="004B190A">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4B190A">
      <w:pPr>
        <w:spacing w:line="240" w:lineRule="auto"/>
        <w:rPr>
          <w:rFonts w:ascii="Trebuchet MS" w:hAnsi="Trebuchet MS"/>
          <w:b/>
        </w:rPr>
      </w:pPr>
      <w:r w:rsidRPr="005F041D">
        <w:rPr>
          <w:rFonts w:ascii="Trebuchet MS" w:hAnsi="Trebuchet MS"/>
          <w:b/>
        </w:rPr>
        <w:t>Relevant Planning Policy and Guidance</w:t>
      </w:r>
    </w:p>
    <w:p w:rsidR="00625504" w:rsidRPr="004B190A" w:rsidRDefault="0022790B" w:rsidP="004B190A">
      <w:pPr>
        <w:spacing w:line="240" w:lineRule="auto"/>
        <w:rPr>
          <w:rFonts w:ascii="Trebuchet MS" w:eastAsia="Times New Roman" w:hAnsi="Trebuchet MS"/>
          <w:color w:val="000000"/>
          <w:u w:val="single"/>
        </w:rPr>
      </w:pPr>
      <w:r w:rsidRPr="004B190A">
        <w:rPr>
          <w:rFonts w:ascii="Trebuchet MS" w:eastAsia="Times New Roman" w:hAnsi="Trebuchet MS"/>
          <w:color w:val="000000"/>
          <w:u w:val="single"/>
        </w:rPr>
        <w:t>National Planning Practice Guidance</w:t>
      </w:r>
    </w:p>
    <w:p w:rsidR="00625504" w:rsidRPr="004B190A" w:rsidRDefault="00625504" w:rsidP="004B190A">
      <w:pPr>
        <w:spacing w:line="240" w:lineRule="auto"/>
        <w:rPr>
          <w:rFonts w:ascii="Trebuchet MS" w:eastAsia="Times New Roman" w:hAnsi="Trebuchet MS"/>
          <w:color w:val="000000"/>
          <w:u w:val="single"/>
        </w:rPr>
      </w:pPr>
      <w:r w:rsidRPr="004B190A">
        <w:rPr>
          <w:rFonts w:ascii="Trebuchet MS" w:eastAsia="Times New Roman" w:hAnsi="Trebuchet MS"/>
          <w:color w:val="000000"/>
          <w:u w:val="single"/>
        </w:rPr>
        <w:t>The Town and Country Planning (General Permitted Development) (England) Order 2015 (GPDO)</w:t>
      </w:r>
    </w:p>
    <w:p w:rsidR="00625504" w:rsidRPr="004B190A" w:rsidRDefault="00625504" w:rsidP="004B190A">
      <w:pPr>
        <w:spacing w:line="240" w:lineRule="auto"/>
        <w:rPr>
          <w:rFonts w:ascii="Trebuchet MS" w:eastAsia="Times New Roman" w:hAnsi="Trebuchet MS"/>
          <w:color w:val="000000"/>
          <w:u w:val="single"/>
        </w:rPr>
      </w:pPr>
      <w:r w:rsidRPr="004B190A">
        <w:rPr>
          <w:rFonts w:ascii="Trebuchet MS" w:eastAsia="Times New Roman" w:hAnsi="Trebuchet MS"/>
          <w:color w:val="000000"/>
          <w:u w:val="single"/>
        </w:rPr>
        <w:t>Permitted development rights for householders</w:t>
      </w:r>
      <w:r w:rsidR="00246D7F" w:rsidRPr="004B190A">
        <w:rPr>
          <w:rFonts w:ascii="Trebuchet MS" w:eastAsia="Times New Roman" w:hAnsi="Trebuchet MS"/>
          <w:color w:val="000000"/>
          <w:u w:val="single"/>
        </w:rPr>
        <w:t xml:space="preserve"> – Technical Guidance April 2017</w:t>
      </w:r>
    </w:p>
    <w:p w:rsidR="004B190A" w:rsidRPr="004B190A" w:rsidRDefault="004B190A" w:rsidP="004B190A">
      <w:pPr>
        <w:autoSpaceDE w:val="0"/>
        <w:autoSpaceDN w:val="0"/>
        <w:adjustRightInd w:val="0"/>
        <w:spacing w:before="100" w:after="100" w:line="240" w:lineRule="auto"/>
        <w:rPr>
          <w:rFonts w:ascii="Trebuchet MS" w:hAnsi="Trebuchet MS" w:cs="Times New Roman"/>
        </w:rPr>
      </w:pPr>
      <w:r w:rsidRPr="004B190A">
        <w:rPr>
          <w:rFonts w:ascii="Trebuchet MS" w:hAnsi="Trebuchet MS" w:cs="Times New Roman"/>
        </w:rPr>
        <w:t>A Lawful Development Certificate is a legal document stating the lawfulness of past, present or future development. If granted by the Local Planning Authority, the certificate means that enforcement action cannot be carried out to t</w:t>
      </w:r>
      <w:bookmarkStart w:id="0" w:name="_GoBack"/>
      <w:bookmarkEnd w:id="0"/>
      <w:r w:rsidRPr="004B190A">
        <w:rPr>
          <w:rFonts w:ascii="Trebuchet MS" w:hAnsi="Trebuchet MS" w:cs="Times New Roman"/>
        </w:rPr>
        <w:t xml:space="preserve">he development referred to in the certificate. However, the certificate will not protect from enforcement action by the Local Planning Authority if the specified use or development is then changed ‘materially’ without a planning application for it. The certificate is not a planning permission. The planning merits of the use, operation or activity in the application are not relevant. </w:t>
      </w:r>
    </w:p>
    <w:p w:rsidR="00625504" w:rsidRPr="005F041D" w:rsidRDefault="00625504" w:rsidP="004B190A">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4B190A">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proposed</w:t>
      </w:r>
      <w:r w:rsidR="00075F51" w:rsidRPr="005F041D">
        <w:rPr>
          <w:rFonts w:ascii="Trebuchet MS" w:eastAsia="Times New Roman" w:hAnsi="Trebuchet MS"/>
          <w:color w:val="000000"/>
        </w:rPr>
        <w:t xml:space="preserve"> </w:t>
      </w:r>
      <w:r w:rsidR="00B8180F">
        <w:rPr>
          <w:rFonts w:ascii="Trebuchet MS" w:eastAsia="Times New Roman" w:hAnsi="Trebuchet MS"/>
          <w:color w:val="000000"/>
        </w:rPr>
        <w:t>single storey rear extension</w:t>
      </w:r>
      <w:r w:rsidR="00F57F89">
        <w:rPr>
          <w:rFonts w:ascii="Trebuchet MS" w:eastAsia="Times New Roman" w:hAnsi="Trebuchet MS"/>
          <w:color w:val="000000"/>
        </w:rPr>
        <w:t xml:space="preserve"> </w:t>
      </w:r>
      <w:r w:rsidRPr="005F041D">
        <w:rPr>
          <w:rFonts w:ascii="Trebuchet MS" w:eastAsia="Times New Roman" w:hAnsi="Trebuchet MS"/>
          <w:color w:val="000000"/>
        </w:rPr>
        <w:t>must be assessed to ensure that it complies with the conditions of Clas</w:t>
      </w:r>
      <w:r w:rsidR="00F57F89">
        <w:rPr>
          <w:rFonts w:ascii="Trebuchet MS" w:eastAsia="Times New Roman" w:hAnsi="Trebuchet MS"/>
          <w:color w:val="000000"/>
        </w:rPr>
        <w:t>s</w:t>
      </w:r>
      <w:r w:rsidRPr="005F041D">
        <w:rPr>
          <w:rFonts w:ascii="Trebuchet MS" w:eastAsia="Times New Roman" w:hAnsi="Trebuchet MS"/>
          <w:color w:val="000000"/>
        </w:rPr>
        <w:t xml:space="preserve"> A</w:t>
      </w:r>
      <w:r w:rsidR="00F57F89">
        <w:rPr>
          <w:rFonts w:ascii="Trebuchet MS" w:eastAsia="Times New Roman" w:hAnsi="Trebuchet MS"/>
          <w:color w:val="000000"/>
        </w:rPr>
        <w:t>,</w:t>
      </w:r>
      <w:r w:rsidRPr="005F041D">
        <w:rPr>
          <w:rFonts w:ascii="Trebuchet MS" w:eastAsia="Times New Roman" w:hAnsi="Trebuchet MS"/>
          <w:color w:val="000000"/>
        </w:rPr>
        <w:t xml:space="preserve"> Part 1, Schedule 2 of the Town and Country Planning (General Permitted Development) (En</w:t>
      </w:r>
      <w:r w:rsidR="00F57F89">
        <w:rPr>
          <w:rFonts w:ascii="Trebuchet MS" w:eastAsia="Times New Roman" w:hAnsi="Trebuchet MS"/>
          <w:color w:val="000000"/>
        </w:rPr>
        <w:t>gland) Order 2015, which relate</w:t>
      </w:r>
      <w:r w:rsidR="00B8180F">
        <w:rPr>
          <w:rFonts w:ascii="Trebuchet MS" w:eastAsia="Times New Roman" w:hAnsi="Trebuchet MS"/>
          <w:color w:val="000000"/>
        </w:rPr>
        <w:t>s</w:t>
      </w:r>
      <w:r w:rsidR="00F57F89">
        <w:rPr>
          <w:rFonts w:ascii="Trebuchet MS" w:eastAsia="Times New Roman" w:hAnsi="Trebuchet MS"/>
          <w:color w:val="000000"/>
        </w:rPr>
        <w:t xml:space="preserve"> to</w:t>
      </w:r>
      <w:r w:rsidR="00B8180F">
        <w:rPr>
          <w:rFonts w:ascii="Trebuchet MS" w:eastAsia="Times New Roman" w:hAnsi="Trebuchet MS"/>
          <w:color w:val="000000"/>
        </w:rPr>
        <w:t xml:space="preserve"> the</w:t>
      </w:r>
      <w:r w:rsidRPr="005F041D">
        <w:rPr>
          <w:rFonts w:ascii="Trebuchet MS" w:eastAsia="Times New Roman" w:hAnsi="Trebuchet MS"/>
          <w:color w:val="000000"/>
        </w:rPr>
        <w:t xml:space="preserve"> ‘enlargement, improvement or other alteration of a dwellinghouse’.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releva</w:t>
      </w:r>
      <w:r w:rsidR="00075F51" w:rsidRPr="005F041D">
        <w:rPr>
          <w:rFonts w:ascii="Trebuchet MS" w:eastAsia="Times New Roman" w:hAnsi="Trebuchet MS"/>
          <w:color w:val="000000"/>
        </w:rPr>
        <w:t xml:space="preserve">nt conditions of the GPDO for a </w:t>
      </w:r>
      <w:r w:rsidR="00B8180F">
        <w:rPr>
          <w:rFonts w:ascii="Trebuchet MS" w:eastAsia="Times New Roman" w:hAnsi="Trebuchet MS"/>
          <w:color w:val="000000"/>
        </w:rPr>
        <w:t>single storey rear extension</w:t>
      </w:r>
      <w:r w:rsidR="00F57F89">
        <w:rPr>
          <w:rFonts w:ascii="Trebuchet MS" w:eastAsia="Times New Roman" w:hAnsi="Trebuchet MS"/>
          <w:color w:val="000000"/>
        </w:rPr>
        <w:t>, and the installation of a window</w:t>
      </w:r>
      <w:r w:rsidRPr="005F041D">
        <w:rPr>
          <w:rFonts w:ascii="Trebuchet MS" w:eastAsia="Times New Roman" w:hAnsi="Trebuchet MS"/>
          <w:color w:val="000000"/>
        </w:rPr>
        <w:t xml:space="preserve">, which is not listed or in a conservation area, are as follows: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A.1 Development is not permitted by Class A if:  </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(a) permission to use the dwellinghouse as a dwellinghouse has been granted only by virtue of Class M, N, P or Q of Part 3 of this Schedule (changes of 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(c) the height of the part of the dwellinghouse enlarged, improved or altered would exceed the height of the highest part of the roof of the existing dwellinghouse; </w:t>
      </w:r>
      <w:r w:rsidR="00075F51" w:rsidRPr="005F041D">
        <w:rPr>
          <w:rFonts w:ascii="Trebuchet MS" w:eastAsia="Times New Roman" w:hAnsi="Trebuchet MS"/>
          <w:b/>
          <w:color w:val="000000"/>
        </w:rPr>
        <w:t>complies</w:t>
      </w:r>
    </w:p>
    <w:p w:rsidR="00075F51"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(d) the height of the eaves of the part of the dwellinghouse enlarged, improved or altered would exceed the height of the eaves of the existing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lastRenderedPageBreak/>
        <w:t>A.1 (e) the enlarged part of the dwellinghouse would extend beyond a wall which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forms the principle elevation of the original dwellinghouse;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fronts a highway and forms a side elevation of the original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(f) subject to paragraph (g),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extend beyond the rear wall of the original dwellinghouse by more than 4 metres in the case of a detached dwellinghouse, or 3 metres in the case of any other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(g) until 30</w:t>
      </w:r>
      <w:r w:rsidRPr="005F041D">
        <w:rPr>
          <w:rFonts w:ascii="Trebuchet MS" w:eastAsia="Times New Roman" w:hAnsi="Trebuchet MS"/>
          <w:color w:val="000000"/>
          <w:vertAlign w:val="superscript"/>
        </w:rPr>
        <w:t>th</w:t>
      </w:r>
      <w:r w:rsidRPr="005F041D">
        <w:rPr>
          <w:rFonts w:ascii="Trebuchet MS" w:eastAsia="Times New Roman" w:hAnsi="Trebuchet MS"/>
          <w:color w:val="000000"/>
        </w:rPr>
        <w:t xml:space="preserve"> May 2019, for a dwellinghouse not on article 2(3) land nor on a site of special scientific interest,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8 metres in the case of a detached dwellinghouse, or 6 metres in the case of any other dwellinghouse,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(h) the enlarged part of the dwellinghouse would have more than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3 metres,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(ii) be within 7 metres of any boundary of the curtilage of the dwellinghouse opposite the rear wall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enlarged part of the dwellinghouse would be within 2 metres of the boundary of the curtilage of the dwellinghouse, and the height of the eaves of the enlarged part would exceed 3 metres;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A.1 (j) the enlarged part of the dwellinghouse would extend beyond a wall forming a side elevation of the original dwellinghouse, and would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exceed 4 metres in height,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(ii) have more than a single storey,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or (iii) have a width greater than half the width of the original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p>
    <w:p w:rsidR="00246D7F" w:rsidRPr="005F041D" w:rsidRDefault="00246D7F" w:rsidP="00AF3FE4">
      <w:pPr>
        <w:spacing w:line="240" w:lineRule="auto"/>
        <w:rPr>
          <w:rFonts w:ascii="Trebuchet MS" w:eastAsia="Times New Roman" w:hAnsi="Trebuchet MS"/>
          <w:color w:val="000000"/>
        </w:rPr>
      </w:pPr>
      <w:r w:rsidRPr="005F041D">
        <w:rPr>
          <w:rFonts w:ascii="Trebuchet MS" w:eastAsia="Times New Roman" w:hAnsi="Trebuchet MS"/>
          <w:color w:val="000000"/>
        </w:rPr>
        <w:t>A.1 (ja) any total enlargement (being the enlarged part together with any existing enlargement of the original dwellinghouse to which it will be joined) exceeds or would exceed the limits set out in sub-paragraphs (e) to (j);</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(k) it would consist of or include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the construction or provision of a verandah, balcony or raised platform,</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 the installation, alteration or replacement of a microwave antenna,</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(iii) the installation, alteration or replacement of a chimney, flue or soil and vent pipe,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(iv) an alteration to any part of the roof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In the case of a dwellinghouse on article 2(3) land, development is not permitted by Class A if:</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A.2 (a) it would consist of or include the cladding of any part of the exterior of the dwellinghouse with stone, artificial stone, pebble dash, render, timber, plastic or tiles; </w:t>
      </w:r>
      <w:r w:rsidR="00B8180F">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(b) the enlarged part of the dwellinghouse would extend beyond a wall forming a side elevation of the original dwellinghouse;</w:t>
      </w:r>
      <w:r w:rsidR="00075F51" w:rsidRPr="005F041D">
        <w:rPr>
          <w:rFonts w:ascii="Trebuchet MS" w:eastAsia="Times New Roman" w:hAnsi="Trebuchet MS"/>
          <w:color w:val="000000"/>
        </w:rPr>
        <w:t xml:space="preserve"> </w:t>
      </w:r>
      <w:r w:rsidR="00B8180F">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A.2 (c) the enlarged part of the dwellinghouse would have more than a single storey and extend beyond the rear wal</w:t>
      </w:r>
      <w:r w:rsidR="00246D7F" w:rsidRPr="005F041D">
        <w:rPr>
          <w:rFonts w:ascii="Trebuchet MS" w:eastAsia="Times New Roman" w:hAnsi="Trebuchet MS"/>
          <w:color w:val="000000"/>
        </w:rPr>
        <w:t>l of the original dwellinghouse;</w:t>
      </w:r>
      <w:r w:rsidRPr="005F041D">
        <w:rPr>
          <w:rFonts w:ascii="Trebuchet MS" w:eastAsia="Times New Roman" w:hAnsi="Trebuchet MS"/>
          <w:color w:val="000000"/>
        </w:rPr>
        <w:t xml:space="preserve"> </w:t>
      </w:r>
      <w:r w:rsidR="00B8180F">
        <w:rPr>
          <w:rFonts w:ascii="Trebuchet MS" w:eastAsia="Times New Roman" w:hAnsi="Trebuchet MS"/>
          <w:b/>
          <w:color w:val="000000"/>
        </w:rPr>
        <w:t>complies</w:t>
      </w:r>
    </w:p>
    <w:p w:rsidR="00246D7F" w:rsidRPr="005F041D" w:rsidRDefault="00246D7F"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(d) any total enlargement (being the enlarged part together with any existing enlargement of the original dwellinghouse to which it will be joined) exceeds or would exceed the limits set out in sub-paragraphs (b) and (c)</w:t>
      </w:r>
      <w:r w:rsidR="00F57F89">
        <w:rPr>
          <w:rFonts w:ascii="Trebuchet MS" w:eastAsia="Times New Roman" w:hAnsi="Trebuchet MS"/>
          <w:color w:val="000000"/>
        </w:rPr>
        <w:t xml:space="preserve">. </w:t>
      </w:r>
      <w:r w:rsidR="00B8180F">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625504" w:rsidRPr="005F041D" w:rsidRDefault="00E1716B" w:rsidP="00AF3FE4">
      <w:pPr>
        <w:spacing w:line="240" w:lineRule="auto"/>
        <w:rPr>
          <w:rFonts w:ascii="Trebuchet MS" w:eastAsia="Times New Roman" w:hAnsi="Trebuchet MS"/>
          <w:color w:val="000000"/>
        </w:rPr>
      </w:pPr>
      <w:r w:rsidRPr="005F041D">
        <w:rPr>
          <w:rFonts w:ascii="Trebuchet MS" w:eastAsia="Times New Roman" w:hAnsi="Trebuchet MS"/>
          <w:color w:val="000000"/>
        </w:rPr>
        <w:lastRenderedPageBreak/>
        <w:t>Development</w:t>
      </w:r>
      <w:r w:rsidR="00625504" w:rsidRPr="005F041D">
        <w:rPr>
          <w:rFonts w:ascii="Trebuchet MS" w:eastAsia="Times New Roman" w:hAnsi="Trebuchet MS"/>
          <w:color w:val="000000"/>
        </w:rPr>
        <w:t xml:space="preserve"> is permitted by Class A subject to the following conditions: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(a) the materials used in any exterior work (other than materials used in the construction of a conservatory) must be of a similar appearance to those used in the construction of the exterior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A.3 (b) any upper-floor window located in a wall or roof slope forming a side elevation of the dwellinghouse must be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obscure-glazed, </w:t>
      </w:r>
      <w:r w:rsidR="00075F51" w:rsidRPr="005F041D">
        <w:rPr>
          <w:rFonts w:ascii="Trebuchet MS" w:eastAsia="Times New Roman" w:hAnsi="Trebuchet MS"/>
          <w:b/>
          <w:color w:val="000000"/>
        </w:rPr>
        <w:t xml:space="preserve">n/a </w:t>
      </w:r>
      <w:r w:rsidRPr="005F041D">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r w:rsidR="00075F51" w:rsidRPr="005F041D">
        <w:rPr>
          <w:rFonts w:ascii="Trebuchet MS" w:eastAsia="Times New Roman" w:hAnsi="Trebuchet MS"/>
          <w:b/>
          <w:color w:val="000000"/>
        </w:rPr>
        <w:t>n/a</w:t>
      </w:r>
      <w:r w:rsidRPr="005F041D">
        <w:rPr>
          <w:rFonts w:ascii="Trebuchet MS" w:eastAsia="Times New Roman" w:hAnsi="Trebuchet MS"/>
          <w:color w:val="000000"/>
        </w:rPr>
        <w:t xml:space="preserve"> and</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(c) where the enlarged part of the dwellinghouse has more than a single storey, </w:t>
      </w:r>
      <w:r w:rsidR="00246D7F" w:rsidRPr="005F041D">
        <w:rPr>
          <w:rFonts w:ascii="Trebuchet MS" w:eastAsia="Times New Roman" w:hAnsi="Trebuchet MS"/>
          <w:color w:val="000000"/>
        </w:rPr>
        <w:t>or forms an upper storey on an existing enlargement of the original dwellinghouse, the roof pitch of the enlarged part must, so far as practicable, be the same as the roof pitch</w:t>
      </w:r>
      <w:r w:rsidR="0041701F" w:rsidRPr="005F041D">
        <w:rPr>
          <w:rFonts w:ascii="Trebuchet MS" w:eastAsia="Times New Roman" w:hAnsi="Trebuchet MS"/>
          <w:color w:val="000000"/>
        </w:rPr>
        <w:t xml:space="preserve"> of the original dwellinghouse. </w:t>
      </w:r>
      <w:r w:rsidR="00075F51"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443835" w:rsidRPr="005F041D" w:rsidRDefault="003A191B" w:rsidP="003A191B">
      <w:pPr>
        <w:rPr>
          <w:rFonts w:ascii="Trebuchet MS" w:hAnsi="Trebuchet MS"/>
        </w:rPr>
      </w:pPr>
      <w:r w:rsidRPr="005F041D">
        <w:rPr>
          <w:rFonts w:ascii="Trebuchet MS" w:hAnsi="Trebuchet MS"/>
        </w:rPr>
        <w:t>The proposal has been assessed against the Town and Country Planning Act 1990 (as amended) and Class</w:t>
      </w:r>
      <w:r w:rsidR="00C81FD7">
        <w:rPr>
          <w:rFonts w:ascii="Trebuchet MS" w:hAnsi="Trebuchet MS"/>
        </w:rPr>
        <w:t xml:space="preserve"> A</w:t>
      </w:r>
      <w:r w:rsidR="00B8180F">
        <w:rPr>
          <w:rFonts w:ascii="Trebuchet MS" w:hAnsi="Trebuchet MS"/>
        </w:rPr>
        <w:t xml:space="preserve">, </w:t>
      </w:r>
      <w:r w:rsidRPr="005F041D">
        <w:rPr>
          <w:rFonts w:ascii="Trebuchet MS" w:hAnsi="Trebuchet MS"/>
        </w:rPr>
        <w:t xml:space="preserve">Part 1, Schedule 2 of the Town and Country Planning (General Permitted Development) (England) Order 2015. </w:t>
      </w:r>
    </w:p>
    <w:p w:rsidR="00B8180F" w:rsidRDefault="003A191B" w:rsidP="00B8180F">
      <w:pPr>
        <w:spacing w:line="240" w:lineRule="auto"/>
        <w:rPr>
          <w:rFonts w:ascii="Trebuchet MS" w:hAnsi="Trebuchet MS"/>
        </w:rPr>
      </w:pPr>
      <w:r w:rsidRPr="005F041D">
        <w:rPr>
          <w:rFonts w:ascii="Trebuchet MS" w:hAnsi="Trebuchet MS"/>
        </w:rPr>
        <w:t xml:space="preserve">It can be confirmed that the proposed operation would be lawful for planning purposes </w:t>
      </w:r>
      <w:proofErr w:type="gramStart"/>
      <w:r w:rsidRPr="005F041D">
        <w:rPr>
          <w:rFonts w:ascii="Trebuchet MS" w:hAnsi="Trebuchet MS"/>
        </w:rPr>
        <w:t>on the basis of</w:t>
      </w:r>
      <w:proofErr w:type="gramEnd"/>
      <w:r w:rsidRPr="005F041D">
        <w:rPr>
          <w:rFonts w:ascii="Trebuchet MS" w:hAnsi="Trebuchet MS"/>
        </w:rPr>
        <w:t xml:space="preserve"> the drawings received on </w:t>
      </w:r>
      <w:r w:rsidR="00B8180F">
        <w:rPr>
          <w:rFonts w:ascii="Trebuchet MS" w:hAnsi="Trebuchet MS"/>
        </w:rPr>
        <w:t>15/07/20:</w:t>
      </w:r>
    </w:p>
    <w:p w:rsidR="00B8180F" w:rsidRPr="005F041D" w:rsidRDefault="00B8180F" w:rsidP="00B8180F">
      <w:pPr>
        <w:spacing w:line="240" w:lineRule="auto"/>
        <w:rPr>
          <w:rFonts w:ascii="Trebuchet MS" w:hAnsi="Trebuchet MS"/>
        </w:rPr>
      </w:pPr>
      <w:r>
        <w:rPr>
          <w:rFonts w:ascii="Trebuchet MS" w:hAnsi="Trebuchet MS"/>
        </w:rPr>
        <w:t>Drawing No: 218-A1-10 – Site Location, Block Plan, Proposed Floor and Roof Plans, Elevations and 3D Views</w:t>
      </w:r>
      <w:r w:rsidRPr="005F041D">
        <w:rPr>
          <w:rFonts w:ascii="Trebuchet MS" w:hAnsi="Trebuchet MS"/>
        </w:rPr>
        <w:t xml:space="preserve"> </w:t>
      </w:r>
    </w:p>
    <w:p w:rsidR="003A191B" w:rsidRPr="005F041D" w:rsidRDefault="003A191B" w:rsidP="00B8180F">
      <w:pPr>
        <w:spacing w:line="240" w:lineRule="auto"/>
        <w:rPr>
          <w:rFonts w:ascii="Trebuchet MS" w:hAnsi="Trebuchet MS"/>
        </w:rPr>
      </w:pPr>
      <w:proofErr w:type="gramStart"/>
      <w:r w:rsidRPr="005F041D">
        <w:rPr>
          <w:rFonts w:ascii="Trebuchet MS" w:hAnsi="Trebuchet MS"/>
          <w:color w:val="000000"/>
        </w:rPr>
        <w:t>Sufficient</w:t>
      </w:r>
      <w:proofErr w:type="gramEnd"/>
      <w:r w:rsidRPr="005F041D">
        <w:rPr>
          <w:rFonts w:ascii="Trebuchet MS" w:hAnsi="Trebuchet MS"/>
          <w:color w:val="000000"/>
        </w:rPr>
        <w:t xml:space="preserve"> evidence has been provided to demonstrate that a Certificate of Lawfulness should be granted for the</w:t>
      </w:r>
      <w:r w:rsidR="00B8180F">
        <w:rPr>
          <w:rFonts w:ascii="Trebuchet MS" w:hAnsi="Trebuchet MS"/>
          <w:color w:val="000000"/>
        </w:rPr>
        <w:t xml:space="preserve"> proposed single storey rear extension</w:t>
      </w:r>
      <w:r w:rsidRPr="005F041D">
        <w:rPr>
          <w:rFonts w:ascii="Trebuchet MS" w:hAnsi="Trebuchet MS"/>
          <w:color w:val="000000"/>
        </w:rPr>
        <w:t xml:space="preserve">. </w:t>
      </w:r>
    </w:p>
    <w:p w:rsidR="00625504" w:rsidRPr="005F041D" w:rsidRDefault="00625504" w:rsidP="00AF3FE4">
      <w:pPr>
        <w:spacing w:line="240" w:lineRule="auto"/>
        <w:rPr>
          <w:rFonts w:ascii="Trebuchet MS" w:eastAsia="Times New Roman" w:hAnsi="Trebuchet MS"/>
          <w:b/>
        </w:rPr>
      </w:pPr>
      <w:r w:rsidRPr="005F041D">
        <w:rPr>
          <w:rFonts w:ascii="Trebuchet MS" w:eastAsia="Times New Roman" w:hAnsi="Trebuchet MS"/>
          <w:b/>
        </w:rPr>
        <w:t>Informatives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Building Regulations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Encroachment and Party Wall Act</w:t>
      </w:r>
    </w:p>
    <w:p w:rsidR="00021541" w:rsidRDefault="00021541" w:rsidP="00AF3FE4">
      <w:pPr>
        <w:spacing w:line="240" w:lineRule="auto"/>
        <w:rPr>
          <w:rFonts w:ascii="Trebuchet MS" w:eastAsia="Times New Roman" w:hAnsi="Trebuchet MS"/>
        </w:rPr>
      </w:pPr>
      <w:r w:rsidRPr="005F041D">
        <w:rPr>
          <w:rFonts w:ascii="Trebuchet MS" w:eastAsia="Times New Roman" w:hAnsi="Trebuchet MS"/>
        </w:rPr>
        <w:t>Construction and Demolition</w:t>
      </w:r>
    </w:p>
    <w:p w:rsidR="00C81FD7" w:rsidRPr="005F041D" w:rsidRDefault="00C81FD7" w:rsidP="00AF3FE4">
      <w:pPr>
        <w:spacing w:line="240" w:lineRule="auto"/>
        <w:rPr>
          <w:rFonts w:ascii="Trebuchet MS" w:eastAsia="Times New Roman" w:hAnsi="Trebuchet MS"/>
        </w:rPr>
      </w:pPr>
      <w:r>
        <w:rPr>
          <w:rFonts w:ascii="Trebuchet MS" w:eastAsia="Times New Roman" w:hAnsi="Trebuchet MS"/>
        </w:rPr>
        <w:t>Bats</w:t>
      </w:r>
    </w:p>
    <w:p w:rsidR="00B8180F" w:rsidRDefault="00B8180F" w:rsidP="00B8180F">
      <w:pPr>
        <w:pStyle w:val="BodyText"/>
        <w:ind w:left="720"/>
        <w:jc w:val="both"/>
        <w:rPr>
          <w:rFonts w:ascii="Trebuchet MS" w:hAnsi="Trebuchet MS"/>
          <w:b w:val="0"/>
          <w:color w:val="000000"/>
          <w:sz w:val="22"/>
          <w:szCs w:val="22"/>
        </w:rPr>
      </w:pPr>
      <w:r>
        <w:rPr>
          <w:noProof/>
        </w:rPr>
        <w:lastRenderedPageBreak/>
        <w:drawing>
          <wp:inline distT="0" distB="0" distL="0" distR="0" wp14:anchorId="4CD7376A" wp14:editId="7775B70B">
            <wp:extent cx="2969575" cy="45529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74169" cy="4559993"/>
                    </a:xfrm>
                    <a:prstGeom prst="rect">
                      <a:avLst/>
                    </a:prstGeom>
                  </pic:spPr>
                </pic:pic>
              </a:graphicData>
            </a:graphic>
          </wp:inline>
        </w:drawing>
      </w:r>
    </w:p>
    <w:p w:rsidR="00B8180F" w:rsidRPr="00B8180F" w:rsidRDefault="00B8180F" w:rsidP="00B8180F">
      <w:pPr>
        <w:pStyle w:val="BodyText"/>
        <w:ind w:left="720"/>
        <w:jc w:val="both"/>
        <w:rPr>
          <w:rFonts w:ascii="Trebuchet MS" w:hAnsi="Trebuchet MS"/>
          <w:b w:val="0"/>
          <w:color w:val="000000"/>
          <w:sz w:val="22"/>
          <w:szCs w:val="22"/>
        </w:rPr>
      </w:pPr>
    </w:p>
    <w:p w:rsidR="00B8180F" w:rsidRPr="00B8180F" w:rsidRDefault="00B8180F" w:rsidP="00B8180F">
      <w:pPr>
        <w:ind w:left="720"/>
        <w:rPr>
          <w:rFonts w:ascii="Trebuchet MS" w:hAnsi="Trebuchet MS"/>
          <w:b/>
          <w:color w:val="000000"/>
        </w:rPr>
      </w:pPr>
      <w:r w:rsidRPr="00B8180F">
        <w:rPr>
          <w:rFonts w:ascii="Trebuchet MS" w:hAnsi="Trebuchet MS"/>
          <w:b/>
          <w:color w:val="000000"/>
        </w:rPr>
        <w:t>Site Location Plan</w:t>
      </w:r>
    </w:p>
    <w:p w:rsidR="00021541" w:rsidRPr="005F041D" w:rsidRDefault="00021541" w:rsidP="00AF3FE4">
      <w:pPr>
        <w:spacing w:line="240" w:lineRule="auto"/>
        <w:rPr>
          <w:rFonts w:ascii="Trebuchet MS" w:eastAsia="Times New Roman" w:hAnsi="Trebuchet MS"/>
        </w:rPr>
      </w:pPr>
    </w:p>
    <w:sectPr w:rsidR="00021541" w:rsidRPr="005F041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6810F6"/>
    <w:multiLevelType w:val="multilevel"/>
    <w:tmpl w:val="E1DEA53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4"/>
    <w:rsid w:val="00021541"/>
    <w:rsid w:val="00037BAF"/>
    <w:rsid w:val="0007503E"/>
    <w:rsid w:val="00075F51"/>
    <w:rsid w:val="000E5A3F"/>
    <w:rsid w:val="0014241C"/>
    <w:rsid w:val="0017663F"/>
    <w:rsid w:val="00215C25"/>
    <w:rsid w:val="00225DA7"/>
    <w:rsid w:val="0022790B"/>
    <w:rsid w:val="00246138"/>
    <w:rsid w:val="00246D7F"/>
    <w:rsid w:val="00270CCE"/>
    <w:rsid w:val="003065BE"/>
    <w:rsid w:val="003A191B"/>
    <w:rsid w:val="003C6957"/>
    <w:rsid w:val="003C6A9F"/>
    <w:rsid w:val="003D179A"/>
    <w:rsid w:val="00407804"/>
    <w:rsid w:val="0041701F"/>
    <w:rsid w:val="00443835"/>
    <w:rsid w:val="004B190A"/>
    <w:rsid w:val="005A622F"/>
    <w:rsid w:val="005B391B"/>
    <w:rsid w:val="005F041D"/>
    <w:rsid w:val="00625504"/>
    <w:rsid w:val="0063565D"/>
    <w:rsid w:val="006A17A0"/>
    <w:rsid w:val="006A5B04"/>
    <w:rsid w:val="007B11DE"/>
    <w:rsid w:val="007F7924"/>
    <w:rsid w:val="008A59CB"/>
    <w:rsid w:val="008E12D7"/>
    <w:rsid w:val="00912B7D"/>
    <w:rsid w:val="0095495C"/>
    <w:rsid w:val="009A3326"/>
    <w:rsid w:val="009F782D"/>
    <w:rsid w:val="00AA12FF"/>
    <w:rsid w:val="00AB216D"/>
    <w:rsid w:val="00AF3FE4"/>
    <w:rsid w:val="00B32B33"/>
    <w:rsid w:val="00B8180F"/>
    <w:rsid w:val="00BC092F"/>
    <w:rsid w:val="00C40D2F"/>
    <w:rsid w:val="00C81FD7"/>
    <w:rsid w:val="00D330DE"/>
    <w:rsid w:val="00E1716B"/>
    <w:rsid w:val="00E302F2"/>
    <w:rsid w:val="00E43672"/>
    <w:rsid w:val="00EB3EF1"/>
    <w:rsid w:val="00F57F89"/>
    <w:rsid w:val="00F95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ECB54"/>
  <w15:docId w15:val="{C6D14AC3-597F-401D-B86D-93844ECA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paragraph" w:styleId="BodyText">
    <w:name w:val="Body Text"/>
    <w:basedOn w:val="Normal"/>
    <w:link w:val="BodyTextChar"/>
    <w:rsid w:val="00B32B33"/>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B32B33"/>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2020-09-07T13:02:00Z</dcterms:created>
  <dcterms:modified xsi:type="dcterms:W3CDTF">2020-09-08T11:49:00Z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