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B22D6F"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B22D6F">
        <w:rPr>
          <w:rFonts w:ascii="Trebuchet MS" w:hAnsi="Trebuchet MS"/>
          <w:szCs w:val="24"/>
        </w:rPr>
        <w:t>30/10/20</w:t>
      </w:r>
    </w:p>
    <w:p w:rsidR="00A0641B" w:rsidRPr="00B22D6F" w:rsidRDefault="00A0641B" w:rsidP="00A0641B">
      <w:pPr>
        <w:spacing w:line="240" w:lineRule="auto"/>
        <w:rPr>
          <w:rFonts w:ascii="Trebuchet MS" w:hAnsi="Trebuchet MS"/>
          <w:szCs w:val="24"/>
        </w:rPr>
      </w:pPr>
      <w:r w:rsidRPr="007C55A2">
        <w:rPr>
          <w:rFonts w:ascii="Trebuchet MS" w:hAnsi="Trebuchet MS"/>
          <w:b/>
          <w:szCs w:val="24"/>
        </w:rPr>
        <w:t>Application No:</w:t>
      </w:r>
      <w:r w:rsidR="00B22D6F">
        <w:rPr>
          <w:rFonts w:ascii="Trebuchet MS" w:hAnsi="Trebuchet MS"/>
          <w:b/>
          <w:szCs w:val="24"/>
        </w:rPr>
        <w:t xml:space="preserve"> </w:t>
      </w:r>
      <w:r w:rsidR="00B22D6F">
        <w:rPr>
          <w:rFonts w:ascii="Trebuchet MS" w:hAnsi="Trebuchet MS"/>
          <w:szCs w:val="24"/>
        </w:rPr>
        <w:t>201248/FUL</w:t>
      </w:r>
    </w:p>
    <w:p w:rsidR="0037116B" w:rsidRPr="002344F6"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B22D6F" w:rsidRPr="00B22D6F">
        <w:rPr>
          <w:rFonts w:ascii="Trebuchet MS" w:hAnsi="Trebuchet MS"/>
          <w:szCs w:val="24"/>
        </w:rPr>
        <w:t>8 Grange Avenue</w:t>
      </w:r>
    </w:p>
    <w:p w:rsidR="00A7635C" w:rsidRPr="00B22D6F"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B22D6F">
        <w:rPr>
          <w:rFonts w:ascii="Trebuchet MS" w:hAnsi="Trebuchet MS"/>
          <w:szCs w:val="24"/>
        </w:rPr>
        <w:t>Change of use from dwelling (Class C3) to 4 bed HMO (Class C4)</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B22D6F" w:rsidRPr="00B22D6F" w:rsidRDefault="00B22D6F" w:rsidP="00A0641B">
      <w:pPr>
        <w:spacing w:line="240" w:lineRule="auto"/>
        <w:rPr>
          <w:rFonts w:ascii="Trebuchet MS" w:eastAsiaTheme="minorEastAsia" w:hAnsi="Trebuchet MS" w:cs="Times New Roman"/>
          <w:szCs w:val="24"/>
          <w:lang w:eastAsia="en-GB"/>
        </w:rPr>
      </w:pPr>
      <w:r w:rsidRPr="00B22D6F">
        <w:rPr>
          <w:rFonts w:ascii="Trebuchet MS" w:eastAsiaTheme="minorEastAsia" w:hAnsi="Trebuchet MS" w:cs="Times New Roman"/>
          <w:szCs w:val="24"/>
          <w:lang w:eastAsia="en-GB"/>
        </w:rPr>
        <w:t xml:space="preserve">The application site </w:t>
      </w:r>
      <w:r>
        <w:rPr>
          <w:rFonts w:ascii="Trebuchet MS" w:eastAsiaTheme="minorEastAsia" w:hAnsi="Trebuchet MS" w:cs="Times New Roman"/>
          <w:szCs w:val="24"/>
          <w:lang w:eastAsia="en-GB"/>
        </w:rPr>
        <w:t>comprises</w:t>
      </w:r>
      <w:r w:rsidRPr="00B22D6F">
        <w:rPr>
          <w:rFonts w:ascii="Trebuchet MS" w:eastAsiaTheme="minorEastAsia" w:hAnsi="Trebuchet MS" w:cs="Times New Roman"/>
          <w:szCs w:val="24"/>
          <w:lang w:eastAsia="en-GB"/>
        </w:rPr>
        <w:t xml:space="preserve"> a two storey </w:t>
      </w:r>
      <w:r>
        <w:rPr>
          <w:rFonts w:ascii="Trebuchet MS" w:eastAsiaTheme="minorEastAsia" w:hAnsi="Trebuchet MS" w:cs="Times New Roman"/>
          <w:szCs w:val="24"/>
          <w:lang w:eastAsia="en-GB"/>
        </w:rPr>
        <w:t>end</w:t>
      </w:r>
      <w:r w:rsidRPr="00B22D6F">
        <w:rPr>
          <w:rFonts w:ascii="Trebuchet MS" w:eastAsiaTheme="minorEastAsia" w:hAnsi="Trebuchet MS" w:cs="Times New Roman"/>
          <w:szCs w:val="24"/>
          <w:lang w:eastAsia="en-GB"/>
        </w:rPr>
        <w:t>-terraced dwelling</w:t>
      </w:r>
      <w:r>
        <w:rPr>
          <w:rFonts w:ascii="Trebuchet MS" w:eastAsiaTheme="minorEastAsia" w:hAnsi="Trebuchet MS" w:cs="Times New Roman"/>
          <w:szCs w:val="24"/>
          <w:lang w:eastAsia="en-GB"/>
        </w:rPr>
        <w:t>. The site is</w:t>
      </w:r>
      <w:r w:rsidRPr="00B22D6F">
        <w:rPr>
          <w:rFonts w:ascii="Trebuchet MS" w:eastAsiaTheme="minorEastAsia" w:hAnsi="Trebuchet MS" w:cs="Times New Roman"/>
          <w:szCs w:val="24"/>
          <w:lang w:eastAsia="en-GB"/>
        </w:rPr>
        <w:t xml:space="preserve"> located within an Article 4 area</w:t>
      </w:r>
      <w:r>
        <w:rPr>
          <w:rFonts w:ascii="Trebuchet MS" w:eastAsiaTheme="minorEastAsia" w:hAnsi="Trebuchet MS" w:cs="Times New Roman"/>
          <w:szCs w:val="24"/>
          <w:lang w:eastAsia="en-GB"/>
        </w:rPr>
        <w:t>,</w:t>
      </w:r>
      <w:r w:rsidRPr="00B22D6F">
        <w:rPr>
          <w:rFonts w:ascii="Trebuchet MS" w:eastAsiaTheme="minorEastAsia" w:hAnsi="Trebuchet MS" w:cs="Times New Roman"/>
          <w:szCs w:val="24"/>
          <w:lang w:eastAsia="en-GB"/>
        </w:rPr>
        <w:t xml:space="preserve"> controlling the change of use from a dwellin</w:t>
      </w:r>
      <w:r>
        <w:rPr>
          <w:rFonts w:ascii="Trebuchet MS" w:eastAsiaTheme="minorEastAsia" w:hAnsi="Trebuchet MS" w:cs="Times New Roman"/>
          <w:szCs w:val="24"/>
          <w:lang w:eastAsia="en-GB"/>
        </w:rPr>
        <w:t>g</w:t>
      </w:r>
      <w:r w:rsidRPr="00B22D6F">
        <w:rPr>
          <w:rFonts w:ascii="Trebuchet MS" w:eastAsiaTheme="minorEastAsia" w:hAnsi="Trebuchet MS" w:cs="Times New Roman"/>
          <w:szCs w:val="24"/>
          <w:lang w:eastAsia="en-GB"/>
        </w:rPr>
        <w:t xml:space="preserve"> (Class C3) to a House in Multiple Occupation (HMO) (Class C4). The surrounding area is predominantly residential.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B22D6F" w:rsidRPr="00B22D6F" w:rsidRDefault="00B22D6F" w:rsidP="00A0641B">
      <w:pPr>
        <w:spacing w:line="240" w:lineRule="auto"/>
        <w:rPr>
          <w:rFonts w:ascii="Trebuchet MS" w:hAnsi="Trebuchet MS"/>
          <w:szCs w:val="24"/>
        </w:rPr>
      </w:pPr>
      <w:r>
        <w:rPr>
          <w:rFonts w:ascii="Trebuchet MS" w:hAnsi="Trebuchet MS"/>
          <w:szCs w:val="24"/>
        </w:rPr>
        <w:t xml:space="preserve">The proposal is for the change of use from a dwelling (Class C3) to a 4 bed HMO (Class C4). The change of use would be facilitated by </w:t>
      </w:r>
      <w:r w:rsidR="00AB6B5B">
        <w:rPr>
          <w:rFonts w:ascii="Trebuchet MS" w:hAnsi="Trebuchet MS"/>
          <w:szCs w:val="24"/>
        </w:rPr>
        <w:t xml:space="preserve">internal reconfiguration and minor alterations to fenestration.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AB6B5B" w:rsidRDefault="00394FA3" w:rsidP="00C2377B">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AB6B5B">
        <w:rPr>
          <w:rFonts w:ascii="Trebuchet MS" w:hAnsi="Trebuchet MS"/>
          <w:szCs w:val="24"/>
        </w:rPr>
        <w:t>04/09/20:</w:t>
      </w:r>
    </w:p>
    <w:p w:rsidR="00AB6B5B" w:rsidRDefault="00AB6B5B" w:rsidP="00C2377B">
      <w:pPr>
        <w:spacing w:line="240" w:lineRule="auto"/>
        <w:rPr>
          <w:rFonts w:ascii="Trebuchet MS" w:hAnsi="Trebuchet MS"/>
          <w:szCs w:val="24"/>
        </w:rPr>
      </w:pPr>
      <w:r>
        <w:rPr>
          <w:rFonts w:ascii="Trebuchet MS" w:hAnsi="Trebuchet MS"/>
          <w:szCs w:val="24"/>
        </w:rPr>
        <w:t>Site Location</w:t>
      </w:r>
    </w:p>
    <w:p w:rsidR="00AB6B5B" w:rsidRDefault="00AB6B5B" w:rsidP="00C2377B">
      <w:pPr>
        <w:spacing w:line="240" w:lineRule="auto"/>
        <w:rPr>
          <w:rFonts w:ascii="Trebuchet MS" w:hAnsi="Trebuchet MS"/>
          <w:szCs w:val="24"/>
        </w:rPr>
      </w:pPr>
      <w:r>
        <w:rPr>
          <w:rFonts w:ascii="Trebuchet MS" w:hAnsi="Trebuchet MS"/>
          <w:szCs w:val="24"/>
        </w:rPr>
        <w:t>Block Plan</w:t>
      </w:r>
    </w:p>
    <w:p w:rsidR="00AB6B5B" w:rsidRDefault="00AB6B5B" w:rsidP="00C2377B">
      <w:pPr>
        <w:spacing w:line="240" w:lineRule="auto"/>
        <w:rPr>
          <w:rFonts w:ascii="Trebuchet MS" w:hAnsi="Trebuchet MS"/>
          <w:szCs w:val="24"/>
        </w:rPr>
      </w:pPr>
      <w:r>
        <w:rPr>
          <w:rFonts w:ascii="Trebuchet MS" w:hAnsi="Trebuchet MS"/>
          <w:szCs w:val="24"/>
        </w:rPr>
        <w:t>Existing Floor Plans</w:t>
      </w:r>
    </w:p>
    <w:p w:rsidR="00AB6B5B" w:rsidRPr="007C55A2" w:rsidRDefault="00AB6B5B" w:rsidP="00C2377B">
      <w:pPr>
        <w:spacing w:line="240" w:lineRule="auto"/>
        <w:rPr>
          <w:rFonts w:ascii="Trebuchet MS" w:hAnsi="Trebuchet MS"/>
          <w:szCs w:val="24"/>
        </w:rPr>
      </w:pPr>
      <w:r>
        <w:rPr>
          <w:rFonts w:ascii="Trebuchet MS" w:hAnsi="Trebuchet MS"/>
          <w:szCs w:val="24"/>
        </w:rPr>
        <w:t>Proposed Floor Plans</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153F67" w:rsidRPr="00153F67" w:rsidRDefault="00AB6B5B" w:rsidP="00A0641B">
      <w:pPr>
        <w:spacing w:line="240" w:lineRule="auto"/>
        <w:rPr>
          <w:rFonts w:ascii="Trebuchet MS" w:hAnsi="Trebuchet MS"/>
          <w:szCs w:val="24"/>
        </w:rPr>
      </w:pPr>
      <w:r>
        <w:rPr>
          <w:rFonts w:ascii="Trebuchet MS" w:hAnsi="Trebuchet MS"/>
          <w:szCs w:val="24"/>
        </w:rPr>
        <w:t xml:space="preserve">None. </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AB6B5B">
        <w:rPr>
          <w:rFonts w:ascii="Trebuchet MS" w:hAnsi="Trebuchet MS"/>
          <w:szCs w:val="24"/>
        </w:rPr>
        <w:t xml:space="preserve">6, 11, 13 and 15 Grange Avenue and 2 and 4 Norris Road </w:t>
      </w:r>
      <w:r w:rsidR="00CD28F1">
        <w:rPr>
          <w:rFonts w:ascii="Trebuchet MS" w:hAnsi="Trebuchet MS"/>
          <w:szCs w:val="24"/>
        </w:rPr>
        <w:t>were consulted by letter.</w:t>
      </w:r>
      <w:r w:rsidR="00AB6B5B">
        <w:rPr>
          <w:rFonts w:ascii="Trebuchet MS" w:hAnsi="Trebuchet MS"/>
          <w:szCs w:val="24"/>
        </w:rPr>
        <w:t xml:space="preserve"> A</w:t>
      </w:r>
      <w:r w:rsidR="00CD28F1">
        <w:rPr>
          <w:rFonts w:ascii="Trebuchet MS" w:hAnsi="Trebuchet MS"/>
          <w:szCs w:val="24"/>
        </w:rPr>
        <w:t xml:space="preserve"> </w:t>
      </w:r>
      <w:r>
        <w:rPr>
          <w:rFonts w:ascii="Trebuchet MS" w:hAnsi="Trebuchet MS"/>
          <w:szCs w:val="24"/>
        </w:rPr>
        <w:t>site notice</w:t>
      </w:r>
      <w:r w:rsidR="00CD28F1">
        <w:rPr>
          <w:rFonts w:ascii="Trebuchet MS" w:hAnsi="Trebuchet MS"/>
          <w:szCs w:val="24"/>
        </w:rPr>
        <w:t xml:space="preserve"> w</w:t>
      </w:r>
      <w:r w:rsidR="00AB6B5B">
        <w:rPr>
          <w:rFonts w:ascii="Trebuchet MS" w:hAnsi="Trebuchet MS"/>
          <w:szCs w:val="24"/>
        </w:rPr>
        <w:t>as</w:t>
      </w:r>
      <w:r>
        <w:rPr>
          <w:rFonts w:ascii="Trebuchet MS" w:hAnsi="Trebuchet MS"/>
          <w:szCs w:val="24"/>
        </w:rPr>
        <w:t xml:space="preserve"> displayed. </w:t>
      </w:r>
      <w:r w:rsidR="00AB6B5B">
        <w:rPr>
          <w:rFonts w:ascii="Trebuchet MS" w:hAnsi="Trebuchet MS"/>
          <w:szCs w:val="24"/>
        </w:rPr>
        <w:t xml:space="preserve">No </w:t>
      </w:r>
      <w:r w:rsidR="00CD28F1">
        <w:rPr>
          <w:rFonts w:ascii="Trebuchet MS" w:hAnsi="Trebuchet MS"/>
          <w:szCs w:val="24"/>
        </w:rPr>
        <w:t>letters of representation were received.</w:t>
      </w:r>
    </w:p>
    <w:p w:rsidR="00AB6B5B" w:rsidRDefault="00AB6B5B" w:rsidP="00BA0347">
      <w:pPr>
        <w:spacing w:line="240" w:lineRule="auto"/>
        <w:rPr>
          <w:rFonts w:ascii="Trebuchet MS" w:hAnsi="Trebuchet MS"/>
          <w:szCs w:val="24"/>
          <w:u w:val="single"/>
        </w:rPr>
      </w:pPr>
      <w:r>
        <w:rPr>
          <w:rFonts w:ascii="Trebuchet MS" w:hAnsi="Trebuchet MS"/>
          <w:szCs w:val="24"/>
          <w:u w:val="single"/>
        </w:rPr>
        <w:t>Transport Development Control</w:t>
      </w:r>
    </w:p>
    <w:p w:rsidR="00AB6B5B" w:rsidRDefault="00592645" w:rsidP="00BA0347">
      <w:pPr>
        <w:spacing w:line="240" w:lineRule="auto"/>
        <w:rPr>
          <w:rFonts w:ascii="Trebuchet MS" w:hAnsi="Trebuchet MS"/>
          <w:szCs w:val="24"/>
        </w:rPr>
      </w:pPr>
      <w:r>
        <w:rPr>
          <w:rFonts w:ascii="Trebuchet MS" w:hAnsi="Trebuchet MS"/>
          <w:szCs w:val="24"/>
        </w:rPr>
        <w:t xml:space="preserve">The site is located within Zone 3 (Secondary Core Area) of the Council’s Parking Standards and Design SPD. Typically these areas are within 400m of a Reading Buses high frequency ‘Premier Route’, which provides high quality bus routes to and from Reading town centre and other local centre facilities. </w:t>
      </w:r>
    </w:p>
    <w:p w:rsidR="00592645" w:rsidRDefault="00592645" w:rsidP="00BA0347">
      <w:pPr>
        <w:spacing w:line="240" w:lineRule="auto"/>
        <w:rPr>
          <w:rFonts w:ascii="Trebuchet MS" w:hAnsi="Trebuchet MS"/>
          <w:szCs w:val="24"/>
        </w:rPr>
      </w:pPr>
      <w:r>
        <w:rPr>
          <w:rFonts w:ascii="Trebuchet MS" w:hAnsi="Trebuchet MS"/>
          <w:szCs w:val="24"/>
        </w:rPr>
        <w:t xml:space="preserve">In accordance with the Parking SPD, the proposed development would be required to provide 0.25 on-site parking spaces per bedroom. However, no off-road parking is associated with the existing dwelling. The proposed development is located near the junction with Norris Road. Parking occurs on both sides of the carriageway. The road is also included in the Council’s residential parking permit scheme; therefore there should be an assumption that any future occupants of the proposed HMO will not be issued with a residents parking permit. This will ensure that the development does not harm existing </w:t>
      </w:r>
      <w:r>
        <w:rPr>
          <w:rFonts w:ascii="Trebuchet MS" w:hAnsi="Trebuchet MS"/>
          <w:szCs w:val="24"/>
        </w:rPr>
        <w:lastRenderedPageBreak/>
        <w:t xml:space="preserve">amenities of the neighbouring residential properties by adding to the already high level of on-street car parking in the area. </w:t>
      </w:r>
    </w:p>
    <w:p w:rsidR="00592645" w:rsidRDefault="00592645" w:rsidP="00BA0347">
      <w:pPr>
        <w:spacing w:line="240" w:lineRule="auto"/>
        <w:rPr>
          <w:rFonts w:ascii="Trebuchet MS" w:hAnsi="Trebuchet MS"/>
          <w:szCs w:val="24"/>
        </w:rPr>
      </w:pPr>
      <w:r>
        <w:rPr>
          <w:rFonts w:ascii="Trebuchet MS" w:hAnsi="Trebuchet MS"/>
          <w:szCs w:val="24"/>
        </w:rPr>
        <w:t>In accordance with the Council’s Parking SPD, cycle storage for an HMO should be provided at a ratio of 0.5 secure cycle storage spaces for each letting room. This should be in the form of a Sheffield type stand within a lockable and covered store. No details have been provided</w:t>
      </w:r>
    </w:p>
    <w:p w:rsidR="00592645" w:rsidRPr="00AB6B5B" w:rsidRDefault="00592645" w:rsidP="00BA0347">
      <w:pPr>
        <w:spacing w:line="240" w:lineRule="auto"/>
        <w:rPr>
          <w:rFonts w:ascii="Trebuchet MS" w:hAnsi="Trebuchet MS"/>
          <w:szCs w:val="24"/>
        </w:rPr>
      </w:pPr>
      <w:r>
        <w:rPr>
          <w:rFonts w:ascii="Trebuchet MS" w:hAnsi="Trebuchet MS"/>
          <w:szCs w:val="24"/>
        </w:rPr>
        <w:t xml:space="preserve">A bin storage and collection area has not been illustrated on the submitted plans. This should be located within 15m of the access point of the site, to avoid the stationing of service vehicles on the carriageway for excessive periods and should comply with the Manual for Streets and British Standard 5906:2005 for Waste Management in Buildings.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92B92" w:rsidRPr="00092B92" w:rsidRDefault="00092B92" w:rsidP="00A0641B">
      <w:pPr>
        <w:spacing w:line="240" w:lineRule="auto"/>
        <w:rPr>
          <w:rFonts w:ascii="Trebuchet MS" w:hAnsi="Trebuchet MS"/>
          <w:b/>
          <w:szCs w:val="24"/>
        </w:rPr>
      </w:pPr>
      <w:r>
        <w:rPr>
          <w:rFonts w:ascii="Trebuchet MS" w:hAnsi="Trebuchet MS"/>
          <w:b/>
          <w:szCs w:val="24"/>
        </w:rPr>
        <w:t>Summary of Discussion</w:t>
      </w:r>
    </w:p>
    <w:p w:rsidR="00092B92" w:rsidRPr="00092B92" w:rsidRDefault="00092B92" w:rsidP="00A0641B">
      <w:pPr>
        <w:spacing w:line="240" w:lineRule="auto"/>
        <w:rPr>
          <w:rFonts w:ascii="Trebuchet MS" w:hAnsi="Trebuchet MS"/>
          <w:szCs w:val="24"/>
        </w:rPr>
      </w:pPr>
      <w:r>
        <w:rPr>
          <w:rFonts w:ascii="Trebuchet MS" w:hAnsi="Trebuchet MS"/>
          <w:szCs w:val="24"/>
        </w:rPr>
        <w:t>The applicant was advised on 21/10/20 that the application was subject for refusal. The principl</w:t>
      </w:r>
      <w:r w:rsidR="00EB6FA4">
        <w:rPr>
          <w:rFonts w:ascii="Trebuchet MS" w:hAnsi="Trebuchet MS"/>
          <w:szCs w:val="24"/>
        </w:rPr>
        <w:t>e</w:t>
      </w:r>
      <w:r>
        <w:rPr>
          <w:rFonts w:ascii="Trebuchet MS" w:hAnsi="Trebuchet MS"/>
          <w:szCs w:val="24"/>
        </w:rPr>
        <w:t xml:space="preserve"> of the change of use was unacceptable due to the 25% threshold being exceeded. This was reiterated to the applicant several times in the following days, with evidence and further explanation used to back </w:t>
      </w:r>
      <w:bookmarkStart w:id="0" w:name="_GoBack"/>
      <w:bookmarkEnd w:id="0"/>
      <w:r>
        <w:rPr>
          <w:rFonts w:ascii="Trebuchet MS" w:hAnsi="Trebuchet MS"/>
          <w:szCs w:val="24"/>
        </w:rPr>
        <w:t xml:space="preserve">up the LPA’s position. The applicant chose not to withdraw the application.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2344F6">
      <w:pPr>
        <w:spacing w:line="240" w:lineRule="auto"/>
        <w:rPr>
          <w:rFonts w:ascii="Trebuchet MS" w:hAnsi="Trebuchet MS"/>
          <w:szCs w:val="24"/>
          <w:u w:val="single"/>
        </w:rPr>
      </w:pPr>
      <w:r>
        <w:rPr>
          <w:rFonts w:ascii="Trebuchet MS" w:hAnsi="Trebuchet MS"/>
          <w:szCs w:val="24"/>
          <w:u w:val="single"/>
        </w:rPr>
        <w:t xml:space="preserve">Reading Borough Local </w:t>
      </w:r>
      <w:r w:rsidR="002344F6">
        <w:rPr>
          <w:rFonts w:ascii="Trebuchet MS" w:hAnsi="Trebuchet MS"/>
          <w:szCs w:val="24"/>
          <w:u w:val="single"/>
        </w:rPr>
        <w:t>Plan (2019)</w:t>
      </w:r>
    </w:p>
    <w:p w:rsidR="002344F6" w:rsidRDefault="002344F6" w:rsidP="002344F6">
      <w:pPr>
        <w:spacing w:line="240" w:lineRule="auto"/>
        <w:rPr>
          <w:rFonts w:ascii="Trebuchet MS" w:hAnsi="Trebuchet MS"/>
          <w:szCs w:val="24"/>
        </w:rPr>
      </w:pPr>
      <w:r>
        <w:rPr>
          <w:rFonts w:ascii="Trebuchet MS" w:hAnsi="Trebuchet MS"/>
          <w:szCs w:val="24"/>
        </w:rPr>
        <w:t>Policy CC1 – Presumption in Favour of Sustainable Development</w:t>
      </w:r>
    </w:p>
    <w:p w:rsidR="00807D4D" w:rsidRDefault="00807D4D" w:rsidP="002344F6">
      <w:pPr>
        <w:spacing w:line="240" w:lineRule="auto"/>
        <w:rPr>
          <w:rFonts w:ascii="Trebuchet MS" w:hAnsi="Trebuchet MS"/>
          <w:szCs w:val="24"/>
        </w:rPr>
      </w:pPr>
      <w:r>
        <w:rPr>
          <w:rFonts w:ascii="Trebuchet MS" w:hAnsi="Trebuchet MS"/>
          <w:szCs w:val="24"/>
        </w:rPr>
        <w:t>Policy CC2 – Sustainable Design and Construction</w:t>
      </w:r>
    </w:p>
    <w:p w:rsidR="00807D4D" w:rsidRDefault="00807D4D" w:rsidP="002344F6">
      <w:pPr>
        <w:spacing w:line="240" w:lineRule="auto"/>
        <w:rPr>
          <w:rFonts w:ascii="Trebuchet MS" w:hAnsi="Trebuchet MS"/>
          <w:szCs w:val="24"/>
        </w:rPr>
      </w:pPr>
      <w:r>
        <w:rPr>
          <w:rFonts w:ascii="Trebuchet MS" w:hAnsi="Trebuchet MS"/>
          <w:szCs w:val="24"/>
        </w:rPr>
        <w:t>Policy CC3 – Adaption to Climate Change</w:t>
      </w:r>
    </w:p>
    <w:p w:rsidR="00807D4D" w:rsidRDefault="00807D4D" w:rsidP="002344F6">
      <w:pPr>
        <w:spacing w:line="240" w:lineRule="auto"/>
        <w:rPr>
          <w:rFonts w:ascii="Trebuchet MS" w:hAnsi="Trebuchet MS"/>
          <w:szCs w:val="24"/>
        </w:rPr>
      </w:pPr>
      <w:r>
        <w:rPr>
          <w:rFonts w:ascii="Trebuchet MS" w:hAnsi="Trebuchet MS"/>
          <w:szCs w:val="24"/>
        </w:rPr>
        <w:t>Policy CC5 – Waste Minimisation and Storage</w:t>
      </w:r>
    </w:p>
    <w:p w:rsidR="00807D4D" w:rsidRDefault="00807D4D" w:rsidP="002344F6">
      <w:pPr>
        <w:spacing w:line="240" w:lineRule="auto"/>
        <w:rPr>
          <w:rFonts w:ascii="Trebuchet MS" w:hAnsi="Trebuchet MS"/>
          <w:szCs w:val="24"/>
        </w:rPr>
      </w:pPr>
      <w:r>
        <w:rPr>
          <w:rFonts w:ascii="Trebuchet MS" w:hAnsi="Trebuchet MS"/>
          <w:szCs w:val="24"/>
        </w:rPr>
        <w:t>Policy CC6 – Accessibility and the Intensity of Development</w:t>
      </w:r>
    </w:p>
    <w:p w:rsidR="00807D4D" w:rsidRDefault="00807D4D" w:rsidP="002344F6">
      <w:pPr>
        <w:spacing w:line="240" w:lineRule="auto"/>
        <w:rPr>
          <w:rFonts w:ascii="Trebuchet MS" w:hAnsi="Trebuchet MS"/>
          <w:szCs w:val="24"/>
        </w:rPr>
      </w:pPr>
      <w:r>
        <w:rPr>
          <w:rFonts w:ascii="Trebuchet MS" w:hAnsi="Trebuchet MS"/>
          <w:szCs w:val="24"/>
        </w:rPr>
        <w:t>Policy CC7 – Design and the Public Realm</w:t>
      </w:r>
    </w:p>
    <w:p w:rsidR="00807D4D" w:rsidRDefault="00807D4D" w:rsidP="002344F6">
      <w:pPr>
        <w:spacing w:line="240" w:lineRule="auto"/>
        <w:rPr>
          <w:rFonts w:ascii="Trebuchet MS" w:hAnsi="Trebuchet MS"/>
          <w:szCs w:val="24"/>
        </w:rPr>
      </w:pPr>
      <w:r>
        <w:rPr>
          <w:rFonts w:ascii="Trebuchet MS" w:hAnsi="Trebuchet MS"/>
          <w:szCs w:val="24"/>
        </w:rPr>
        <w:t>Policy CC8 – Safeguarding Amenity</w:t>
      </w:r>
    </w:p>
    <w:p w:rsidR="00807D4D" w:rsidRDefault="00807D4D" w:rsidP="002344F6">
      <w:pPr>
        <w:spacing w:line="240" w:lineRule="auto"/>
        <w:rPr>
          <w:rFonts w:ascii="Trebuchet MS" w:hAnsi="Trebuchet MS"/>
          <w:szCs w:val="24"/>
        </w:rPr>
      </w:pPr>
      <w:r>
        <w:rPr>
          <w:rFonts w:ascii="Trebuchet MS" w:hAnsi="Trebuchet MS"/>
          <w:szCs w:val="24"/>
        </w:rPr>
        <w:t>Policy EN12 – Biodiversity and the Green Network</w:t>
      </w:r>
    </w:p>
    <w:p w:rsidR="00807D4D" w:rsidRDefault="00807D4D" w:rsidP="002344F6">
      <w:pPr>
        <w:spacing w:line="240" w:lineRule="auto"/>
        <w:rPr>
          <w:rFonts w:ascii="Trebuchet MS" w:hAnsi="Trebuchet MS"/>
          <w:szCs w:val="24"/>
        </w:rPr>
      </w:pPr>
      <w:r>
        <w:rPr>
          <w:rFonts w:ascii="Trebuchet MS" w:hAnsi="Trebuchet MS"/>
          <w:szCs w:val="24"/>
        </w:rPr>
        <w:t>Policy H8 – Residential Conversions</w:t>
      </w:r>
    </w:p>
    <w:p w:rsidR="00807D4D" w:rsidRDefault="00807D4D" w:rsidP="002344F6">
      <w:pPr>
        <w:spacing w:line="240" w:lineRule="auto"/>
        <w:rPr>
          <w:rFonts w:ascii="Trebuchet MS" w:hAnsi="Trebuchet MS"/>
          <w:szCs w:val="24"/>
        </w:rPr>
      </w:pPr>
      <w:r>
        <w:rPr>
          <w:rFonts w:ascii="Trebuchet MS" w:hAnsi="Trebuchet MS"/>
          <w:szCs w:val="24"/>
        </w:rPr>
        <w:lastRenderedPageBreak/>
        <w:t>Policy H9 – House Extensions and Ancillary Accommodation</w:t>
      </w:r>
    </w:p>
    <w:p w:rsidR="00807D4D" w:rsidRDefault="00807D4D" w:rsidP="002344F6">
      <w:pPr>
        <w:spacing w:line="240" w:lineRule="auto"/>
        <w:rPr>
          <w:rFonts w:ascii="Trebuchet MS" w:hAnsi="Trebuchet MS"/>
          <w:szCs w:val="24"/>
        </w:rPr>
      </w:pPr>
      <w:r>
        <w:rPr>
          <w:rFonts w:ascii="Trebuchet MS" w:hAnsi="Trebuchet MS"/>
          <w:szCs w:val="24"/>
        </w:rPr>
        <w:t>Policy H10 – Private and Communal Outdoor Space</w:t>
      </w:r>
    </w:p>
    <w:p w:rsidR="00807D4D" w:rsidRDefault="00807D4D" w:rsidP="002344F6">
      <w:pPr>
        <w:spacing w:line="240" w:lineRule="auto"/>
        <w:rPr>
          <w:rFonts w:ascii="Trebuchet MS" w:hAnsi="Trebuchet MS"/>
          <w:szCs w:val="24"/>
        </w:rPr>
      </w:pPr>
      <w:r>
        <w:rPr>
          <w:rFonts w:ascii="Trebuchet MS" w:hAnsi="Trebuchet MS"/>
          <w:szCs w:val="24"/>
        </w:rPr>
        <w:t>Policy TR3 – Access, Traffic and Highway-Related Matters</w:t>
      </w:r>
    </w:p>
    <w:p w:rsidR="00807D4D" w:rsidRPr="002344F6" w:rsidRDefault="00807D4D" w:rsidP="002344F6">
      <w:pPr>
        <w:spacing w:line="240" w:lineRule="auto"/>
        <w:rPr>
          <w:rFonts w:ascii="Trebuchet MS" w:hAnsi="Trebuchet MS"/>
          <w:szCs w:val="24"/>
        </w:rPr>
      </w:pPr>
      <w:r>
        <w:rPr>
          <w:rFonts w:ascii="Trebuchet MS" w:hAnsi="Trebuchet MS"/>
          <w:szCs w:val="24"/>
        </w:rPr>
        <w:t>Policy TR5 – Car and Cycle Parking and Electric Vehicle Charging</w:t>
      </w:r>
    </w:p>
    <w:p w:rsidR="00F653C1" w:rsidRDefault="00F653C1" w:rsidP="00A0641B">
      <w:pPr>
        <w:spacing w:line="240" w:lineRule="auto"/>
        <w:rPr>
          <w:rFonts w:ascii="Trebuchet MS" w:hAnsi="Trebuchet MS"/>
          <w:szCs w:val="24"/>
          <w:u w:val="single"/>
        </w:rPr>
      </w:pPr>
      <w:r>
        <w:rPr>
          <w:rFonts w:ascii="Trebuchet MS" w:hAnsi="Trebuchet MS"/>
          <w:szCs w:val="24"/>
          <w:u w:val="single"/>
        </w:rPr>
        <w:t>Supplementary Planning Guidance – A Design Guide to House Extensions (2003)</w:t>
      </w:r>
    </w:p>
    <w:p w:rsidR="004A3947" w:rsidRDefault="004A3947" w:rsidP="00A0641B">
      <w:pPr>
        <w:spacing w:line="240" w:lineRule="auto"/>
        <w:rPr>
          <w:rFonts w:ascii="Trebuchet MS" w:hAnsi="Trebuchet MS"/>
          <w:szCs w:val="24"/>
          <w:u w:val="single"/>
        </w:rPr>
      </w:pPr>
      <w:r>
        <w:rPr>
          <w:rFonts w:ascii="Trebuchet MS" w:hAnsi="Trebuchet MS"/>
          <w:szCs w:val="24"/>
          <w:u w:val="single"/>
        </w:rPr>
        <w:t>Revised Parking Standards and Design – Supplementary Planning Document (2011)</w:t>
      </w:r>
    </w:p>
    <w:p w:rsidR="004A3947" w:rsidRPr="004A3947" w:rsidRDefault="004A3947" w:rsidP="00A0641B">
      <w:pPr>
        <w:spacing w:line="240" w:lineRule="auto"/>
        <w:rPr>
          <w:rFonts w:ascii="Trebuchet MS" w:hAnsi="Trebuchet MS"/>
          <w:szCs w:val="24"/>
          <w:u w:val="single"/>
        </w:rPr>
      </w:pPr>
      <w:r>
        <w:rPr>
          <w:rFonts w:ascii="Trebuchet MS" w:hAnsi="Trebuchet MS"/>
          <w:szCs w:val="24"/>
          <w:u w:val="single"/>
        </w:rPr>
        <w:t>Residential Conversions – Supplementary Planning Document (2013)</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4A3947" w:rsidRDefault="004A3947" w:rsidP="00A0641B">
      <w:pPr>
        <w:spacing w:line="240" w:lineRule="auto"/>
        <w:rPr>
          <w:rFonts w:ascii="Trebuchet MS" w:hAnsi="Trebuchet MS"/>
          <w:szCs w:val="24"/>
          <w:u w:val="single"/>
        </w:rPr>
      </w:pPr>
      <w:r>
        <w:rPr>
          <w:rFonts w:ascii="Trebuchet MS" w:hAnsi="Trebuchet MS"/>
          <w:szCs w:val="24"/>
          <w:u w:val="single"/>
        </w:rPr>
        <w:t>Principle of development</w:t>
      </w:r>
    </w:p>
    <w:p w:rsidR="008739E9" w:rsidRDefault="00F61633" w:rsidP="00A0641B">
      <w:pPr>
        <w:spacing w:line="240" w:lineRule="auto"/>
        <w:rPr>
          <w:rFonts w:ascii="Trebuchet MS" w:hAnsi="Trebuchet MS"/>
          <w:szCs w:val="24"/>
        </w:rPr>
      </w:pPr>
      <w:r>
        <w:rPr>
          <w:rFonts w:ascii="Trebuchet MS" w:hAnsi="Trebuchet MS"/>
          <w:szCs w:val="24"/>
        </w:rPr>
        <w:t>The site is located within an Article 4 area</w:t>
      </w:r>
      <w:r w:rsidR="002E3F0B">
        <w:rPr>
          <w:rFonts w:ascii="Trebuchet MS" w:hAnsi="Trebuchet MS"/>
          <w:szCs w:val="24"/>
        </w:rPr>
        <w:t>, which removes the permitted development right to convert from a dwelling (Class C3) to an HMO (Class C4). The Article 4 area came into force in May 2013, to ensure a mixed and sustainable community. Though</w:t>
      </w:r>
      <w:r w:rsidR="002F4BF8">
        <w:rPr>
          <w:rFonts w:ascii="Trebuchet MS" w:hAnsi="Trebuchet MS"/>
          <w:szCs w:val="24"/>
        </w:rPr>
        <w:t xml:space="preserve"> it is acknowledged that</w:t>
      </w:r>
      <w:r w:rsidR="002E3F0B">
        <w:rPr>
          <w:rFonts w:ascii="Trebuchet MS" w:hAnsi="Trebuchet MS"/>
          <w:szCs w:val="24"/>
        </w:rPr>
        <w:t xml:space="preserve"> residential conversions have an important role to play in housing supply, they can either individually or cumulatively have a harmful impact through unduly diluting mixed and sustainable areas. When the concentration of HMO’s becomes over-dominant and the community is no longer considered to be mixed and sustainable, this is defined as the tipping point. The Residential Conversions SPD defines the tipping point as a 25% threshold. The threshold is calculated by drawing a 50m radius from </w:t>
      </w:r>
      <w:r w:rsidR="002F4BF8">
        <w:rPr>
          <w:rFonts w:ascii="Trebuchet MS" w:hAnsi="Trebuchet MS"/>
          <w:szCs w:val="24"/>
        </w:rPr>
        <w:t xml:space="preserve">the front door of the property. Any property falling within the radius will be taken into account in the assessment. The LPA uses information available to it to identify which properties are within an HMO use. This information is primarily based on Environmental Health and Council Tax records, which given data protection is not available in the public domain. </w:t>
      </w:r>
    </w:p>
    <w:p w:rsidR="002F4BF8" w:rsidRPr="008739E9" w:rsidRDefault="002F4BF8" w:rsidP="00A0641B">
      <w:pPr>
        <w:spacing w:line="240" w:lineRule="auto"/>
        <w:rPr>
          <w:rFonts w:ascii="Trebuchet MS" w:hAnsi="Trebuchet MS"/>
          <w:szCs w:val="24"/>
        </w:rPr>
      </w:pPr>
      <w:r>
        <w:rPr>
          <w:rFonts w:ascii="Trebuchet MS" w:hAnsi="Trebuchet MS"/>
          <w:szCs w:val="24"/>
        </w:rPr>
        <w:t xml:space="preserve">As per the Policy H8 and the Residential Conversions SPD, planning permission will not normally be granted where the proportion of HMO’s will result in HMO’s representing 25% or more of the residential properties within a 50m radius from the application site. </w:t>
      </w:r>
      <w:r w:rsidR="00D71D33">
        <w:rPr>
          <w:rFonts w:ascii="Trebuchet MS" w:hAnsi="Trebuchet MS"/>
          <w:szCs w:val="24"/>
        </w:rPr>
        <w:t>The threshold assessment was undertaken on 21</w:t>
      </w:r>
      <w:r w:rsidR="00D71D33" w:rsidRPr="00D71D33">
        <w:rPr>
          <w:rFonts w:ascii="Trebuchet MS" w:hAnsi="Trebuchet MS"/>
          <w:szCs w:val="24"/>
          <w:vertAlign w:val="superscript"/>
        </w:rPr>
        <w:t>st</w:t>
      </w:r>
      <w:r w:rsidR="00D71D33">
        <w:rPr>
          <w:rFonts w:ascii="Trebuchet MS" w:hAnsi="Trebuchet MS"/>
          <w:szCs w:val="24"/>
        </w:rPr>
        <w:t xml:space="preserve"> October 2020 using planning histories, Environmental Health and Council Tax records. </w:t>
      </w:r>
      <w:r>
        <w:rPr>
          <w:rFonts w:ascii="Trebuchet MS" w:hAnsi="Trebuchet MS"/>
          <w:szCs w:val="24"/>
        </w:rPr>
        <w:t xml:space="preserve">48 properties along Grange Avenue, Norris Road and Wokingham Road are within the 50m radius. Of these properties, 23 have been found to be in HMO use (including the proposed HMO at 8 Grange Avenue). This equates to 47.92% of residential properties within the 50m radius, comfortably exceeding the 25% threshold. </w:t>
      </w:r>
      <w:r w:rsidR="00D71D33">
        <w:rPr>
          <w:rFonts w:ascii="Trebuchet MS" w:hAnsi="Trebuchet MS"/>
          <w:szCs w:val="24"/>
        </w:rPr>
        <w:t xml:space="preserve">This clearly demonstrates that the tipping point for the area surrounding the application site has already been reached. The proposed change of use would further dilute and harm a mixed and sustainable community. The principle of the development is therefore unacceptable, contrary to Policy H8 and the Residential Conversions SPD. </w:t>
      </w:r>
    </w:p>
    <w:p w:rsidR="004A3947" w:rsidRDefault="004A3947" w:rsidP="00A0641B">
      <w:pPr>
        <w:spacing w:line="240" w:lineRule="auto"/>
        <w:rPr>
          <w:rFonts w:ascii="Trebuchet MS" w:hAnsi="Trebuchet MS"/>
          <w:szCs w:val="24"/>
          <w:u w:val="single"/>
        </w:rPr>
      </w:pPr>
      <w:r>
        <w:rPr>
          <w:rFonts w:ascii="Trebuchet MS" w:hAnsi="Trebuchet MS"/>
          <w:szCs w:val="24"/>
          <w:u w:val="single"/>
        </w:rPr>
        <w:t>Design and impact on the character of the area</w:t>
      </w:r>
    </w:p>
    <w:p w:rsidR="00165299" w:rsidRPr="00165299" w:rsidRDefault="00165299" w:rsidP="00A0641B">
      <w:pPr>
        <w:spacing w:line="240" w:lineRule="auto"/>
        <w:rPr>
          <w:rFonts w:ascii="Trebuchet MS" w:hAnsi="Trebuchet MS"/>
          <w:szCs w:val="24"/>
        </w:rPr>
      </w:pPr>
      <w:r>
        <w:rPr>
          <w:rFonts w:ascii="Trebuchet MS" w:hAnsi="Trebuchet MS"/>
          <w:szCs w:val="24"/>
        </w:rPr>
        <w:t xml:space="preserve">Only minor external alterations are proposed to facilitate the proposed conversion. The alterations to fenestration are not deemed to be harmful to the character and appearance of the site or surrounding area, in accordance with Policy CC7. </w:t>
      </w:r>
    </w:p>
    <w:p w:rsidR="004A3947" w:rsidRDefault="004A3947" w:rsidP="00A0641B">
      <w:pPr>
        <w:spacing w:line="240" w:lineRule="auto"/>
        <w:rPr>
          <w:rFonts w:ascii="Trebuchet MS" w:hAnsi="Trebuchet MS"/>
          <w:szCs w:val="24"/>
          <w:u w:val="single"/>
        </w:rPr>
      </w:pPr>
      <w:r>
        <w:rPr>
          <w:rFonts w:ascii="Trebuchet MS" w:hAnsi="Trebuchet MS"/>
          <w:szCs w:val="24"/>
          <w:u w:val="single"/>
        </w:rPr>
        <w:t>Impact on neighbouring amenity</w:t>
      </w:r>
    </w:p>
    <w:p w:rsidR="00165299" w:rsidRPr="00165299" w:rsidRDefault="00165299" w:rsidP="00A0641B">
      <w:pPr>
        <w:spacing w:line="240" w:lineRule="auto"/>
        <w:rPr>
          <w:rFonts w:ascii="Trebuchet MS" w:hAnsi="Trebuchet MS"/>
          <w:szCs w:val="24"/>
        </w:rPr>
      </w:pPr>
      <w:r>
        <w:rPr>
          <w:rFonts w:ascii="Trebuchet MS" w:hAnsi="Trebuchet MS"/>
          <w:szCs w:val="24"/>
        </w:rPr>
        <w:t xml:space="preserve">It is not considered that the use of the property as a 4 person HMO would cause significantly more harm to neighbouring amenity than the existing use as a three bed dwelling. </w:t>
      </w:r>
      <w:r w:rsidR="000B78A3">
        <w:rPr>
          <w:rFonts w:ascii="Trebuchet MS" w:hAnsi="Trebuchet MS"/>
          <w:szCs w:val="24"/>
        </w:rPr>
        <w:t xml:space="preserve">The proposal accords with Policy CC8 in this regard. </w:t>
      </w:r>
    </w:p>
    <w:p w:rsidR="004A3947" w:rsidRDefault="004A3947" w:rsidP="00A0641B">
      <w:pPr>
        <w:spacing w:line="240" w:lineRule="auto"/>
        <w:rPr>
          <w:rFonts w:ascii="Trebuchet MS" w:hAnsi="Trebuchet MS"/>
          <w:szCs w:val="24"/>
          <w:u w:val="single"/>
        </w:rPr>
      </w:pPr>
      <w:r>
        <w:rPr>
          <w:rFonts w:ascii="Trebuchet MS" w:hAnsi="Trebuchet MS"/>
          <w:szCs w:val="24"/>
          <w:u w:val="single"/>
        </w:rPr>
        <w:lastRenderedPageBreak/>
        <w:t>Amenity of future occupiers</w:t>
      </w:r>
    </w:p>
    <w:p w:rsidR="000B78A3" w:rsidRPr="000B78A3" w:rsidRDefault="000B78A3" w:rsidP="00A0641B">
      <w:pPr>
        <w:spacing w:line="240" w:lineRule="auto"/>
        <w:rPr>
          <w:rFonts w:ascii="Trebuchet MS" w:hAnsi="Trebuchet MS"/>
          <w:szCs w:val="24"/>
        </w:rPr>
      </w:pPr>
      <w:r>
        <w:rPr>
          <w:rFonts w:ascii="Trebuchet MS" w:hAnsi="Trebuchet MS"/>
          <w:szCs w:val="24"/>
        </w:rPr>
        <w:t xml:space="preserve">Each of the four bedrooms would be of a sufficient size and would have acceptable outlook. The provision of a communal room at the ground floor satisfies the requirement of the Residential Conversions SPD. It is not considered that the proposal would result in a poor internal environment for future occupiers.  </w:t>
      </w:r>
    </w:p>
    <w:p w:rsidR="004A3947" w:rsidRDefault="004A3947" w:rsidP="00A0641B">
      <w:pPr>
        <w:spacing w:line="240" w:lineRule="auto"/>
        <w:rPr>
          <w:rFonts w:ascii="Trebuchet MS" w:hAnsi="Trebuchet MS"/>
          <w:szCs w:val="24"/>
          <w:u w:val="single"/>
        </w:rPr>
      </w:pPr>
      <w:r>
        <w:rPr>
          <w:rFonts w:ascii="Trebuchet MS" w:hAnsi="Trebuchet MS"/>
          <w:szCs w:val="24"/>
          <w:u w:val="single"/>
        </w:rPr>
        <w:t>Transport</w:t>
      </w:r>
    </w:p>
    <w:p w:rsidR="000B78A3" w:rsidRPr="000B78A3" w:rsidRDefault="000B78A3" w:rsidP="00A0641B">
      <w:pPr>
        <w:spacing w:line="240" w:lineRule="auto"/>
        <w:rPr>
          <w:rFonts w:ascii="Trebuchet MS" w:hAnsi="Trebuchet MS"/>
          <w:szCs w:val="24"/>
        </w:rPr>
      </w:pPr>
      <w:r>
        <w:rPr>
          <w:rFonts w:ascii="Trebuchet MS" w:hAnsi="Trebuchet MS"/>
          <w:szCs w:val="24"/>
        </w:rPr>
        <w:t xml:space="preserve">As per the consultation response from Transport Development Control, the site does not benefit from off-road parking. Were the application to be approved, a condition would be applied preventing future occupiers from receiving parking permits due to the existing on-street parking congestion. In light of this, it is essential that future occupiers have access to secure bicycle storage. No bicycle storage has been illustrated on the proposed plans which is unacceptable, contrary to Policies H8 and TR5. No bin storage has been illustrated either, contrary to Policy H8.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w:t>
      </w:r>
      <w:r w:rsidR="000B78A3">
        <w:rPr>
          <w:rFonts w:ascii="Trebuchet MS" w:hAnsi="Trebuchet MS"/>
          <w:szCs w:val="24"/>
        </w:rPr>
        <w:t>un</w:t>
      </w:r>
      <w:r>
        <w:rPr>
          <w:rFonts w:ascii="Trebuchet MS" w:hAnsi="Trebuchet MS"/>
          <w:szCs w:val="24"/>
        </w:rPr>
        <w:t>acceptable</w:t>
      </w:r>
      <w:r w:rsidR="000B78A3">
        <w:rPr>
          <w:rFonts w:ascii="Trebuchet MS" w:hAnsi="Trebuchet MS"/>
          <w:szCs w:val="24"/>
        </w:rPr>
        <w:t>, contrary to Policy H8 and the Residential Conversions SPD</w:t>
      </w:r>
      <w:r>
        <w:rPr>
          <w:rFonts w:ascii="Trebuchet MS" w:hAnsi="Trebuchet MS"/>
          <w:szCs w:val="24"/>
        </w:rPr>
        <w:t>.</w:t>
      </w:r>
      <w:r w:rsidR="000B78A3">
        <w:rPr>
          <w:rFonts w:ascii="Trebuchet MS" w:hAnsi="Trebuchet MS"/>
          <w:szCs w:val="24"/>
        </w:rPr>
        <w:t xml:space="preserve"> The proposed conversion would exceed the 25% threshold of HMO’s, further diluting and harming a mixed and sustainable community. </w:t>
      </w:r>
      <w:r>
        <w:rPr>
          <w:rFonts w:ascii="Trebuchet MS" w:hAnsi="Trebuchet MS"/>
          <w:szCs w:val="24"/>
        </w:rPr>
        <w:t xml:space="preserv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0B78A3" w:rsidP="00A07CBB">
      <w:pPr>
        <w:spacing w:line="240" w:lineRule="auto"/>
        <w:rPr>
          <w:rFonts w:ascii="Trebuchet MS" w:hAnsi="Trebuchet MS"/>
          <w:b/>
          <w:szCs w:val="24"/>
        </w:rPr>
      </w:pPr>
      <w:r>
        <w:rPr>
          <w:rFonts w:ascii="Trebuchet MS" w:hAnsi="Trebuchet MS"/>
          <w:b/>
          <w:szCs w:val="24"/>
        </w:rPr>
        <w:t>REFUSE</w:t>
      </w:r>
    </w:p>
    <w:sectPr w:rsidR="00D721C4" w:rsidRPr="007C55A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6FA4" w:rsidRDefault="00EB6FA4" w:rsidP="00EB6FA4">
      <w:pPr>
        <w:spacing w:after="0" w:line="240" w:lineRule="auto"/>
      </w:pPr>
      <w:r>
        <w:separator/>
      </w:r>
    </w:p>
  </w:endnote>
  <w:endnote w:type="continuationSeparator" w:id="0">
    <w:p w:rsidR="00EB6FA4" w:rsidRDefault="00EB6FA4" w:rsidP="00EB6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FA4" w:rsidRDefault="00EB6F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FA4" w:rsidRDefault="00EB6FA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FA4" w:rsidRDefault="00EB6F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6FA4" w:rsidRDefault="00EB6FA4" w:rsidP="00EB6FA4">
      <w:pPr>
        <w:spacing w:after="0" w:line="240" w:lineRule="auto"/>
      </w:pPr>
      <w:r>
        <w:separator/>
      </w:r>
    </w:p>
  </w:footnote>
  <w:footnote w:type="continuationSeparator" w:id="0">
    <w:p w:rsidR="00EB6FA4" w:rsidRDefault="00EB6FA4" w:rsidP="00EB6F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FA4" w:rsidRDefault="00EB6F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FA4" w:rsidRDefault="00EB6F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FA4" w:rsidRDefault="00EB6F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63E65"/>
    <w:rsid w:val="00092B92"/>
    <w:rsid w:val="000B78A3"/>
    <w:rsid w:val="00136CBE"/>
    <w:rsid w:val="001462B1"/>
    <w:rsid w:val="00153F67"/>
    <w:rsid w:val="00165299"/>
    <w:rsid w:val="001724C3"/>
    <w:rsid w:val="001A59D1"/>
    <w:rsid w:val="001B1192"/>
    <w:rsid w:val="00203FEC"/>
    <w:rsid w:val="002344F6"/>
    <w:rsid w:val="0025023D"/>
    <w:rsid w:val="00271E64"/>
    <w:rsid w:val="002E3F0B"/>
    <w:rsid w:val="002F4BF8"/>
    <w:rsid w:val="002F7727"/>
    <w:rsid w:val="0037116B"/>
    <w:rsid w:val="00394FA3"/>
    <w:rsid w:val="003C3AC5"/>
    <w:rsid w:val="003C7F80"/>
    <w:rsid w:val="003F5779"/>
    <w:rsid w:val="00435A3F"/>
    <w:rsid w:val="00471B8C"/>
    <w:rsid w:val="00493FCB"/>
    <w:rsid w:val="004A3947"/>
    <w:rsid w:val="004B46CD"/>
    <w:rsid w:val="00503777"/>
    <w:rsid w:val="00531F4B"/>
    <w:rsid w:val="00592645"/>
    <w:rsid w:val="005C3E8D"/>
    <w:rsid w:val="006207E9"/>
    <w:rsid w:val="006520C0"/>
    <w:rsid w:val="00656759"/>
    <w:rsid w:val="00661FA5"/>
    <w:rsid w:val="0068081B"/>
    <w:rsid w:val="00683BBD"/>
    <w:rsid w:val="006A11BD"/>
    <w:rsid w:val="00742F35"/>
    <w:rsid w:val="007A1C70"/>
    <w:rsid w:val="007A4C9A"/>
    <w:rsid w:val="007B6972"/>
    <w:rsid w:val="007C55A2"/>
    <w:rsid w:val="00807D4D"/>
    <w:rsid w:val="0081229E"/>
    <w:rsid w:val="008739E9"/>
    <w:rsid w:val="008942E3"/>
    <w:rsid w:val="00935AC7"/>
    <w:rsid w:val="00941904"/>
    <w:rsid w:val="009A0C0E"/>
    <w:rsid w:val="00A0641B"/>
    <w:rsid w:val="00A07CBB"/>
    <w:rsid w:val="00A10BFC"/>
    <w:rsid w:val="00A474B3"/>
    <w:rsid w:val="00A7635C"/>
    <w:rsid w:val="00A91268"/>
    <w:rsid w:val="00A95E82"/>
    <w:rsid w:val="00AB6B5B"/>
    <w:rsid w:val="00AD3648"/>
    <w:rsid w:val="00B22D6F"/>
    <w:rsid w:val="00BA0347"/>
    <w:rsid w:val="00BC3D09"/>
    <w:rsid w:val="00BE318D"/>
    <w:rsid w:val="00C0147F"/>
    <w:rsid w:val="00C2070A"/>
    <w:rsid w:val="00C2377B"/>
    <w:rsid w:val="00C26EFF"/>
    <w:rsid w:val="00CB0684"/>
    <w:rsid w:val="00CC3590"/>
    <w:rsid w:val="00CD28F1"/>
    <w:rsid w:val="00D71D33"/>
    <w:rsid w:val="00D721C4"/>
    <w:rsid w:val="00EA0B41"/>
    <w:rsid w:val="00EB6FA4"/>
    <w:rsid w:val="00EC327C"/>
    <w:rsid w:val="00ED3E57"/>
    <w:rsid w:val="00F55A4D"/>
    <w:rsid w:val="00F61633"/>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EB6F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6FA4"/>
  </w:style>
  <w:style w:type="paragraph" w:styleId="Footer">
    <w:name w:val="footer"/>
    <w:basedOn w:val="Normal"/>
    <w:link w:val="FooterChar"/>
    <w:uiPriority w:val="99"/>
    <w:unhideWhenUsed/>
    <w:rsid w:val="00EB6F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6F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EB6F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6FA4"/>
  </w:style>
  <w:style w:type="paragraph" w:styleId="Footer">
    <w:name w:val="footer"/>
    <w:basedOn w:val="Normal"/>
    <w:link w:val="FooterChar"/>
    <w:uiPriority w:val="99"/>
    <w:unhideWhenUsed/>
    <w:rsid w:val="00EB6F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6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9CDCF15A</Template>
  <TotalTime>73</TotalTime>
  <Pages>4</Pages>
  <Words>1315</Words>
  <Characters>7498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Vigar, Stephen</cp:lastModifiedBy>
  <cp:revision>5</cp:revision>
  <dcterms:created xsi:type="dcterms:W3CDTF">2020-10-28T10:40:00Z</dcterms:created>
  <dcterms:modified xsi:type="dcterms:W3CDTF">2020-10-29T08:59:00Z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RBC\Vigaste</vt:lpwstr>
  </property>
  <property fmtid="{D5CDD505-2E9C-101B-9397-08002B2CF9AE}" pid="5" name="ClassificationMadeExternally">
    <vt:lpwstr>No</vt:lpwstr>
  </property>
  <property fmtid="{D5CDD505-2E9C-101B-9397-08002B2CF9AE}" pid="6" name="ClassificationMadeOn">
    <vt:filetime>2020-10-29T08:59:50Z</vt:filetime>
  </property>
</Properties>
</file>