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CFE" w:rsidRPr="00347D70" w:rsidRDefault="00FA1CFE" w:rsidP="006A0B28">
      <w:pPr>
        <w:rPr>
          <w:rFonts w:ascii="Trebuchet MS" w:hAnsi="Trebuchet MS"/>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347D70">
        <w:rPr>
          <w:rFonts w:ascii="Trebuchet MS" w:hAnsi="Trebuchet MS"/>
          <w:b/>
          <w:sz w:val="22"/>
          <w:szCs w:val="22"/>
        </w:rPr>
        <w:t xml:space="preserve">    </w:t>
      </w:r>
      <w:r w:rsidR="00633773" w:rsidRPr="006A0B28">
        <w:rPr>
          <w:rFonts w:ascii="Trebuchet MS" w:hAnsi="Trebuchet MS"/>
          <w:b/>
          <w:sz w:val="22"/>
          <w:szCs w:val="22"/>
        </w:rPr>
        <w:t>Target Date:</w:t>
      </w:r>
      <w:r w:rsidR="00347D70">
        <w:rPr>
          <w:rFonts w:ascii="Trebuchet MS" w:hAnsi="Trebuchet MS"/>
          <w:b/>
          <w:sz w:val="22"/>
          <w:szCs w:val="22"/>
        </w:rPr>
        <w:t xml:space="preserve"> </w:t>
      </w:r>
      <w:r w:rsidR="00347D70">
        <w:rPr>
          <w:rFonts w:ascii="Trebuchet MS" w:hAnsi="Trebuchet MS"/>
          <w:sz w:val="22"/>
          <w:szCs w:val="22"/>
        </w:rPr>
        <w:t>24/04/21</w:t>
      </w:r>
    </w:p>
    <w:p w:rsidR="00FA1CFE" w:rsidRPr="006A0B28" w:rsidRDefault="00FA1CFE" w:rsidP="006A0B28">
      <w:pPr>
        <w:rPr>
          <w:rFonts w:ascii="Trebuchet MS" w:hAnsi="Trebuchet MS"/>
          <w:b/>
          <w:sz w:val="22"/>
          <w:szCs w:val="22"/>
        </w:rPr>
      </w:pPr>
    </w:p>
    <w:p w:rsidR="00FA1CFE" w:rsidRPr="00347D70" w:rsidRDefault="00E90482" w:rsidP="006A0B28">
      <w:pPr>
        <w:rPr>
          <w:rFonts w:ascii="Trebuchet MS" w:hAnsi="Trebuchet MS"/>
          <w:sz w:val="22"/>
          <w:szCs w:val="22"/>
        </w:rPr>
      </w:pPr>
      <w:r w:rsidRPr="006A0B28">
        <w:rPr>
          <w:rFonts w:ascii="Trebuchet MS" w:hAnsi="Trebuchet MS"/>
          <w:b/>
          <w:sz w:val="22"/>
          <w:szCs w:val="22"/>
        </w:rPr>
        <w:t>Application No:</w:t>
      </w:r>
      <w:r w:rsidR="00347D70">
        <w:rPr>
          <w:rFonts w:ascii="Trebuchet MS" w:hAnsi="Trebuchet MS"/>
          <w:b/>
          <w:sz w:val="22"/>
          <w:szCs w:val="22"/>
        </w:rPr>
        <w:t xml:space="preserve"> </w:t>
      </w:r>
      <w:r w:rsidR="00347D70">
        <w:rPr>
          <w:rFonts w:ascii="Trebuchet MS" w:hAnsi="Trebuchet MS"/>
          <w:sz w:val="22"/>
          <w:szCs w:val="22"/>
        </w:rPr>
        <w:t>210328/HOU</w:t>
      </w:r>
    </w:p>
    <w:p w:rsidR="00FA1CFE" w:rsidRPr="00347D70" w:rsidRDefault="00FA1CFE" w:rsidP="006A0B28">
      <w:pPr>
        <w:rPr>
          <w:rFonts w:ascii="Trebuchet MS" w:hAnsi="Trebuchet MS"/>
          <w:sz w:val="22"/>
          <w:szCs w:val="22"/>
        </w:rPr>
      </w:pPr>
      <w:r w:rsidRPr="006A0B28">
        <w:rPr>
          <w:rFonts w:ascii="Trebuchet MS" w:hAnsi="Trebuchet MS"/>
          <w:b/>
          <w:sz w:val="22"/>
          <w:szCs w:val="22"/>
        </w:rPr>
        <w:t xml:space="preserve">Address: </w:t>
      </w:r>
      <w:r w:rsidR="00347D70">
        <w:rPr>
          <w:rFonts w:ascii="Trebuchet MS" w:hAnsi="Trebuchet MS"/>
          <w:sz w:val="22"/>
          <w:szCs w:val="22"/>
        </w:rPr>
        <w:t>11 Whiteknights Road</w:t>
      </w:r>
    </w:p>
    <w:p w:rsidR="00D235B9" w:rsidRPr="00347D70" w:rsidRDefault="00FA1CFE" w:rsidP="006A0B28">
      <w:pPr>
        <w:rPr>
          <w:rFonts w:ascii="Trebuchet MS" w:hAnsi="Trebuchet MS"/>
          <w:sz w:val="22"/>
          <w:szCs w:val="22"/>
        </w:rPr>
      </w:pPr>
      <w:r w:rsidRPr="006A0B28">
        <w:rPr>
          <w:rFonts w:ascii="Trebuchet MS" w:hAnsi="Trebuchet MS"/>
          <w:b/>
          <w:sz w:val="22"/>
          <w:szCs w:val="22"/>
        </w:rPr>
        <w:t xml:space="preserve">Proposal: </w:t>
      </w:r>
      <w:r w:rsidR="00347D70">
        <w:rPr>
          <w:rFonts w:ascii="Trebuchet MS" w:hAnsi="Trebuchet MS"/>
          <w:sz w:val="22"/>
          <w:szCs w:val="22"/>
        </w:rPr>
        <w:t>Single storey rear extension</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347D70" w:rsidRPr="00347D70" w:rsidRDefault="00347D70" w:rsidP="006A0B28">
      <w:pPr>
        <w:rPr>
          <w:rFonts w:ascii="Trebuchet MS" w:hAnsi="Trebuchet MS"/>
          <w:sz w:val="22"/>
          <w:szCs w:val="22"/>
        </w:rPr>
      </w:pPr>
      <w:r>
        <w:rPr>
          <w:rFonts w:ascii="Trebuchet MS" w:hAnsi="Trebuchet MS"/>
          <w:sz w:val="22"/>
          <w:szCs w:val="22"/>
        </w:rPr>
        <w:t xml:space="preserve">The application site comprises a </w:t>
      </w:r>
      <w:proofErr w:type="gramStart"/>
      <w:r>
        <w:rPr>
          <w:rFonts w:ascii="Trebuchet MS" w:hAnsi="Trebuchet MS"/>
          <w:sz w:val="22"/>
          <w:szCs w:val="22"/>
        </w:rPr>
        <w:t>two storey</w:t>
      </w:r>
      <w:proofErr w:type="gramEnd"/>
      <w:r>
        <w:rPr>
          <w:rFonts w:ascii="Trebuchet MS" w:hAnsi="Trebuchet MS"/>
          <w:sz w:val="22"/>
          <w:szCs w:val="22"/>
        </w:rPr>
        <w:t xml:space="preserve"> detached dwelling, located to the north of Whiteknights Road. The University of Reading Whiteknights Campus is located to the south of the site. </w:t>
      </w:r>
      <w:r w:rsidR="00957214">
        <w:rPr>
          <w:rFonts w:ascii="Trebuchet MS" w:hAnsi="Trebuchet MS"/>
          <w:sz w:val="22"/>
          <w:szCs w:val="22"/>
        </w:rPr>
        <w:t xml:space="preserve">An original attached garage to the westward side of the dwelling has been altered, extended to the rear and converted to habitable accommodation. A further single storey extension projects the length of the original eastward side elevation and slightly forward of the principal elevation. No planning permission exists for either extension. The surrounding area is residential in character, comprised of detached dwellings of differing styles. The ground level slopes away to the rear.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957214" w:rsidRPr="00957214" w:rsidRDefault="00957214" w:rsidP="006A0B28">
      <w:pPr>
        <w:rPr>
          <w:rFonts w:ascii="Trebuchet MS" w:hAnsi="Trebuchet MS"/>
          <w:sz w:val="22"/>
          <w:szCs w:val="22"/>
        </w:rPr>
      </w:pPr>
      <w:r>
        <w:rPr>
          <w:rFonts w:ascii="Trebuchet MS" w:hAnsi="Trebuchet MS"/>
          <w:sz w:val="22"/>
          <w:szCs w:val="22"/>
        </w:rPr>
        <w:t>The proposal is for a single storey rear extension, projecting to a depth of 6m and extending across the full width of the plot. The extension would have a flat roof</w:t>
      </w:r>
      <w:r w:rsidR="002B7221">
        <w:rPr>
          <w:rFonts w:ascii="Trebuchet MS" w:hAnsi="Trebuchet MS"/>
          <w:sz w:val="22"/>
          <w:szCs w:val="22"/>
        </w:rPr>
        <w:t xml:space="preserve">, with a maximum height of 3.4m. A series of bi-fold doors would extend across the rear elevation. Due to the sloping topography, the doors would be located approximately 0.7m above the external ground level. It has not been demonstrated how access to the rear garden, and vice versa, would be achieved. External walls and fenestration would match that of existing dwelling.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2B7221">
        <w:rPr>
          <w:rFonts w:ascii="Trebuchet MS" w:hAnsi="Trebuchet MS"/>
          <w:sz w:val="22"/>
          <w:szCs w:val="22"/>
        </w:rPr>
        <w:t>02/03/21:</w:t>
      </w:r>
    </w:p>
    <w:p w:rsidR="002B7221" w:rsidRDefault="002B7221" w:rsidP="006A0B28">
      <w:pPr>
        <w:rPr>
          <w:rFonts w:ascii="Trebuchet MS" w:hAnsi="Trebuchet MS"/>
          <w:sz w:val="22"/>
          <w:szCs w:val="22"/>
        </w:rPr>
      </w:pPr>
      <w:r>
        <w:rPr>
          <w:rFonts w:ascii="Trebuchet MS" w:hAnsi="Trebuchet MS"/>
          <w:sz w:val="22"/>
          <w:szCs w:val="22"/>
        </w:rPr>
        <w:t>Supporting Statement</w:t>
      </w:r>
    </w:p>
    <w:p w:rsidR="002B7221" w:rsidRDefault="002B7221" w:rsidP="006A0B28">
      <w:pPr>
        <w:rPr>
          <w:rFonts w:ascii="Trebuchet MS" w:hAnsi="Trebuchet MS"/>
          <w:sz w:val="22"/>
          <w:szCs w:val="22"/>
        </w:rPr>
      </w:pPr>
      <w:r>
        <w:rPr>
          <w:rFonts w:ascii="Trebuchet MS" w:hAnsi="Trebuchet MS"/>
          <w:sz w:val="22"/>
          <w:szCs w:val="22"/>
        </w:rPr>
        <w:t>Drawing No: P/2037/1 – Site Location, Block Plan, Existing Ground Floor Plan and Elevations</w:t>
      </w:r>
    </w:p>
    <w:p w:rsidR="002B7221" w:rsidRDefault="002B7221" w:rsidP="006A0B28">
      <w:pPr>
        <w:rPr>
          <w:rFonts w:ascii="Trebuchet MS" w:hAnsi="Trebuchet MS"/>
          <w:sz w:val="22"/>
          <w:szCs w:val="22"/>
        </w:rPr>
      </w:pPr>
      <w:r>
        <w:rPr>
          <w:rFonts w:ascii="Trebuchet MS" w:hAnsi="Trebuchet MS"/>
          <w:sz w:val="22"/>
          <w:szCs w:val="22"/>
        </w:rPr>
        <w:t>Drawing No: P/2037/2 – Proposed Ground Floor Plan and Elevations</w:t>
      </w:r>
    </w:p>
    <w:p w:rsidR="002B7221" w:rsidRPr="006A0B28" w:rsidRDefault="002B7221" w:rsidP="006A0B28">
      <w:pPr>
        <w:rPr>
          <w:rFonts w:ascii="Trebuchet MS" w:hAnsi="Trebuchet MS"/>
          <w:sz w:val="22"/>
          <w:szCs w:val="22"/>
        </w:rPr>
      </w:pPr>
      <w:r>
        <w:rPr>
          <w:rFonts w:ascii="Trebuchet MS" w:hAnsi="Trebuchet MS"/>
          <w:sz w:val="22"/>
          <w:szCs w:val="22"/>
        </w:rPr>
        <w:t>Site Photographs</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2B7221" w:rsidRPr="002B7221" w:rsidRDefault="002B7221" w:rsidP="006A0B28">
      <w:pPr>
        <w:rPr>
          <w:rFonts w:ascii="Trebuchet MS" w:hAnsi="Trebuchet MS"/>
          <w:sz w:val="22"/>
          <w:szCs w:val="22"/>
        </w:rPr>
      </w:pPr>
      <w:r>
        <w:rPr>
          <w:rFonts w:ascii="Trebuchet MS" w:hAnsi="Trebuchet MS"/>
          <w:sz w:val="22"/>
          <w:szCs w:val="22"/>
        </w:rPr>
        <w:t>201166/HOU – Erection of front boundary wall – to be determined</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Consultation Responses</w:t>
      </w:r>
    </w:p>
    <w:p w:rsidR="00117252" w:rsidRDefault="00117252" w:rsidP="006A0B28">
      <w:pPr>
        <w:rPr>
          <w:rFonts w:ascii="Trebuchet MS" w:hAnsi="Trebuchet MS"/>
          <w:sz w:val="22"/>
          <w:szCs w:val="22"/>
        </w:rPr>
      </w:pPr>
      <w:r>
        <w:rPr>
          <w:rFonts w:ascii="Trebuchet MS" w:hAnsi="Trebuchet MS"/>
          <w:sz w:val="22"/>
          <w:szCs w:val="22"/>
        </w:rPr>
        <w:t xml:space="preserve">Neighbouring owners and occupiers at 9 and 13 Whiteknights Road, 5 and 6 </w:t>
      </w:r>
      <w:proofErr w:type="spellStart"/>
      <w:r>
        <w:rPr>
          <w:rFonts w:ascii="Trebuchet MS" w:hAnsi="Trebuchet MS"/>
          <w:sz w:val="22"/>
          <w:szCs w:val="22"/>
        </w:rPr>
        <w:t>Waybrook</w:t>
      </w:r>
      <w:proofErr w:type="spellEnd"/>
      <w:r>
        <w:rPr>
          <w:rFonts w:ascii="Trebuchet MS" w:hAnsi="Trebuchet MS"/>
          <w:sz w:val="22"/>
          <w:szCs w:val="22"/>
        </w:rPr>
        <w:t xml:space="preserve"> Crescent and 134 Hamilton Road were consulted by letter. Three representations were received, </w:t>
      </w:r>
      <w:proofErr w:type="gramStart"/>
      <w:r>
        <w:rPr>
          <w:rFonts w:ascii="Trebuchet MS" w:hAnsi="Trebuchet MS"/>
          <w:sz w:val="22"/>
          <w:szCs w:val="22"/>
        </w:rPr>
        <w:t>with regard to</w:t>
      </w:r>
      <w:proofErr w:type="gramEnd"/>
      <w:r>
        <w:rPr>
          <w:rFonts w:ascii="Trebuchet MS" w:hAnsi="Trebuchet MS"/>
          <w:sz w:val="22"/>
          <w:szCs w:val="22"/>
        </w:rPr>
        <w:t xml:space="preserve"> the following:</w:t>
      </w:r>
    </w:p>
    <w:p w:rsidR="00117252" w:rsidRDefault="00117252" w:rsidP="00104A61">
      <w:pPr>
        <w:pStyle w:val="ListParagraph"/>
        <w:numPr>
          <w:ilvl w:val="0"/>
          <w:numId w:val="7"/>
        </w:numPr>
        <w:rPr>
          <w:rFonts w:ascii="Trebuchet MS" w:hAnsi="Trebuchet MS"/>
          <w:sz w:val="22"/>
          <w:szCs w:val="22"/>
        </w:rPr>
      </w:pPr>
      <w:r>
        <w:rPr>
          <w:rFonts w:ascii="Trebuchet MS" w:hAnsi="Trebuchet MS"/>
          <w:sz w:val="22"/>
          <w:szCs w:val="22"/>
        </w:rPr>
        <w:t>The existing plans are misleading, with at least one self-contained flat located at the ground floor</w:t>
      </w:r>
    </w:p>
    <w:p w:rsidR="00104A61" w:rsidRDefault="00104A61" w:rsidP="00104A61">
      <w:pPr>
        <w:pStyle w:val="ListParagraph"/>
        <w:numPr>
          <w:ilvl w:val="0"/>
          <w:numId w:val="7"/>
        </w:numPr>
        <w:rPr>
          <w:rFonts w:ascii="Trebuchet MS" w:hAnsi="Trebuchet MS"/>
          <w:sz w:val="22"/>
          <w:szCs w:val="22"/>
        </w:rPr>
      </w:pPr>
      <w:r>
        <w:rPr>
          <w:rFonts w:ascii="Trebuchet MS" w:hAnsi="Trebuchet MS"/>
          <w:sz w:val="22"/>
          <w:szCs w:val="22"/>
        </w:rPr>
        <w:t xml:space="preserve">Due to the higher ground level, the extension would dominate neighbouring properties, </w:t>
      </w:r>
    </w:p>
    <w:p w:rsidR="00104A61" w:rsidRDefault="00104A61" w:rsidP="00104A61">
      <w:pPr>
        <w:pStyle w:val="ListParagraph"/>
        <w:numPr>
          <w:ilvl w:val="0"/>
          <w:numId w:val="7"/>
        </w:numPr>
        <w:rPr>
          <w:rFonts w:ascii="Trebuchet MS" w:hAnsi="Trebuchet MS"/>
          <w:sz w:val="22"/>
          <w:szCs w:val="22"/>
        </w:rPr>
      </w:pPr>
      <w:r>
        <w:rPr>
          <w:rFonts w:ascii="Trebuchet MS" w:hAnsi="Trebuchet MS"/>
          <w:sz w:val="22"/>
          <w:szCs w:val="22"/>
        </w:rPr>
        <w:t>Overlooking would occur to neighbouring properties</w:t>
      </w:r>
    </w:p>
    <w:p w:rsidR="00104A61" w:rsidRDefault="00104A61" w:rsidP="00104A61">
      <w:pPr>
        <w:pStyle w:val="ListParagraph"/>
        <w:numPr>
          <w:ilvl w:val="0"/>
          <w:numId w:val="7"/>
        </w:numPr>
        <w:rPr>
          <w:rFonts w:ascii="Trebuchet MS" w:hAnsi="Trebuchet MS"/>
          <w:sz w:val="22"/>
          <w:szCs w:val="22"/>
        </w:rPr>
      </w:pPr>
      <w:r>
        <w:rPr>
          <w:rFonts w:ascii="Trebuchet MS" w:hAnsi="Trebuchet MS"/>
          <w:sz w:val="22"/>
          <w:szCs w:val="22"/>
        </w:rPr>
        <w:t>The extension is out of scale with the existing house, combined with existing extensions would more than double the original footprint</w:t>
      </w:r>
    </w:p>
    <w:p w:rsidR="00104A61" w:rsidRDefault="00104A61" w:rsidP="00104A61">
      <w:pPr>
        <w:pStyle w:val="ListParagraph"/>
        <w:numPr>
          <w:ilvl w:val="0"/>
          <w:numId w:val="7"/>
        </w:numPr>
        <w:rPr>
          <w:rFonts w:ascii="Trebuchet MS" w:hAnsi="Trebuchet MS"/>
          <w:sz w:val="22"/>
          <w:szCs w:val="22"/>
        </w:rPr>
      </w:pPr>
      <w:r>
        <w:rPr>
          <w:rFonts w:ascii="Trebuchet MS" w:hAnsi="Trebuchet MS"/>
          <w:sz w:val="22"/>
          <w:szCs w:val="22"/>
        </w:rPr>
        <w:t>Loss of light to no. 9 and no. 13</w:t>
      </w:r>
    </w:p>
    <w:p w:rsidR="00104A61" w:rsidRDefault="00104A61" w:rsidP="00104A61">
      <w:pPr>
        <w:pStyle w:val="ListParagraph"/>
        <w:numPr>
          <w:ilvl w:val="0"/>
          <w:numId w:val="7"/>
        </w:numPr>
        <w:rPr>
          <w:rFonts w:ascii="Trebuchet MS" w:hAnsi="Trebuchet MS"/>
          <w:sz w:val="22"/>
          <w:szCs w:val="22"/>
        </w:rPr>
      </w:pPr>
      <w:r>
        <w:rPr>
          <w:rFonts w:ascii="Trebuchet MS" w:hAnsi="Trebuchet MS"/>
          <w:sz w:val="22"/>
          <w:szCs w:val="22"/>
        </w:rPr>
        <w:t>Party Wall matters</w:t>
      </w:r>
    </w:p>
    <w:p w:rsidR="00104A61" w:rsidRPr="00104A61" w:rsidRDefault="00104A61" w:rsidP="00104A61">
      <w:pPr>
        <w:pStyle w:val="ListParagraph"/>
        <w:numPr>
          <w:ilvl w:val="0"/>
          <w:numId w:val="7"/>
        </w:numPr>
        <w:rPr>
          <w:rFonts w:ascii="Trebuchet MS" w:hAnsi="Trebuchet MS"/>
          <w:sz w:val="22"/>
          <w:szCs w:val="22"/>
        </w:rPr>
      </w:pPr>
      <w:r>
        <w:rPr>
          <w:rFonts w:ascii="Trebuchet MS" w:hAnsi="Trebuchet MS"/>
          <w:sz w:val="22"/>
          <w:szCs w:val="22"/>
        </w:rPr>
        <w:t xml:space="preserve">Extension should not be a precursor to a </w:t>
      </w:r>
      <w:proofErr w:type="gramStart"/>
      <w:r>
        <w:rPr>
          <w:rFonts w:ascii="Trebuchet MS" w:hAnsi="Trebuchet MS"/>
          <w:sz w:val="22"/>
          <w:szCs w:val="22"/>
        </w:rPr>
        <w:t>first floor</w:t>
      </w:r>
      <w:proofErr w:type="gramEnd"/>
      <w:r>
        <w:rPr>
          <w:rFonts w:ascii="Trebuchet MS" w:hAnsi="Trebuchet MS"/>
          <w:sz w:val="22"/>
          <w:szCs w:val="22"/>
        </w:rPr>
        <w:t xml:space="preserve"> extension</w:t>
      </w:r>
    </w:p>
    <w:p w:rsidR="00FA1CFE" w:rsidRPr="006A0B28" w:rsidRDefault="00FA1CFE" w:rsidP="006A0B28">
      <w:pPr>
        <w:rPr>
          <w:rFonts w:ascii="Trebuchet MS" w:hAnsi="Trebuchet MS"/>
          <w:b/>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Summary of d</w:t>
      </w:r>
      <w:r w:rsidR="00633773" w:rsidRPr="006A0B28">
        <w:rPr>
          <w:rFonts w:ascii="Trebuchet MS" w:hAnsi="Trebuchet MS"/>
          <w:b/>
          <w:sz w:val="22"/>
          <w:szCs w:val="22"/>
        </w:rPr>
        <w:t>iscussions with applicant/agent</w:t>
      </w:r>
    </w:p>
    <w:p w:rsidR="00104A61" w:rsidRPr="00104A61" w:rsidRDefault="00104A61" w:rsidP="006A0B28">
      <w:pPr>
        <w:rPr>
          <w:rFonts w:ascii="Trebuchet MS" w:hAnsi="Trebuchet MS"/>
          <w:sz w:val="22"/>
          <w:szCs w:val="22"/>
        </w:rPr>
      </w:pPr>
      <w:r>
        <w:rPr>
          <w:rFonts w:ascii="Trebuchet MS" w:hAnsi="Trebuchet MS"/>
          <w:sz w:val="22"/>
          <w:szCs w:val="22"/>
        </w:rPr>
        <w:lastRenderedPageBreak/>
        <w:t>The agent was advised by email dated 13/04/21 of significant concerns held with the proposal. The agent was advised that a substantial reduction would be required</w:t>
      </w:r>
      <w:r w:rsidR="00C2191C">
        <w:rPr>
          <w:rFonts w:ascii="Trebuchet MS" w:hAnsi="Trebuchet MS"/>
          <w:sz w:val="22"/>
          <w:szCs w:val="22"/>
        </w:rPr>
        <w:t xml:space="preserve">                                                                                                                                                                                                                       </w:t>
      </w:r>
      <w:r>
        <w:rPr>
          <w:rFonts w:ascii="Trebuchet MS" w:hAnsi="Trebuchet MS"/>
          <w:sz w:val="22"/>
          <w:szCs w:val="22"/>
        </w:rPr>
        <w:t xml:space="preserve"> in order to achieve planning permission. This advice was not heeded, and no amended plans have been forthcoming.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Default="00525C5C" w:rsidP="0041021B">
      <w:pPr>
        <w:rPr>
          <w:rFonts w:ascii="Trebuchet MS" w:hAnsi="Trebuchet MS"/>
          <w:sz w:val="22"/>
          <w:szCs w:val="22"/>
          <w:u w:val="single"/>
        </w:rPr>
      </w:pPr>
      <w:r w:rsidRPr="006A0B28">
        <w:rPr>
          <w:rFonts w:ascii="Trebuchet MS" w:hAnsi="Trebuchet MS"/>
          <w:sz w:val="22"/>
          <w:szCs w:val="22"/>
          <w:u w:val="single"/>
        </w:rPr>
        <w:t xml:space="preserve">Reading Borough Local </w:t>
      </w:r>
      <w:r w:rsidR="0041021B">
        <w:rPr>
          <w:rFonts w:ascii="Trebuchet MS" w:hAnsi="Trebuchet MS"/>
          <w:sz w:val="22"/>
          <w:szCs w:val="22"/>
          <w:u w:val="single"/>
        </w:rPr>
        <w:t>Plan (2019)</w:t>
      </w:r>
    </w:p>
    <w:p w:rsidR="0041021B" w:rsidRDefault="0041021B" w:rsidP="0041021B">
      <w:pPr>
        <w:rPr>
          <w:rFonts w:ascii="Trebuchet MS" w:hAnsi="Trebuchet MS"/>
          <w:sz w:val="22"/>
          <w:szCs w:val="22"/>
        </w:rPr>
      </w:pPr>
      <w:r>
        <w:rPr>
          <w:rFonts w:ascii="Trebuchet MS" w:hAnsi="Trebuchet MS"/>
          <w:sz w:val="22"/>
          <w:szCs w:val="22"/>
        </w:rPr>
        <w:t>Policy CC7 – Design and the Public Realm</w:t>
      </w:r>
    </w:p>
    <w:p w:rsidR="0041021B" w:rsidRDefault="0041021B" w:rsidP="0041021B">
      <w:pPr>
        <w:rPr>
          <w:rFonts w:ascii="Trebuchet MS" w:hAnsi="Trebuchet MS"/>
          <w:sz w:val="22"/>
          <w:szCs w:val="22"/>
        </w:rPr>
      </w:pPr>
      <w:r>
        <w:rPr>
          <w:rFonts w:ascii="Trebuchet MS" w:hAnsi="Trebuchet MS"/>
          <w:sz w:val="22"/>
          <w:szCs w:val="22"/>
        </w:rPr>
        <w:t>Policy CC8 – Safeguarding Amenity</w:t>
      </w:r>
    </w:p>
    <w:p w:rsidR="0041021B" w:rsidRPr="006A0B28" w:rsidRDefault="0041021B" w:rsidP="0041021B">
      <w:pPr>
        <w:rPr>
          <w:rFonts w:ascii="Trebuchet MS" w:hAnsi="Trebuchet MS"/>
          <w:sz w:val="22"/>
          <w:szCs w:val="22"/>
        </w:rPr>
      </w:pPr>
      <w:r>
        <w:rPr>
          <w:rFonts w:ascii="Trebuchet MS" w:hAnsi="Trebuchet MS"/>
          <w:sz w:val="22"/>
          <w:szCs w:val="22"/>
        </w:rPr>
        <w:t xml:space="preserve">Policy H9 – House Extensions and Ancillary Accommodation </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 xml:space="preserve">Design Guide to House Extensions </w:t>
      </w:r>
      <w:r w:rsidR="0041021B">
        <w:rPr>
          <w:rFonts w:ascii="Trebuchet MS" w:hAnsi="Trebuchet MS"/>
          <w:sz w:val="22"/>
          <w:szCs w:val="22"/>
          <w:u w:val="single"/>
        </w:rPr>
        <w:t xml:space="preserve">SPD </w:t>
      </w:r>
      <w:r w:rsidRPr="006A0B28">
        <w:rPr>
          <w:rFonts w:ascii="Trebuchet MS" w:hAnsi="Trebuchet MS"/>
          <w:sz w:val="22"/>
          <w:szCs w:val="22"/>
          <w:u w:val="single"/>
        </w:rPr>
        <w:t>(20</w:t>
      </w:r>
      <w:r w:rsidR="0041021B">
        <w:rPr>
          <w:rFonts w:ascii="Trebuchet MS" w:hAnsi="Trebuchet MS"/>
          <w:sz w:val="22"/>
          <w:szCs w:val="22"/>
          <w:u w:val="single"/>
        </w:rPr>
        <w:t>21</w:t>
      </w:r>
      <w:r w:rsidRPr="006A0B28">
        <w:rPr>
          <w:rFonts w:ascii="Trebuchet MS" w:hAnsi="Trebuchet MS"/>
          <w:sz w:val="22"/>
          <w:szCs w:val="22"/>
          <w:u w:val="single"/>
        </w:rPr>
        <w:t>)</w:t>
      </w:r>
    </w:p>
    <w:p w:rsidR="00FA1CFE" w:rsidRPr="006A0B28" w:rsidRDefault="00FA1CFE" w:rsidP="006A0B28">
      <w:pPr>
        <w:rPr>
          <w:rFonts w:ascii="Trebuchet MS" w:hAnsi="Trebuchet MS"/>
          <w:sz w:val="22"/>
          <w:szCs w:val="22"/>
        </w:rPr>
      </w:pPr>
    </w:p>
    <w:p w:rsidR="002D091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EF09D1" w:rsidRPr="00EF09D1" w:rsidRDefault="004B7EE6" w:rsidP="006A0B28">
      <w:pPr>
        <w:rPr>
          <w:rFonts w:ascii="Trebuchet MS" w:hAnsi="Trebuchet MS"/>
          <w:sz w:val="22"/>
          <w:szCs w:val="22"/>
        </w:rPr>
      </w:pPr>
      <w:r w:rsidRPr="004B7EE6">
        <w:rPr>
          <w:rFonts w:ascii="Trebuchet MS" w:hAnsi="Trebuchet MS"/>
          <w:sz w:val="22"/>
          <w:szCs w:val="22"/>
        </w:rPr>
        <w:t>The case officer was able to make a full assessment of the proposal using photographs of the site supplied by the applicant/agent and Google Maps data</w:t>
      </w:r>
      <w:r>
        <w:rPr>
          <w:rFonts w:ascii="Trebuchet MS" w:hAnsi="Trebuchet MS"/>
          <w:sz w:val="22"/>
          <w:szCs w:val="22"/>
        </w:rPr>
        <w:t>.</w:t>
      </w:r>
    </w:p>
    <w:p w:rsidR="00EF09D1" w:rsidRPr="006A0B28" w:rsidRDefault="00EF09D1" w:rsidP="006A0B28">
      <w:pPr>
        <w:rPr>
          <w:rFonts w:ascii="Trebuchet MS" w:hAnsi="Trebuchet MS"/>
          <w:b/>
          <w:sz w:val="22"/>
          <w:szCs w:val="22"/>
        </w:rPr>
      </w:pPr>
    </w:p>
    <w:p w:rsidR="007E1DBF" w:rsidRPr="005477FA" w:rsidRDefault="00DD3B14" w:rsidP="006A0B28">
      <w:pPr>
        <w:rPr>
          <w:rFonts w:ascii="Trebuchet MS" w:hAnsi="Trebuchet MS"/>
          <w:sz w:val="22"/>
          <w:szCs w:val="22"/>
        </w:rPr>
      </w:pPr>
      <w:r>
        <w:rPr>
          <w:rFonts w:ascii="Trebuchet MS" w:hAnsi="Trebuchet MS"/>
          <w:sz w:val="22"/>
          <w:szCs w:val="22"/>
        </w:rPr>
        <w:t xml:space="preserve">Policy H9 states that an extension to a house will be acceptable where it respects the character and appearance of the house in terms of scale, location, materials and design. The Design Guide to House Extensions SPD describes the design principles against which proposals will be judged. </w:t>
      </w:r>
      <w:r w:rsidR="005477FA">
        <w:rPr>
          <w:rFonts w:ascii="Trebuchet MS" w:hAnsi="Trebuchet MS"/>
          <w:sz w:val="22"/>
          <w:szCs w:val="22"/>
        </w:rPr>
        <w:t>The SPD states ‘</w:t>
      </w:r>
      <w:r w:rsidR="005477FA">
        <w:rPr>
          <w:rFonts w:ascii="Trebuchet MS" w:hAnsi="Trebuchet MS"/>
          <w:i/>
          <w:sz w:val="22"/>
          <w:szCs w:val="22"/>
        </w:rPr>
        <w:t xml:space="preserve">proposals that appear bulky and sizeable in relation to the existing dwelling will not be considered favourably’. </w:t>
      </w:r>
      <w:r w:rsidR="005477FA" w:rsidRPr="005477FA">
        <w:rPr>
          <w:rFonts w:ascii="Trebuchet MS" w:hAnsi="Trebuchet MS"/>
          <w:sz w:val="22"/>
          <w:szCs w:val="22"/>
        </w:rPr>
        <w:t xml:space="preserve">There is a requirement that </w:t>
      </w:r>
      <w:r w:rsidR="005477FA">
        <w:rPr>
          <w:rFonts w:ascii="Trebuchet MS" w:hAnsi="Trebuchet MS"/>
          <w:sz w:val="22"/>
          <w:szCs w:val="22"/>
        </w:rPr>
        <w:t xml:space="preserve">extensions complement the design of, and do not appear overbearing to, the existing dwelling. Rear extensions are not normally supported if they exceed a depth of 4m. </w:t>
      </w:r>
    </w:p>
    <w:p w:rsidR="007E1DBF" w:rsidRDefault="007E1DBF" w:rsidP="006A0B28">
      <w:pPr>
        <w:rPr>
          <w:rFonts w:ascii="Trebuchet MS" w:hAnsi="Trebuchet MS"/>
          <w:sz w:val="22"/>
          <w:szCs w:val="22"/>
        </w:rPr>
      </w:pPr>
    </w:p>
    <w:p w:rsidR="00884F67" w:rsidRDefault="007E1DBF" w:rsidP="006A0B28">
      <w:pPr>
        <w:rPr>
          <w:rFonts w:ascii="Trebuchet MS" w:hAnsi="Trebuchet MS"/>
          <w:sz w:val="22"/>
          <w:szCs w:val="22"/>
        </w:rPr>
      </w:pPr>
      <w:r>
        <w:rPr>
          <w:rFonts w:ascii="Trebuchet MS" w:hAnsi="Trebuchet MS"/>
          <w:sz w:val="22"/>
          <w:szCs w:val="22"/>
        </w:rPr>
        <w:t>A material consideration in the assessment of a planning application is existing development. The dwelling already benefits f</w:t>
      </w:r>
      <w:r w:rsidR="000C74D2">
        <w:rPr>
          <w:rFonts w:ascii="Trebuchet MS" w:hAnsi="Trebuchet MS"/>
          <w:sz w:val="22"/>
          <w:szCs w:val="22"/>
        </w:rPr>
        <w:t>ro</w:t>
      </w:r>
      <w:r>
        <w:rPr>
          <w:rFonts w:ascii="Trebuchet MS" w:hAnsi="Trebuchet MS"/>
          <w:sz w:val="22"/>
          <w:szCs w:val="22"/>
        </w:rPr>
        <w:t>m two single storey side extensions</w:t>
      </w:r>
      <w:r w:rsidR="004D086D">
        <w:rPr>
          <w:rFonts w:ascii="Trebuchet MS" w:hAnsi="Trebuchet MS"/>
          <w:sz w:val="22"/>
          <w:szCs w:val="22"/>
        </w:rPr>
        <w:t>, both of which extend out to the sideward boundaries and both of which require planning permission. The proposed extension would extend across the full width of the existing dwelling, and project to a depth of 6m beyond the original rear elevation. The proposal alone represents a substantial enlargement of the original dwelling. Considered cumulatively with the existing enlargements, the</w:t>
      </w:r>
      <w:r w:rsidR="008270A3">
        <w:rPr>
          <w:rFonts w:ascii="Trebuchet MS" w:hAnsi="Trebuchet MS"/>
          <w:sz w:val="22"/>
          <w:szCs w:val="22"/>
        </w:rPr>
        <w:t xml:space="preserve"> built form would occupy the entire width of the plot, creating a mass and bulk that is out of keeping with the generally spacious character of the area. The extensions unduly dominate the</w:t>
      </w:r>
      <w:r w:rsidR="004D086D">
        <w:rPr>
          <w:rFonts w:ascii="Trebuchet MS" w:hAnsi="Trebuchet MS"/>
          <w:sz w:val="22"/>
          <w:szCs w:val="22"/>
        </w:rPr>
        <w:t xml:space="preserve"> original </w:t>
      </w:r>
      <w:r w:rsidR="008270A3">
        <w:rPr>
          <w:rFonts w:ascii="Trebuchet MS" w:hAnsi="Trebuchet MS"/>
          <w:sz w:val="22"/>
          <w:szCs w:val="22"/>
        </w:rPr>
        <w:t xml:space="preserve">dwelling, and its </w:t>
      </w:r>
      <w:r w:rsidR="004D086D">
        <w:rPr>
          <w:rFonts w:ascii="Trebuchet MS" w:hAnsi="Trebuchet MS"/>
          <w:sz w:val="22"/>
          <w:szCs w:val="22"/>
        </w:rPr>
        <w:t xml:space="preserve">footprint would be considerably more than doubled. </w:t>
      </w:r>
      <w:r w:rsidR="001547A7">
        <w:rPr>
          <w:rFonts w:ascii="Trebuchet MS" w:hAnsi="Trebuchet MS"/>
          <w:sz w:val="22"/>
          <w:szCs w:val="22"/>
        </w:rPr>
        <w:t xml:space="preserve">On this basis, </w:t>
      </w:r>
      <w:r w:rsidR="00424E32">
        <w:rPr>
          <w:rFonts w:ascii="Trebuchet MS" w:hAnsi="Trebuchet MS"/>
          <w:sz w:val="22"/>
          <w:szCs w:val="22"/>
        </w:rPr>
        <w:t xml:space="preserve">insufficient subservience is generated in the design for it to be a sympathetic </w:t>
      </w:r>
      <w:r w:rsidR="008270A3">
        <w:rPr>
          <w:rFonts w:ascii="Trebuchet MS" w:hAnsi="Trebuchet MS"/>
          <w:sz w:val="22"/>
          <w:szCs w:val="22"/>
        </w:rPr>
        <w:t xml:space="preserve">addition to the original dwelling. </w:t>
      </w:r>
      <w:r w:rsidR="001547A7">
        <w:rPr>
          <w:rFonts w:ascii="Trebuchet MS" w:hAnsi="Trebuchet MS"/>
          <w:sz w:val="22"/>
          <w:szCs w:val="22"/>
        </w:rPr>
        <w:t xml:space="preserve">By virtue of its depth, unrelenting width and large expanse of flat roof, the proposal significantly detracts from the character and appearance of the original dwelling. This is contrary to Policies CC7 and H9 of the Local Plan, and the Design Guide to House Extensions SPD. </w:t>
      </w:r>
      <w:r w:rsidR="00DD3B14">
        <w:rPr>
          <w:rFonts w:ascii="Trebuchet MS" w:hAnsi="Trebuchet MS"/>
          <w:sz w:val="22"/>
          <w:szCs w:val="22"/>
        </w:rPr>
        <w:t xml:space="preserve">  </w:t>
      </w:r>
    </w:p>
    <w:p w:rsidR="00E43A38" w:rsidRDefault="00E43A38" w:rsidP="006A0B28">
      <w:pPr>
        <w:rPr>
          <w:rFonts w:ascii="Trebuchet MS" w:hAnsi="Trebuchet MS"/>
          <w:sz w:val="22"/>
          <w:szCs w:val="22"/>
        </w:rPr>
      </w:pPr>
      <w:r>
        <w:rPr>
          <w:rFonts w:ascii="Trebuchet MS" w:hAnsi="Trebuchet MS"/>
          <w:sz w:val="22"/>
          <w:szCs w:val="22"/>
        </w:rPr>
        <w:lastRenderedPageBreak/>
        <w:t>It is accepted that the proposed extension would be largely obscured from public view.</w:t>
      </w:r>
      <w:r w:rsidR="00646D55">
        <w:rPr>
          <w:rFonts w:ascii="Trebuchet MS" w:hAnsi="Trebuchet MS"/>
          <w:sz w:val="22"/>
          <w:szCs w:val="22"/>
        </w:rPr>
        <w:t xml:space="preserve"> Harm to the character and appearance of the surrounding area would therefore be less than substantial. However, this lack of harm to the surroundings to not outweigh the significant harm that would be caused to the character and appearance of the original dwelling. </w:t>
      </w:r>
    </w:p>
    <w:p w:rsidR="00646D55" w:rsidRDefault="00646D55" w:rsidP="006A0B28">
      <w:pPr>
        <w:rPr>
          <w:rFonts w:ascii="Trebuchet MS" w:hAnsi="Trebuchet MS"/>
          <w:sz w:val="22"/>
          <w:szCs w:val="22"/>
        </w:rPr>
      </w:pPr>
    </w:p>
    <w:p w:rsidR="00755629" w:rsidRDefault="00646D55" w:rsidP="006A0B28">
      <w:pPr>
        <w:rPr>
          <w:rFonts w:ascii="Trebuchet MS" w:hAnsi="Trebuchet MS"/>
          <w:sz w:val="22"/>
          <w:szCs w:val="22"/>
        </w:rPr>
      </w:pPr>
      <w:r>
        <w:rPr>
          <w:rFonts w:ascii="Trebuchet MS" w:hAnsi="Trebuchet MS"/>
          <w:sz w:val="22"/>
          <w:szCs w:val="22"/>
        </w:rPr>
        <w:t xml:space="preserve">The Design Guide offers further advice on how to limit the impact of an extension on neighbouring residential amenities. Generally, harm can be avoided by setting an extension away from boundaries, and limiting the extent of the projection, and avoiding bulky roof forms. </w:t>
      </w:r>
      <w:r w:rsidR="00DB5DEE">
        <w:rPr>
          <w:rFonts w:ascii="Trebuchet MS" w:hAnsi="Trebuchet MS"/>
          <w:sz w:val="22"/>
          <w:szCs w:val="22"/>
        </w:rPr>
        <w:t xml:space="preserve">The proposed extension directly conflicts with this guidance. However, in the </w:t>
      </w:r>
      <w:proofErr w:type="gramStart"/>
      <w:r w:rsidR="00DB5DEE">
        <w:rPr>
          <w:rFonts w:ascii="Trebuchet MS" w:hAnsi="Trebuchet MS"/>
          <w:sz w:val="22"/>
          <w:szCs w:val="22"/>
        </w:rPr>
        <w:t>particular circumstance</w:t>
      </w:r>
      <w:proofErr w:type="gramEnd"/>
      <w:r w:rsidR="00DB5DEE">
        <w:rPr>
          <w:rFonts w:ascii="Trebuchet MS" w:hAnsi="Trebuchet MS"/>
          <w:sz w:val="22"/>
          <w:szCs w:val="22"/>
        </w:rPr>
        <w:t xml:space="preserve"> of the application site, the impact of the extension on neighbouring residential amenities is less than substantial. The adjacent dwellings at no. 13 is sited further back into its plot, and benefits from an existing single storey extension. Due to the arrangement of the dwellings, the proposed extension would not project significantly beyond the original rear elevation of no. 13. While occupants of this dwelling would notice the additional height and depth of the proposal, no significant harm would be caused to their amenities. No. 9 benefits from a large annexe, granted planning permission under 141540/HOU. The annexe was granted permission due to a </w:t>
      </w:r>
      <w:proofErr w:type="gramStart"/>
      <w:r w:rsidR="00DB5DEE">
        <w:rPr>
          <w:rFonts w:ascii="Trebuchet MS" w:hAnsi="Trebuchet MS"/>
          <w:sz w:val="22"/>
          <w:szCs w:val="22"/>
        </w:rPr>
        <w:t>particular set</w:t>
      </w:r>
      <w:proofErr w:type="gramEnd"/>
      <w:r w:rsidR="00DB5DEE">
        <w:rPr>
          <w:rFonts w:ascii="Trebuchet MS" w:hAnsi="Trebuchet MS"/>
          <w:sz w:val="22"/>
          <w:szCs w:val="22"/>
        </w:rPr>
        <w:t xml:space="preserve"> of circumstances. </w:t>
      </w:r>
      <w:r w:rsidR="00755629">
        <w:rPr>
          <w:rFonts w:ascii="Trebuchet MS" w:hAnsi="Trebuchet MS"/>
          <w:sz w:val="22"/>
          <w:szCs w:val="22"/>
        </w:rPr>
        <w:t xml:space="preserve">While this is a material consideration in the assessment of the current proposals, the same set of circumstances do not apply in this instance. The identified harm is </w:t>
      </w:r>
      <w:proofErr w:type="gramStart"/>
      <w:r w:rsidR="00755629">
        <w:rPr>
          <w:rFonts w:ascii="Trebuchet MS" w:hAnsi="Trebuchet MS"/>
          <w:sz w:val="22"/>
          <w:szCs w:val="22"/>
        </w:rPr>
        <w:t>significant, and</w:t>
      </w:r>
      <w:proofErr w:type="gramEnd"/>
      <w:r w:rsidR="00755629">
        <w:rPr>
          <w:rFonts w:ascii="Trebuchet MS" w:hAnsi="Trebuchet MS"/>
          <w:sz w:val="22"/>
          <w:szCs w:val="22"/>
        </w:rPr>
        <w:t xml:space="preserve"> is not outweighed by some other material benefit. As a result of the annexe at no. 9, no significant harm would be caused to their residential amenities. </w:t>
      </w:r>
    </w:p>
    <w:p w:rsidR="0095632F" w:rsidRDefault="0095632F" w:rsidP="006A0B28">
      <w:pPr>
        <w:rPr>
          <w:rFonts w:ascii="Trebuchet MS" w:hAnsi="Trebuchet MS"/>
          <w:sz w:val="22"/>
          <w:szCs w:val="22"/>
        </w:rPr>
      </w:pPr>
    </w:p>
    <w:p w:rsidR="0095632F" w:rsidRPr="007720E6" w:rsidRDefault="0095632F" w:rsidP="006A0B28">
      <w:pPr>
        <w:rPr>
          <w:rFonts w:ascii="Trebuchet MS" w:hAnsi="Trebuchet MS"/>
          <w:sz w:val="22"/>
          <w:szCs w:val="22"/>
        </w:rPr>
      </w:pPr>
      <w:r>
        <w:rPr>
          <w:rFonts w:ascii="Trebuchet MS" w:hAnsi="Trebuchet MS"/>
          <w:sz w:val="22"/>
          <w:szCs w:val="22"/>
        </w:rPr>
        <w:t xml:space="preserve">Representations </w:t>
      </w:r>
      <w:r w:rsidR="007720E6">
        <w:rPr>
          <w:rFonts w:ascii="Trebuchet MS" w:hAnsi="Trebuchet MS"/>
          <w:sz w:val="22"/>
          <w:szCs w:val="22"/>
        </w:rPr>
        <w:t xml:space="preserve">to the application </w:t>
      </w:r>
      <w:r>
        <w:rPr>
          <w:rFonts w:ascii="Trebuchet MS" w:hAnsi="Trebuchet MS"/>
          <w:sz w:val="22"/>
          <w:szCs w:val="22"/>
        </w:rPr>
        <w:t xml:space="preserve">raise </w:t>
      </w:r>
      <w:r w:rsidRPr="007720E6">
        <w:rPr>
          <w:rFonts w:ascii="Trebuchet MS" w:hAnsi="Trebuchet MS"/>
          <w:sz w:val="22"/>
          <w:szCs w:val="22"/>
        </w:rPr>
        <w:t>issue that the dwelling</w:t>
      </w:r>
      <w:r w:rsidR="007720E6" w:rsidRPr="007720E6">
        <w:rPr>
          <w:rFonts w:ascii="Trebuchet MS" w:hAnsi="Trebuchet MS"/>
          <w:sz w:val="22"/>
          <w:szCs w:val="22"/>
        </w:rPr>
        <w:t xml:space="preserve"> has been subdivided to separate units of accommodation. </w:t>
      </w:r>
      <w:r w:rsidR="007720E6" w:rsidRPr="007720E6">
        <w:rPr>
          <w:rFonts w:ascii="Trebuchet MS" w:hAnsi="Trebuchet MS"/>
          <w:color w:val="000000"/>
          <w:sz w:val="22"/>
          <w:szCs w:val="24"/>
        </w:rPr>
        <w:t xml:space="preserve">As a Householder Application for Planning Permission, only physical alterations or enlargements and ancillary accommodation can be considered. </w:t>
      </w:r>
      <w:r w:rsidR="007720E6">
        <w:rPr>
          <w:rFonts w:ascii="Trebuchet MS" w:hAnsi="Trebuchet MS"/>
          <w:color w:val="000000"/>
          <w:sz w:val="22"/>
          <w:szCs w:val="24"/>
        </w:rPr>
        <w:t xml:space="preserve">If the dwelling has been subdivided, </w:t>
      </w:r>
      <w:r w:rsidR="007720E6" w:rsidRPr="007720E6">
        <w:rPr>
          <w:rFonts w:ascii="Trebuchet MS" w:hAnsi="Trebuchet MS"/>
          <w:color w:val="000000"/>
          <w:sz w:val="22"/>
          <w:szCs w:val="24"/>
        </w:rPr>
        <w:t xml:space="preserve">this would constitute a material change of use of the site </w:t>
      </w:r>
      <w:r w:rsidR="007720E6">
        <w:rPr>
          <w:rFonts w:ascii="Trebuchet MS" w:hAnsi="Trebuchet MS"/>
          <w:color w:val="000000"/>
          <w:sz w:val="22"/>
          <w:szCs w:val="24"/>
        </w:rPr>
        <w:t xml:space="preserve">for which planning permission is required, and </w:t>
      </w:r>
      <w:r w:rsidR="007720E6" w:rsidRPr="007720E6">
        <w:rPr>
          <w:rFonts w:ascii="Trebuchet MS" w:hAnsi="Trebuchet MS"/>
          <w:color w:val="000000"/>
          <w:sz w:val="22"/>
          <w:szCs w:val="24"/>
        </w:rPr>
        <w:t>which is beyond the scope of a Householder Application for Planning Permission.</w:t>
      </w:r>
      <w:r w:rsidRPr="007720E6">
        <w:rPr>
          <w:rFonts w:ascii="Trebuchet MS" w:hAnsi="Trebuchet MS"/>
          <w:sz w:val="22"/>
          <w:szCs w:val="22"/>
        </w:rPr>
        <w:t xml:space="preserve"> </w:t>
      </w:r>
      <w:bookmarkStart w:id="0" w:name="_GoBack"/>
      <w:bookmarkEnd w:id="0"/>
    </w:p>
    <w:p w:rsidR="00755629" w:rsidRPr="007720E6" w:rsidRDefault="00755629" w:rsidP="006A0B28">
      <w:pPr>
        <w:rPr>
          <w:rFonts w:ascii="Trebuchet MS" w:hAnsi="Trebuchet MS"/>
          <w:sz w:val="22"/>
          <w:szCs w:val="22"/>
        </w:rPr>
      </w:pPr>
    </w:p>
    <w:p w:rsidR="00646D55" w:rsidRDefault="00755629" w:rsidP="006A0B28">
      <w:pPr>
        <w:rPr>
          <w:rFonts w:ascii="Trebuchet MS" w:hAnsi="Trebuchet MS"/>
          <w:sz w:val="22"/>
          <w:szCs w:val="22"/>
        </w:rPr>
      </w:pPr>
      <w:r>
        <w:rPr>
          <w:rFonts w:ascii="Trebuchet MS" w:hAnsi="Trebuchet MS"/>
          <w:sz w:val="22"/>
          <w:szCs w:val="22"/>
        </w:rPr>
        <w:t xml:space="preserve">To conclude, for the reason of significant harm caused to the character and appearance of the original dwelling, the proposal is contrary to Policies CC7 and H9 and the Design Guide </w:t>
      </w:r>
      <w:proofErr w:type="gramStart"/>
      <w:r>
        <w:rPr>
          <w:rFonts w:ascii="Trebuchet MS" w:hAnsi="Trebuchet MS"/>
          <w:sz w:val="22"/>
          <w:szCs w:val="22"/>
        </w:rPr>
        <w:t>SPD, and</w:t>
      </w:r>
      <w:proofErr w:type="gramEnd"/>
      <w:r>
        <w:rPr>
          <w:rFonts w:ascii="Trebuchet MS" w:hAnsi="Trebuchet MS"/>
          <w:sz w:val="22"/>
          <w:szCs w:val="22"/>
        </w:rPr>
        <w:t xml:space="preserve"> is recommended for refusal on this basis. </w:t>
      </w:r>
    </w:p>
    <w:p w:rsidR="00DD3B14" w:rsidRPr="006A0B28" w:rsidRDefault="00DD3B14"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Pr="006A0B28" w:rsidRDefault="00FA1CFE" w:rsidP="006A0B28">
      <w:pPr>
        <w:rPr>
          <w:rFonts w:ascii="Trebuchet MS" w:hAnsi="Trebuchet MS"/>
          <w:sz w:val="22"/>
          <w:szCs w:val="22"/>
        </w:rPr>
      </w:pPr>
    </w:p>
    <w:sectPr w:rsidR="00FA1CFE" w:rsidRPr="006A0B2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9004EF9"/>
    <w:multiLevelType w:val="hybridMultilevel"/>
    <w:tmpl w:val="CEEA9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FE"/>
    <w:rsid w:val="000C74D2"/>
    <w:rsid w:val="00104A61"/>
    <w:rsid w:val="00117252"/>
    <w:rsid w:val="001547A7"/>
    <w:rsid w:val="002629C9"/>
    <w:rsid w:val="002B7221"/>
    <w:rsid w:val="002D0918"/>
    <w:rsid w:val="00347D70"/>
    <w:rsid w:val="003D2AC0"/>
    <w:rsid w:val="003D54F8"/>
    <w:rsid w:val="0041021B"/>
    <w:rsid w:val="00412C5D"/>
    <w:rsid w:val="00424E32"/>
    <w:rsid w:val="004B7EE6"/>
    <w:rsid w:val="004D086D"/>
    <w:rsid w:val="00525C5C"/>
    <w:rsid w:val="005477FA"/>
    <w:rsid w:val="00633773"/>
    <w:rsid w:val="00646D55"/>
    <w:rsid w:val="006A0B28"/>
    <w:rsid w:val="00755629"/>
    <w:rsid w:val="007720E6"/>
    <w:rsid w:val="007E1DBF"/>
    <w:rsid w:val="008270A3"/>
    <w:rsid w:val="00884F67"/>
    <w:rsid w:val="00935217"/>
    <w:rsid w:val="0095632F"/>
    <w:rsid w:val="00957214"/>
    <w:rsid w:val="00992F21"/>
    <w:rsid w:val="00B7625A"/>
    <w:rsid w:val="00BF0E6D"/>
    <w:rsid w:val="00C2191C"/>
    <w:rsid w:val="00CF603E"/>
    <w:rsid w:val="00D17229"/>
    <w:rsid w:val="00D235B9"/>
    <w:rsid w:val="00D34EB8"/>
    <w:rsid w:val="00DB5DEE"/>
    <w:rsid w:val="00DD3B14"/>
    <w:rsid w:val="00E43A38"/>
    <w:rsid w:val="00E90482"/>
    <w:rsid w:val="00EF09D1"/>
    <w:rsid w:val="00F1288E"/>
    <w:rsid w:val="00FA1CFE"/>
    <w:rsid w:val="00FC6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0DD6F"/>
  <w15:docId w15:val="{DE0C3FE1-15D7-47F4-99DB-923140A0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391</TotalTime>
  <Pages>3</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2021-04-20T09:21:00Z</dcterms:created>
  <dcterms:modified xsi:type="dcterms:W3CDTF">2021-04-21T08:59:00Z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