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22D1B6" w14:textId="77777777" w:rsidR="005C68A2" w:rsidRPr="005C68A2" w:rsidRDefault="005C68A2" w:rsidP="005C68A2">
      <w:pPr>
        <w:pStyle w:val="ListParagraph"/>
        <w:spacing w:before="240" w:after="0" w:line="360" w:lineRule="auto"/>
        <w:ind w:left="15"/>
        <w:contextualSpacing w:val="0"/>
        <w:jc w:val="center"/>
        <w:rPr>
          <w:rFonts w:cstheme="minorHAnsi"/>
          <w:b/>
          <w:color w:val="000000"/>
          <w:sz w:val="24"/>
          <w:szCs w:val="24"/>
          <w:lang w:val="en-US"/>
        </w:rPr>
      </w:pPr>
      <w:r w:rsidRPr="005C68A2">
        <w:rPr>
          <w:rFonts w:cstheme="minorHAnsi"/>
          <w:b/>
          <w:color w:val="000000"/>
          <w:sz w:val="24"/>
          <w:szCs w:val="24"/>
          <w:lang w:val="x-none"/>
        </w:rPr>
        <w:t>Arthur Hill Swimming Pool, 221-225 King’s Road</w:t>
      </w:r>
      <w:r w:rsidRPr="005C68A2">
        <w:rPr>
          <w:rFonts w:cstheme="minorHAnsi"/>
          <w:b/>
          <w:color w:val="000000"/>
          <w:sz w:val="24"/>
          <w:szCs w:val="24"/>
          <w:lang w:val="en-US"/>
        </w:rPr>
        <w:t xml:space="preserve"> (Application reference </w:t>
      </w:r>
      <w:r w:rsidRPr="005C68A2">
        <w:rPr>
          <w:rFonts w:cstheme="minorHAnsi"/>
          <w:b/>
          <w:color w:val="000000"/>
          <w:sz w:val="24"/>
          <w:szCs w:val="24"/>
          <w:lang w:val="x-none"/>
        </w:rPr>
        <w:t>201135</w:t>
      </w:r>
      <w:r w:rsidRPr="005C68A2">
        <w:rPr>
          <w:rFonts w:cstheme="minorHAnsi"/>
          <w:b/>
          <w:color w:val="000000"/>
          <w:sz w:val="24"/>
          <w:szCs w:val="24"/>
          <w:lang w:val="en-US"/>
        </w:rPr>
        <w:t>)</w:t>
      </w:r>
    </w:p>
    <w:p w14:paraId="3AD3DEA7" w14:textId="77777777" w:rsidR="005C68A2" w:rsidRPr="005C68A2" w:rsidRDefault="005C68A2" w:rsidP="005C68A2">
      <w:pPr>
        <w:spacing w:before="240" w:after="0" w:line="360" w:lineRule="auto"/>
        <w:jc w:val="center"/>
        <w:rPr>
          <w:rFonts w:cstheme="minorHAnsi"/>
          <w:b/>
          <w:sz w:val="24"/>
          <w:szCs w:val="24"/>
        </w:rPr>
      </w:pPr>
      <w:r w:rsidRPr="005C68A2">
        <w:rPr>
          <w:rFonts w:cstheme="minorHAnsi"/>
          <w:b/>
          <w:sz w:val="24"/>
          <w:szCs w:val="24"/>
        </w:rPr>
        <w:t>BREEAM</w:t>
      </w:r>
    </w:p>
    <w:p w14:paraId="6D117499" w14:textId="77777777" w:rsidR="005C68A2" w:rsidRPr="005C68A2" w:rsidRDefault="005C68A2" w:rsidP="005C68A2">
      <w:pPr>
        <w:pStyle w:val="ListParagraph"/>
        <w:spacing w:before="240" w:after="0" w:line="360" w:lineRule="auto"/>
        <w:ind w:left="15"/>
        <w:contextualSpacing w:val="0"/>
        <w:jc w:val="both"/>
        <w:rPr>
          <w:rFonts w:cstheme="minorHAnsi"/>
          <w:sz w:val="24"/>
          <w:szCs w:val="24"/>
          <w:u w:val="single"/>
        </w:rPr>
      </w:pPr>
    </w:p>
    <w:p w14:paraId="51B2F9CE" w14:textId="77777777" w:rsidR="005C68A2" w:rsidRPr="005C68A2" w:rsidRDefault="005C68A2" w:rsidP="005C68A2">
      <w:pPr>
        <w:pStyle w:val="ListParagraph"/>
        <w:numPr>
          <w:ilvl w:val="0"/>
          <w:numId w:val="22"/>
        </w:numPr>
        <w:spacing w:before="240" w:after="0" w:line="360" w:lineRule="auto"/>
        <w:ind w:hanging="720"/>
        <w:contextualSpacing w:val="0"/>
        <w:jc w:val="both"/>
        <w:rPr>
          <w:rFonts w:cstheme="minorHAnsi"/>
          <w:sz w:val="24"/>
          <w:szCs w:val="24"/>
        </w:rPr>
      </w:pPr>
      <w:r w:rsidRPr="005C68A2">
        <w:rPr>
          <w:rFonts w:cstheme="minorHAnsi"/>
          <w:sz w:val="24"/>
          <w:szCs w:val="24"/>
        </w:rPr>
        <w:t>Policy CC2</w:t>
      </w:r>
      <w:r w:rsidRPr="005C68A2">
        <w:rPr>
          <w:rFonts w:cstheme="minorHAnsi"/>
          <w:color w:val="000000"/>
          <w:sz w:val="24"/>
          <w:szCs w:val="24"/>
          <w:lang w:val="x-none"/>
        </w:rPr>
        <w:t xml:space="preserve">: Sustainable Design </w:t>
      </w:r>
      <w:r w:rsidRPr="005C68A2">
        <w:rPr>
          <w:rFonts w:cstheme="minorHAnsi"/>
          <w:color w:val="000000"/>
          <w:sz w:val="24"/>
          <w:szCs w:val="24"/>
          <w:lang w:val="en-US"/>
        </w:rPr>
        <w:t>a</w:t>
      </w:r>
      <w:proofErr w:type="spellStart"/>
      <w:r w:rsidRPr="005C68A2">
        <w:rPr>
          <w:rFonts w:cstheme="minorHAnsi"/>
          <w:color w:val="000000"/>
          <w:sz w:val="24"/>
          <w:szCs w:val="24"/>
          <w:lang w:val="x-none"/>
        </w:rPr>
        <w:t>nd</w:t>
      </w:r>
      <w:proofErr w:type="spellEnd"/>
      <w:r w:rsidRPr="005C68A2">
        <w:rPr>
          <w:rFonts w:cstheme="minorHAnsi"/>
          <w:color w:val="000000"/>
          <w:sz w:val="24"/>
          <w:szCs w:val="24"/>
          <w:lang w:val="x-none"/>
        </w:rPr>
        <w:t xml:space="preserve"> Construction</w:t>
      </w:r>
      <w:r w:rsidRPr="005C68A2">
        <w:rPr>
          <w:rFonts w:cstheme="minorHAnsi"/>
          <w:color w:val="000000"/>
          <w:sz w:val="24"/>
          <w:szCs w:val="24"/>
          <w:lang w:val="en-US"/>
        </w:rPr>
        <w:t xml:space="preserve"> states that:</w:t>
      </w:r>
    </w:p>
    <w:p w14:paraId="5A264726" w14:textId="77777777" w:rsidR="005C68A2" w:rsidRPr="005C68A2" w:rsidRDefault="005C68A2" w:rsidP="005C68A2">
      <w:pPr>
        <w:pStyle w:val="ListParagraph"/>
        <w:spacing w:before="240" w:after="0" w:line="360" w:lineRule="auto"/>
        <w:ind w:left="1440"/>
        <w:contextualSpacing w:val="0"/>
        <w:jc w:val="both"/>
        <w:rPr>
          <w:rFonts w:cstheme="minorHAnsi"/>
          <w:sz w:val="24"/>
          <w:szCs w:val="24"/>
        </w:rPr>
      </w:pPr>
      <w:r w:rsidRPr="005C68A2">
        <w:rPr>
          <w:rFonts w:cstheme="minorHAnsi"/>
          <w:color w:val="000000"/>
          <w:sz w:val="24"/>
          <w:szCs w:val="24"/>
          <w:lang w:val="en-US"/>
        </w:rPr>
        <w:t>“</w:t>
      </w:r>
      <w:r w:rsidRPr="005C68A2">
        <w:rPr>
          <w:rFonts w:cstheme="minorHAnsi"/>
          <w:color w:val="000000"/>
          <w:sz w:val="24"/>
          <w:szCs w:val="24"/>
          <w:lang w:val="x-none"/>
        </w:rPr>
        <w:t>Proposals for new development, including the construction of new buildings and the redevelopment and refurbishment of existing building stock, will be acceptable where the design of buildings and site layouts use energy, water, minerals, materials and other natural resources appropriately, efficiently and with care and take account of the effects of climate change.</w:t>
      </w:r>
      <w:r w:rsidRPr="005C68A2">
        <w:rPr>
          <w:rFonts w:cstheme="minorHAnsi"/>
          <w:color w:val="000000"/>
          <w:sz w:val="24"/>
          <w:szCs w:val="24"/>
          <w:lang w:val="en-US"/>
        </w:rPr>
        <w:t xml:space="preserve">” </w:t>
      </w:r>
    </w:p>
    <w:p w14:paraId="09846B8D" w14:textId="77777777" w:rsidR="005C68A2" w:rsidRPr="005C68A2" w:rsidRDefault="005C68A2" w:rsidP="005C68A2">
      <w:pPr>
        <w:pStyle w:val="ListParagraph"/>
        <w:numPr>
          <w:ilvl w:val="0"/>
          <w:numId w:val="22"/>
        </w:numPr>
        <w:spacing w:before="240" w:after="0" w:line="360" w:lineRule="auto"/>
        <w:ind w:hanging="720"/>
        <w:contextualSpacing w:val="0"/>
        <w:jc w:val="both"/>
        <w:rPr>
          <w:rFonts w:cstheme="minorHAnsi"/>
          <w:sz w:val="24"/>
          <w:szCs w:val="24"/>
        </w:rPr>
      </w:pPr>
      <w:r w:rsidRPr="005C68A2">
        <w:rPr>
          <w:rFonts w:cstheme="minorHAnsi"/>
          <w:color w:val="000000"/>
          <w:sz w:val="24"/>
          <w:szCs w:val="24"/>
          <w:lang w:val="en-US"/>
        </w:rPr>
        <w:t xml:space="preserve">The Policy does not impose any specific requirements (and no requirement for BREEAM) for new residential development.  The Application Proposal has adopted </w:t>
      </w:r>
      <w:proofErr w:type="spellStart"/>
      <w:r w:rsidRPr="005C68A2">
        <w:rPr>
          <w:rFonts w:cstheme="minorHAnsi"/>
          <w:color w:val="000000"/>
          <w:sz w:val="24"/>
          <w:szCs w:val="24"/>
          <w:lang w:val="en-US"/>
        </w:rPr>
        <w:t>Passivhaus</w:t>
      </w:r>
      <w:proofErr w:type="spellEnd"/>
      <w:r w:rsidRPr="005C68A2">
        <w:rPr>
          <w:rFonts w:cstheme="minorHAnsi"/>
          <w:color w:val="000000"/>
          <w:sz w:val="24"/>
          <w:szCs w:val="24"/>
          <w:lang w:val="en-US"/>
        </w:rPr>
        <w:t xml:space="preserve"> as a means of achieving the requirements of Policy CC2 and the energy and carbon reduction requirements of other Local Plan Policies. </w:t>
      </w:r>
    </w:p>
    <w:p w14:paraId="381EC588" w14:textId="77777777" w:rsidR="005C68A2" w:rsidRPr="005C68A2" w:rsidRDefault="005C68A2" w:rsidP="005C68A2">
      <w:pPr>
        <w:pStyle w:val="ListParagraph"/>
        <w:numPr>
          <w:ilvl w:val="0"/>
          <w:numId w:val="22"/>
        </w:numPr>
        <w:spacing w:before="240" w:after="0" w:line="360" w:lineRule="auto"/>
        <w:ind w:hanging="720"/>
        <w:contextualSpacing w:val="0"/>
        <w:jc w:val="both"/>
        <w:rPr>
          <w:rFonts w:cstheme="minorHAnsi"/>
          <w:sz w:val="24"/>
          <w:szCs w:val="24"/>
        </w:rPr>
      </w:pPr>
      <w:r w:rsidRPr="005C68A2">
        <w:rPr>
          <w:rFonts w:cstheme="minorHAnsi"/>
          <w:color w:val="000000"/>
          <w:sz w:val="24"/>
          <w:szCs w:val="24"/>
          <w:lang w:val="en-US"/>
        </w:rPr>
        <w:t>The Policy does, however, impose a specific BREEAM requirement for “</w:t>
      </w:r>
      <w:r w:rsidRPr="005C68A2">
        <w:rPr>
          <w:rFonts w:cstheme="minorHAnsi"/>
          <w:color w:val="000000"/>
          <w:sz w:val="24"/>
          <w:szCs w:val="24"/>
          <w:lang w:val="x-none"/>
        </w:rPr>
        <w:t>All minor non-residential developments or conversions to residential</w:t>
      </w:r>
      <w:r w:rsidRPr="005C68A2">
        <w:rPr>
          <w:rFonts w:cstheme="minorHAnsi"/>
          <w:color w:val="000000"/>
          <w:sz w:val="24"/>
          <w:szCs w:val="24"/>
          <w:lang w:val="en-US"/>
        </w:rPr>
        <w:t>” which:</w:t>
      </w:r>
    </w:p>
    <w:p w14:paraId="0F8CCCEC" w14:textId="77777777" w:rsidR="005C68A2" w:rsidRPr="005C68A2" w:rsidRDefault="005C68A2" w:rsidP="005C68A2">
      <w:pPr>
        <w:pStyle w:val="ListParagraph"/>
        <w:spacing w:before="240" w:after="0" w:line="360" w:lineRule="auto"/>
        <w:ind w:left="1440"/>
        <w:contextualSpacing w:val="0"/>
        <w:jc w:val="both"/>
        <w:rPr>
          <w:rFonts w:cstheme="minorHAnsi"/>
          <w:sz w:val="24"/>
          <w:szCs w:val="24"/>
        </w:rPr>
      </w:pPr>
      <w:r w:rsidRPr="005C68A2">
        <w:rPr>
          <w:rFonts w:cstheme="minorHAnsi"/>
          <w:color w:val="000000"/>
          <w:sz w:val="24"/>
          <w:szCs w:val="24"/>
          <w:lang w:val="en-US"/>
        </w:rPr>
        <w:t>“…</w:t>
      </w:r>
      <w:r w:rsidRPr="005C68A2">
        <w:rPr>
          <w:rFonts w:cstheme="minorHAnsi"/>
          <w:color w:val="000000"/>
          <w:sz w:val="24"/>
          <w:szCs w:val="24"/>
          <w:lang w:val="x-none"/>
        </w:rPr>
        <w:t>are required to meet the most up-to-date BREEAM ‘Very Good’ standard as a minimum;</w:t>
      </w:r>
      <w:r w:rsidRPr="005C68A2">
        <w:rPr>
          <w:rFonts w:cstheme="minorHAnsi"/>
          <w:color w:val="000000"/>
          <w:sz w:val="24"/>
          <w:szCs w:val="24"/>
          <w:lang w:val="en-US"/>
        </w:rPr>
        <w:t>”.</w:t>
      </w:r>
      <w:r w:rsidRPr="005C68A2">
        <w:rPr>
          <w:rStyle w:val="FootnoteReference"/>
          <w:rFonts w:cstheme="minorHAnsi"/>
          <w:color w:val="000000"/>
          <w:sz w:val="24"/>
          <w:szCs w:val="24"/>
          <w:lang w:val="en-US"/>
        </w:rPr>
        <w:footnoteReference w:id="1"/>
      </w:r>
    </w:p>
    <w:p w14:paraId="279E3D65" w14:textId="77777777" w:rsidR="005C68A2" w:rsidRPr="005C68A2" w:rsidRDefault="005C68A2" w:rsidP="005C68A2">
      <w:pPr>
        <w:pStyle w:val="ListParagraph"/>
        <w:numPr>
          <w:ilvl w:val="0"/>
          <w:numId w:val="22"/>
        </w:numPr>
        <w:spacing w:before="240" w:after="0" w:line="360" w:lineRule="auto"/>
        <w:ind w:hanging="720"/>
        <w:contextualSpacing w:val="0"/>
        <w:jc w:val="both"/>
        <w:rPr>
          <w:rFonts w:cstheme="minorHAnsi"/>
          <w:sz w:val="24"/>
          <w:szCs w:val="24"/>
        </w:rPr>
      </w:pPr>
      <w:r w:rsidRPr="005C68A2">
        <w:rPr>
          <w:rFonts w:cstheme="minorHAnsi"/>
          <w:color w:val="000000"/>
          <w:sz w:val="24"/>
          <w:szCs w:val="24"/>
          <w:lang w:val="en-US"/>
        </w:rPr>
        <w:t xml:space="preserve">This would apply to Block D, which is a Locally Listed Building that is being retained and converted into one residential flat.  </w:t>
      </w:r>
    </w:p>
    <w:p w14:paraId="7CA6265A" w14:textId="77777777" w:rsidR="005C68A2" w:rsidRPr="005C68A2" w:rsidRDefault="005C68A2" w:rsidP="005C68A2">
      <w:pPr>
        <w:pStyle w:val="ListParagraph"/>
        <w:numPr>
          <w:ilvl w:val="0"/>
          <w:numId w:val="22"/>
        </w:numPr>
        <w:spacing w:before="240" w:after="0" w:line="360" w:lineRule="auto"/>
        <w:ind w:hanging="720"/>
        <w:contextualSpacing w:val="0"/>
        <w:jc w:val="both"/>
        <w:rPr>
          <w:rFonts w:cstheme="minorHAnsi"/>
          <w:sz w:val="24"/>
          <w:szCs w:val="24"/>
        </w:rPr>
      </w:pPr>
      <w:r w:rsidRPr="005C68A2">
        <w:rPr>
          <w:rFonts w:cstheme="minorHAnsi"/>
          <w:color w:val="000000"/>
          <w:sz w:val="24"/>
          <w:szCs w:val="24"/>
          <w:lang w:val="en-US"/>
        </w:rPr>
        <w:lastRenderedPageBreak/>
        <w:t xml:space="preserve">Table 3.1 of the Council’s Sustainable Design and Construction SPD (December 19) </w:t>
      </w:r>
      <w:proofErr w:type="spellStart"/>
      <w:r w:rsidRPr="005C68A2">
        <w:rPr>
          <w:rFonts w:cstheme="minorHAnsi"/>
          <w:color w:val="000000"/>
          <w:sz w:val="24"/>
          <w:szCs w:val="24"/>
          <w:lang w:val="en-US"/>
        </w:rPr>
        <w:t>summarises</w:t>
      </w:r>
      <w:proofErr w:type="spellEnd"/>
      <w:r w:rsidRPr="005C68A2">
        <w:rPr>
          <w:rFonts w:cstheme="minorHAnsi"/>
          <w:color w:val="000000"/>
          <w:sz w:val="24"/>
          <w:szCs w:val="24"/>
          <w:lang w:val="en-US"/>
        </w:rPr>
        <w:t xml:space="preserve"> the requirements of Policy CC2 and associated policies.  The supporting text accepts that these might not be achievable for heritage assets:</w:t>
      </w:r>
    </w:p>
    <w:p w14:paraId="0D1A42A9" w14:textId="77777777" w:rsidR="005C68A2" w:rsidRPr="005C68A2" w:rsidRDefault="005C68A2" w:rsidP="005C68A2">
      <w:pPr>
        <w:pStyle w:val="ListParagraph"/>
        <w:spacing w:before="240" w:after="0" w:line="360" w:lineRule="auto"/>
        <w:ind w:left="1440"/>
        <w:contextualSpacing w:val="0"/>
        <w:jc w:val="both"/>
        <w:rPr>
          <w:rFonts w:cstheme="minorHAnsi"/>
          <w:sz w:val="24"/>
          <w:szCs w:val="24"/>
        </w:rPr>
      </w:pPr>
      <w:r w:rsidRPr="005C68A2">
        <w:rPr>
          <w:rFonts w:cstheme="minorHAnsi"/>
          <w:color w:val="000000"/>
          <w:sz w:val="24"/>
          <w:szCs w:val="24"/>
          <w:lang w:val="en-US"/>
        </w:rPr>
        <w:t>“</w:t>
      </w:r>
      <w:r w:rsidRPr="005C68A2">
        <w:rPr>
          <w:rFonts w:cstheme="minorHAnsi"/>
          <w:color w:val="000000"/>
          <w:sz w:val="24"/>
          <w:szCs w:val="24"/>
          <w:lang w:val="x-none"/>
        </w:rPr>
        <w:t>Where there are proposals for</w:t>
      </w:r>
      <w:r w:rsidRPr="005C68A2">
        <w:rPr>
          <w:rFonts w:cstheme="minorHAnsi"/>
          <w:color w:val="000000"/>
          <w:sz w:val="24"/>
          <w:szCs w:val="24"/>
          <w:lang w:val="en-US"/>
        </w:rPr>
        <w:t xml:space="preserve"> </w:t>
      </w:r>
      <w:r w:rsidRPr="005C68A2">
        <w:rPr>
          <w:rFonts w:cstheme="minorHAnsi"/>
          <w:color w:val="000000"/>
          <w:sz w:val="24"/>
          <w:szCs w:val="24"/>
          <w:lang w:val="x-none"/>
        </w:rPr>
        <w:t>conversions and refurbishments of listed buildings, scheduled ancient monuments or buildings in</w:t>
      </w:r>
      <w:r w:rsidRPr="005C68A2">
        <w:rPr>
          <w:rFonts w:cstheme="minorHAnsi"/>
          <w:color w:val="000000"/>
          <w:sz w:val="24"/>
          <w:szCs w:val="24"/>
          <w:lang w:val="en-US"/>
        </w:rPr>
        <w:t xml:space="preserve"> </w:t>
      </w:r>
      <w:r w:rsidRPr="005C68A2">
        <w:rPr>
          <w:rFonts w:cstheme="minorHAnsi"/>
          <w:color w:val="000000"/>
          <w:sz w:val="24"/>
          <w:szCs w:val="24"/>
          <w:lang w:val="x-none"/>
        </w:rPr>
        <w:t>conservation areas where compliance with sustainability policies would unacceptably alter their</w:t>
      </w:r>
      <w:r w:rsidRPr="005C68A2">
        <w:rPr>
          <w:rFonts w:cstheme="minorHAnsi"/>
          <w:color w:val="000000"/>
          <w:sz w:val="24"/>
          <w:szCs w:val="24"/>
          <w:lang w:val="en-US"/>
        </w:rPr>
        <w:t xml:space="preserve"> </w:t>
      </w:r>
      <w:r w:rsidRPr="005C68A2">
        <w:rPr>
          <w:rFonts w:cstheme="minorHAnsi"/>
          <w:color w:val="000000"/>
          <w:sz w:val="24"/>
          <w:szCs w:val="24"/>
          <w:lang w:val="x-none"/>
        </w:rPr>
        <w:t>character and appearance, appropriate measures that are sensitive to the heritage asset should</w:t>
      </w:r>
      <w:r w:rsidRPr="005C68A2">
        <w:rPr>
          <w:rFonts w:cstheme="minorHAnsi"/>
          <w:color w:val="000000"/>
          <w:sz w:val="24"/>
          <w:szCs w:val="24"/>
          <w:lang w:val="en-US"/>
        </w:rPr>
        <w:t xml:space="preserve"> </w:t>
      </w:r>
      <w:r w:rsidRPr="005C68A2">
        <w:rPr>
          <w:rFonts w:cstheme="minorHAnsi"/>
          <w:color w:val="000000"/>
          <w:sz w:val="24"/>
          <w:szCs w:val="24"/>
          <w:lang w:val="x-none"/>
        </w:rPr>
        <w:t>be taken to achieve improvements to the performance of the building insofar as is possible.</w:t>
      </w:r>
      <w:r w:rsidRPr="005C68A2">
        <w:rPr>
          <w:rFonts w:cstheme="minorHAnsi"/>
          <w:color w:val="000000"/>
          <w:sz w:val="24"/>
          <w:szCs w:val="24"/>
          <w:lang w:val="en-US"/>
        </w:rPr>
        <w:t xml:space="preserve">  </w:t>
      </w:r>
      <w:r w:rsidRPr="005C68A2">
        <w:rPr>
          <w:rFonts w:cstheme="minorHAnsi"/>
          <w:color w:val="000000"/>
          <w:sz w:val="24"/>
          <w:szCs w:val="24"/>
          <w:lang w:val="x-none"/>
        </w:rPr>
        <w:t>Current environmental performance of an asset to be converted or refurbished should be</w:t>
      </w:r>
      <w:r w:rsidRPr="005C68A2">
        <w:rPr>
          <w:rFonts w:cstheme="minorHAnsi"/>
          <w:color w:val="000000"/>
          <w:sz w:val="24"/>
          <w:szCs w:val="24"/>
          <w:lang w:val="en-US"/>
        </w:rPr>
        <w:t xml:space="preserve"> </w:t>
      </w:r>
      <w:r w:rsidRPr="005C68A2">
        <w:rPr>
          <w:rFonts w:cstheme="minorHAnsi"/>
          <w:color w:val="000000"/>
          <w:sz w:val="24"/>
          <w:szCs w:val="24"/>
          <w:lang w:val="x-none"/>
        </w:rPr>
        <w:t xml:space="preserve">analysed in the first instance in order to support proposals using a ‘whole </w:t>
      </w:r>
      <w:proofErr w:type="spellStart"/>
      <w:r w:rsidRPr="005C68A2">
        <w:rPr>
          <w:rFonts w:cstheme="minorHAnsi"/>
          <w:color w:val="000000"/>
          <w:sz w:val="24"/>
          <w:szCs w:val="24"/>
          <w:lang w:val="x-none"/>
        </w:rPr>
        <w:t>house’</w:t>
      </w:r>
      <w:proofErr w:type="spellEnd"/>
      <w:r w:rsidRPr="005C68A2">
        <w:rPr>
          <w:rFonts w:cstheme="minorHAnsi"/>
          <w:color w:val="000000"/>
          <w:sz w:val="24"/>
          <w:szCs w:val="24"/>
          <w:lang w:val="x-none"/>
        </w:rPr>
        <w:t xml:space="preserve"> approach.</w:t>
      </w:r>
      <w:r w:rsidRPr="005C68A2">
        <w:rPr>
          <w:rFonts w:cstheme="minorHAnsi"/>
          <w:color w:val="000000"/>
          <w:sz w:val="24"/>
          <w:szCs w:val="24"/>
          <w:lang w:val="en-US"/>
        </w:rPr>
        <w:t xml:space="preserve"> </w:t>
      </w:r>
      <w:r w:rsidRPr="005C68A2">
        <w:rPr>
          <w:rFonts w:cstheme="minorHAnsi"/>
          <w:color w:val="000000"/>
          <w:sz w:val="24"/>
          <w:szCs w:val="24"/>
          <w:lang w:val="x-none"/>
        </w:rPr>
        <w:t xml:space="preserve"> The first priority for listed buildings should be for non-invasive measures.</w:t>
      </w:r>
      <w:r w:rsidRPr="005C68A2">
        <w:rPr>
          <w:rFonts w:cstheme="minorHAnsi"/>
          <w:color w:val="000000"/>
          <w:sz w:val="24"/>
          <w:szCs w:val="24"/>
          <w:lang w:val="en-US"/>
        </w:rPr>
        <w:t xml:space="preserve"> </w:t>
      </w:r>
      <w:r w:rsidRPr="005C68A2">
        <w:rPr>
          <w:rFonts w:cstheme="minorHAnsi"/>
          <w:color w:val="000000"/>
          <w:sz w:val="24"/>
          <w:szCs w:val="24"/>
          <w:lang w:val="x-none"/>
        </w:rPr>
        <w:t xml:space="preserve"> Measures will depend on the significance of individual listed buildings. </w:t>
      </w:r>
      <w:r w:rsidRPr="005C68A2">
        <w:rPr>
          <w:rFonts w:cstheme="minorHAnsi"/>
          <w:color w:val="000000"/>
          <w:sz w:val="24"/>
          <w:szCs w:val="24"/>
          <w:lang w:val="en-US"/>
        </w:rPr>
        <w:t xml:space="preserve"> </w:t>
      </w:r>
      <w:r w:rsidRPr="005C68A2">
        <w:rPr>
          <w:rFonts w:cstheme="minorHAnsi"/>
          <w:color w:val="000000"/>
          <w:sz w:val="24"/>
          <w:szCs w:val="24"/>
          <w:lang w:val="x-none"/>
        </w:rPr>
        <w:t>Historic England has published guidance on the application of Part L to historic buildings which will be of use in informing the approach.</w:t>
      </w:r>
      <w:r w:rsidRPr="005C68A2">
        <w:rPr>
          <w:rFonts w:cstheme="minorHAnsi"/>
          <w:color w:val="000000"/>
          <w:sz w:val="24"/>
          <w:szCs w:val="24"/>
          <w:lang w:val="en-US"/>
        </w:rPr>
        <w:t>” (paragraph 3.5).</w:t>
      </w:r>
    </w:p>
    <w:p w14:paraId="437BF987" w14:textId="77777777" w:rsidR="005C68A2" w:rsidRPr="005C68A2" w:rsidRDefault="005C68A2" w:rsidP="005C68A2">
      <w:pPr>
        <w:pStyle w:val="ListParagraph"/>
        <w:numPr>
          <w:ilvl w:val="0"/>
          <w:numId w:val="22"/>
        </w:numPr>
        <w:spacing w:before="240" w:after="0" w:line="360" w:lineRule="auto"/>
        <w:ind w:hanging="720"/>
        <w:contextualSpacing w:val="0"/>
        <w:jc w:val="both"/>
        <w:rPr>
          <w:rFonts w:cstheme="minorHAnsi"/>
          <w:sz w:val="24"/>
          <w:szCs w:val="24"/>
        </w:rPr>
      </w:pPr>
      <w:r w:rsidRPr="005C68A2">
        <w:rPr>
          <w:rFonts w:cstheme="minorHAnsi"/>
          <w:color w:val="000000"/>
          <w:sz w:val="24"/>
          <w:szCs w:val="24"/>
          <w:lang w:val="en-US"/>
        </w:rPr>
        <w:t>T</w:t>
      </w:r>
      <w:r w:rsidRPr="005C68A2">
        <w:rPr>
          <w:rFonts w:cstheme="minorHAnsi"/>
          <w:color w:val="000000"/>
          <w:sz w:val="24"/>
          <w:szCs w:val="24"/>
          <w:lang w:val="x-none"/>
        </w:rPr>
        <w:t>he supporting text to Policy EN4 Locally Important Heritage Assets encourages the reuse of such buildings and recognises the advantages this can deliver in terms of reducing carbon</w:t>
      </w:r>
      <w:r w:rsidRPr="005C68A2">
        <w:rPr>
          <w:rFonts w:cstheme="minorHAnsi"/>
          <w:color w:val="000000"/>
          <w:sz w:val="24"/>
          <w:szCs w:val="24"/>
          <w:lang w:val="en-US"/>
        </w:rPr>
        <w:t xml:space="preserve"> but also warns that the impact from such works on the Heritage Asset needs to be considered</w:t>
      </w:r>
      <w:r w:rsidRPr="005C68A2">
        <w:rPr>
          <w:rFonts w:cstheme="minorHAnsi"/>
          <w:color w:val="000000"/>
          <w:sz w:val="24"/>
          <w:szCs w:val="24"/>
          <w:lang w:val="x-none"/>
        </w:rPr>
        <w:t xml:space="preserve">: </w:t>
      </w:r>
    </w:p>
    <w:p w14:paraId="0620895D" w14:textId="77777777" w:rsidR="005C68A2" w:rsidRPr="005C68A2" w:rsidRDefault="005C68A2" w:rsidP="005C68A2">
      <w:pPr>
        <w:pStyle w:val="ListParagraph"/>
        <w:spacing w:before="240" w:after="0" w:line="360" w:lineRule="auto"/>
        <w:ind w:left="1440"/>
        <w:contextualSpacing w:val="0"/>
        <w:jc w:val="both"/>
        <w:rPr>
          <w:rFonts w:cstheme="minorHAnsi"/>
          <w:sz w:val="24"/>
          <w:szCs w:val="24"/>
        </w:rPr>
      </w:pPr>
      <w:r w:rsidRPr="005C68A2">
        <w:rPr>
          <w:rFonts w:cstheme="minorHAnsi"/>
          <w:color w:val="000000"/>
          <w:sz w:val="24"/>
          <w:szCs w:val="24"/>
          <w:lang w:val="x-none"/>
        </w:rPr>
        <w:t>“It should be recognised that seeking the reuse of historic buildings and, where appropriate, their modification to reduce carbon emissions and secure sustainable development, without harming the significance of the heritage asset and its setting, helps to mitigate the effects of climate change.</w:t>
      </w:r>
      <w:r w:rsidRPr="005C68A2">
        <w:rPr>
          <w:rFonts w:cstheme="minorHAnsi"/>
          <w:color w:val="000000"/>
          <w:sz w:val="24"/>
          <w:szCs w:val="24"/>
          <w:lang w:val="en-US"/>
        </w:rPr>
        <w:t xml:space="preserve"> </w:t>
      </w:r>
      <w:r w:rsidRPr="005C68A2">
        <w:rPr>
          <w:rFonts w:cstheme="minorHAnsi"/>
          <w:color w:val="000000"/>
          <w:sz w:val="24"/>
          <w:szCs w:val="24"/>
          <w:lang w:val="x-none"/>
        </w:rPr>
        <w:t xml:space="preserve"> Therefore, buildings on the Local List should be re-used, where possible.”</w:t>
      </w:r>
    </w:p>
    <w:p w14:paraId="294255AE" w14:textId="77777777" w:rsidR="005C68A2" w:rsidRPr="005C68A2" w:rsidRDefault="005C68A2" w:rsidP="005C68A2">
      <w:pPr>
        <w:pStyle w:val="ListParagraph"/>
        <w:numPr>
          <w:ilvl w:val="0"/>
          <w:numId w:val="22"/>
        </w:numPr>
        <w:spacing w:before="240" w:after="0" w:line="360" w:lineRule="auto"/>
        <w:ind w:hanging="720"/>
        <w:contextualSpacing w:val="0"/>
        <w:jc w:val="both"/>
        <w:rPr>
          <w:rFonts w:cstheme="minorHAnsi"/>
          <w:sz w:val="24"/>
          <w:szCs w:val="24"/>
        </w:rPr>
      </w:pPr>
      <w:r w:rsidRPr="005C68A2">
        <w:rPr>
          <w:rFonts w:cstheme="minorHAnsi"/>
          <w:sz w:val="24"/>
          <w:szCs w:val="24"/>
        </w:rPr>
        <w:t>Because this is an existing building there is no ability to do anything to change the shape or built form of the building.  This is explained in the Energy Statement (ION) (6 August 2020):</w:t>
      </w:r>
    </w:p>
    <w:p w14:paraId="70DDC415" w14:textId="77777777" w:rsidR="005C68A2" w:rsidRPr="005C68A2" w:rsidRDefault="005C68A2" w:rsidP="005C68A2">
      <w:pPr>
        <w:pStyle w:val="ListParagraph"/>
        <w:spacing w:before="240" w:after="0" w:line="360" w:lineRule="auto"/>
        <w:ind w:left="1440"/>
        <w:contextualSpacing w:val="0"/>
        <w:jc w:val="both"/>
        <w:rPr>
          <w:rFonts w:cstheme="minorHAnsi"/>
          <w:color w:val="000000"/>
          <w:sz w:val="24"/>
          <w:szCs w:val="24"/>
          <w:lang w:val="x-none"/>
        </w:rPr>
      </w:pPr>
      <w:r w:rsidRPr="005C68A2">
        <w:rPr>
          <w:rFonts w:cstheme="minorHAnsi"/>
          <w:sz w:val="24"/>
          <w:szCs w:val="24"/>
        </w:rPr>
        <w:lastRenderedPageBreak/>
        <w:t>“</w:t>
      </w:r>
      <w:r w:rsidRPr="005C68A2">
        <w:rPr>
          <w:rFonts w:cstheme="minorHAnsi"/>
          <w:color w:val="000000"/>
          <w:sz w:val="24"/>
          <w:szCs w:val="24"/>
          <w:lang w:val="x-none"/>
        </w:rPr>
        <w:t xml:space="preserve">The building fabric elements for the new build Blocks A, B and C meet the minimum requirements for </w:t>
      </w:r>
      <w:proofErr w:type="spellStart"/>
      <w:r w:rsidRPr="005C68A2">
        <w:rPr>
          <w:rFonts w:cstheme="minorHAnsi"/>
          <w:color w:val="000000"/>
          <w:sz w:val="24"/>
          <w:szCs w:val="24"/>
          <w:lang w:val="x-none"/>
        </w:rPr>
        <w:t>PassivHaus</w:t>
      </w:r>
      <w:proofErr w:type="spellEnd"/>
      <w:r w:rsidRPr="005C68A2">
        <w:rPr>
          <w:rFonts w:cstheme="minorHAnsi"/>
          <w:color w:val="000000"/>
          <w:sz w:val="24"/>
          <w:szCs w:val="24"/>
          <w:lang w:val="x-none"/>
        </w:rPr>
        <w:t xml:space="preserve"> standards, however the existing building (Block D) is locally listed and of high heritage importance, therefore this will be retained.</w:t>
      </w:r>
    </w:p>
    <w:p w14:paraId="06B84B99" w14:textId="77777777" w:rsidR="005C68A2" w:rsidRPr="005C68A2" w:rsidRDefault="005C68A2" w:rsidP="005C68A2">
      <w:pPr>
        <w:pStyle w:val="ListParagraph"/>
        <w:spacing w:before="240" w:after="0" w:line="360" w:lineRule="auto"/>
        <w:ind w:left="1440"/>
        <w:contextualSpacing w:val="0"/>
        <w:jc w:val="both"/>
        <w:rPr>
          <w:rFonts w:cstheme="minorHAnsi"/>
          <w:sz w:val="24"/>
          <w:szCs w:val="24"/>
        </w:rPr>
      </w:pPr>
      <w:r w:rsidRPr="005C68A2">
        <w:rPr>
          <w:rFonts w:cstheme="minorHAnsi"/>
          <w:color w:val="000000"/>
          <w:sz w:val="24"/>
          <w:szCs w:val="24"/>
          <w:lang w:val="x-none"/>
        </w:rPr>
        <w:t>Due to the retention of this part of the existing building it can only be enhanced in certain specific areas such as the walls and windows to improve standards to Building Regulations 2013 levels</w:t>
      </w:r>
      <w:r w:rsidRPr="005C68A2">
        <w:rPr>
          <w:rFonts w:cstheme="minorHAnsi"/>
          <w:sz w:val="24"/>
          <w:szCs w:val="24"/>
        </w:rPr>
        <w:t>” (Section 1.2).</w:t>
      </w:r>
    </w:p>
    <w:p w14:paraId="6738EAB2" w14:textId="77777777" w:rsidR="005C68A2" w:rsidRPr="005C68A2" w:rsidRDefault="005C68A2" w:rsidP="005C68A2">
      <w:pPr>
        <w:pStyle w:val="ListParagraph"/>
        <w:numPr>
          <w:ilvl w:val="0"/>
          <w:numId w:val="22"/>
        </w:numPr>
        <w:spacing w:before="240" w:after="0" w:line="360" w:lineRule="auto"/>
        <w:ind w:hanging="720"/>
        <w:contextualSpacing w:val="0"/>
        <w:jc w:val="both"/>
        <w:rPr>
          <w:rFonts w:cstheme="minorHAnsi"/>
          <w:sz w:val="24"/>
          <w:szCs w:val="24"/>
        </w:rPr>
      </w:pPr>
      <w:r w:rsidRPr="005C68A2">
        <w:rPr>
          <w:rFonts w:cstheme="minorHAnsi"/>
          <w:sz w:val="24"/>
          <w:szCs w:val="24"/>
        </w:rPr>
        <w:t>Achieving Building Regulations 2013 is a significant improvement upon the existing situation.</w:t>
      </w:r>
      <w:r w:rsidRPr="005C68A2">
        <w:rPr>
          <w:rStyle w:val="FootnoteReference"/>
          <w:rFonts w:cstheme="minorHAnsi"/>
          <w:sz w:val="24"/>
          <w:szCs w:val="24"/>
        </w:rPr>
        <w:footnoteReference w:id="2"/>
      </w:r>
      <w:r w:rsidRPr="005C68A2">
        <w:rPr>
          <w:rFonts w:cstheme="minorHAnsi"/>
          <w:sz w:val="24"/>
          <w:szCs w:val="24"/>
        </w:rPr>
        <w:t xml:space="preserve">  Table 1 of the Energy Report shows Building Regulations 2013 requirements and Table 2 shows how these will be achieved for Block D.  These can be achieved for all areas apart from the ground floor because it is an </w:t>
      </w:r>
      <w:r w:rsidRPr="005C68A2">
        <w:rPr>
          <w:rFonts w:cstheme="minorHAnsi"/>
          <w:sz w:val="24"/>
          <w:szCs w:val="24"/>
          <w:lang w:val="en-US"/>
        </w:rPr>
        <w:t>u</w:t>
      </w:r>
      <w:proofErr w:type="spellStart"/>
      <w:r w:rsidRPr="005C68A2">
        <w:rPr>
          <w:rFonts w:cstheme="minorHAnsi"/>
          <w:sz w:val="24"/>
          <w:szCs w:val="24"/>
          <w:lang w:val="x-none"/>
        </w:rPr>
        <w:t>ninsulated</w:t>
      </w:r>
      <w:proofErr w:type="spellEnd"/>
      <w:r w:rsidRPr="005C68A2">
        <w:rPr>
          <w:rFonts w:cstheme="minorHAnsi"/>
          <w:sz w:val="24"/>
          <w:szCs w:val="24"/>
          <w:lang w:val="x-none"/>
        </w:rPr>
        <w:t xml:space="preserve"> concrete slab</w:t>
      </w:r>
      <w:r w:rsidRPr="005C68A2">
        <w:rPr>
          <w:rFonts w:cstheme="minorHAnsi"/>
          <w:sz w:val="24"/>
          <w:szCs w:val="24"/>
        </w:rPr>
        <w:t>, although the flat in Block D is mainly at first floor.  These will be achieved through non-intrusive improvements including upgrading the existing windows; insultation via lining the inside of the walls (effectively insulated plasterboard) and insulating the loft.  Block D, like the rest of the development, will also has a new heating system powered by air source hear pump and electricity including PV.</w:t>
      </w:r>
    </w:p>
    <w:p w14:paraId="0D909EC3" w14:textId="77777777" w:rsidR="005C68A2" w:rsidRPr="005C68A2" w:rsidRDefault="005C68A2" w:rsidP="005C68A2">
      <w:pPr>
        <w:pStyle w:val="ListParagraph"/>
        <w:spacing w:before="240" w:after="0" w:line="360" w:lineRule="auto"/>
        <w:contextualSpacing w:val="0"/>
        <w:jc w:val="both"/>
        <w:rPr>
          <w:rFonts w:cstheme="minorHAnsi"/>
          <w:sz w:val="24"/>
          <w:szCs w:val="24"/>
        </w:rPr>
      </w:pPr>
    </w:p>
    <w:p w14:paraId="00274821" w14:textId="77777777" w:rsidR="005C68A2" w:rsidRPr="005C68A2" w:rsidRDefault="005C68A2" w:rsidP="005C68A2">
      <w:pPr>
        <w:pStyle w:val="ListParagraph"/>
        <w:spacing w:before="240" w:after="0" w:line="360" w:lineRule="auto"/>
        <w:contextualSpacing w:val="0"/>
        <w:rPr>
          <w:rFonts w:cstheme="minorHAnsi"/>
          <w:b/>
          <w:sz w:val="24"/>
          <w:szCs w:val="24"/>
        </w:rPr>
      </w:pPr>
      <w:r w:rsidRPr="005C68A2">
        <w:rPr>
          <w:rFonts w:cstheme="minorHAnsi"/>
          <w:b/>
          <w:sz w:val="24"/>
          <w:szCs w:val="24"/>
        </w:rPr>
        <w:t>23 February 2021</w:t>
      </w:r>
    </w:p>
    <w:p w14:paraId="7E06D0AF" w14:textId="77777777" w:rsidR="005C68A2" w:rsidRPr="005C68A2" w:rsidRDefault="005C68A2" w:rsidP="005C68A2">
      <w:pPr>
        <w:pStyle w:val="ListParagraph"/>
        <w:spacing w:before="240" w:after="0" w:line="360" w:lineRule="auto"/>
        <w:contextualSpacing w:val="0"/>
        <w:rPr>
          <w:rFonts w:cstheme="minorHAnsi"/>
          <w:color w:val="BFBFBF" w:themeColor="background1" w:themeShade="BF"/>
          <w:sz w:val="24"/>
          <w:szCs w:val="24"/>
        </w:rPr>
      </w:pPr>
      <w:r w:rsidRPr="005C68A2">
        <w:rPr>
          <w:rFonts w:cstheme="minorHAnsi"/>
          <w:b/>
          <w:color w:val="BFBFBF" w:themeColor="background1" w:themeShade="BF"/>
          <w:sz w:val="24"/>
          <w:szCs w:val="24"/>
        </w:rPr>
        <w:t>20100/NT20210223</w:t>
      </w:r>
    </w:p>
    <w:p w14:paraId="3ACE87CC" w14:textId="77777777" w:rsidR="008A18D1" w:rsidRPr="005C68A2" w:rsidRDefault="008A18D1" w:rsidP="005C68A2">
      <w:pPr>
        <w:spacing w:before="240" w:after="0" w:line="360" w:lineRule="auto"/>
        <w:rPr>
          <w:rFonts w:cstheme="minorHAnsi"/>
          <w:sz w:val="24"/>
          <w:szCs w:val="24"/>
        </w:rPr>
      </w:pPr>
    </w:p>
    <w:sectPr w:rsidR="008A18D1" w:rsidRPr="005C68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03E77E" w14:textId="77777777" w:rsidR="00A23247" w:rsidRDefault="00A23247" w:rsidP="009A2BEB">
      <w:pPr>
        <w:spacing w:after="0" w:line="240" w:lineRule="auto"/>
      </w:pPr>
      <w:r>
        <w:separator/>
      </w:r>
    </w:p>
  </w:endnote>
  <w:endnote w:type="continuationSeparator" w:id="0">
    <w:p w14:paraId="3BE2F15E" w14:textId="77777777" w:rsidR="00A23247" w:rsidRDefault="00A23247" w:rsidP="009A2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057AC" w14:textId="77777777" w:rsidR="00482236" w:rsidRDefault="004822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2174602"/>
      <w:docPartObj>
        <w:docPartGallery w:val="Page Numbers (Bottom of Page)"/>
        <w:docPartUnique/>
      </w:docPartObj>
    </w:sdtPr>
    <w:sdtEndPr>
      <w:rPr>
        <w:noProof/>
        <w:color w:val="BFBFBF" w:themeColor="background1" w:themeShade="BF"/>
        <w:sz w:val="24"/>
        <w:szCs w:val="24"/>
      </w:rPr>
    </w:sdtEndPr>
    <w:sdtContent>
      <w:p w14:paraId="1B799DD5" w14:textId="1B10ADA5" w:rsidR="008A18D1" w:rsidRPr="008A18D1" w:rsidRDefault="008A18D1">
        <w:pPr>
          <w:pStyle w:val="Footer"/>
          <w:jc w:val="center"/>
          <w:rPr>
            <w:color w:val="BFBFBF" w:themeColor="background1" w:themeShade="BF"/>
            <w:sz w:val="24"/>
            <w:szCs w:val="24"/>
          </w:rPr>
        </w:pPr>
        <w:r w:rsidRPr="008A18D1">
          <w:rPr>
            <w:color w:val="BFBFBF" w:themeColor="background1" w:themeShade="BF"/>
            <w:sz w:val="24"/>
            <w:szCs w:val="24"/>
          </w:rPr>
          <w:fldChar w:fldCharType="begin"/>
        </w:r>
        <w:r w:rsidRPr="008A18D1">
          <w:rPr>
            <w:color w:val="BFBFBF" w:themeColor="background1" w:themeShade="BF"/>
            <w:sz w:val="24"/>
            <w:szCs w:val="24"/>
          </w:rPr>
          <w:instrText xml:space="preserve"> PAGE   \* MERGEFORMAT </w:instrText>
        </w:r>
        <w:r w:rsidRPr="008A18D1">
          <w:rPr>
            <w:color w:val="BFBFBF" w:themeColor="background1" w:themeShade="BF"/>
            <w:sz w:val="24"/>
            <w:szCs w:val="24"/>
          </w:rPr>
          <w:fldChar w:fldCharType="separate"/>
        </w:r>
        <w:r w:rsidRPr="008A18D1">
          <w:rPr>
            <w:noProof/>
            <w:color w:val="BFBFBF" w:themeColor="background1" w:themeShade="BF"/>
            <w:sz w:val="24"/>
            <w:szCs w:val="24"/>
          </w:rPr>
          <w:t>2</w:t>
        </w:r>
        <w:r w:rsidRPr="008A18D1">
          <w:rPr>
            <w:noProof/>
            <w:color w:val="BFBFBF" w:themeColor="background1" w:themeShade="BF"/>
            <w:sz w:val="24"/>
            <w:szCs w:val="24"/>
          </w:rPr>
          <w:fldChar w:fldCharType="end"/>
        </w:r>
      </w:p>
    </w:sdtContent>
  </w:sdt>
  <w:p w14:paraId="47098506" w14:textId="77777777" w:rsidR="008A18D1" w:rsidRPr="008A18D1" w:rsidRDefault="008A18D1" w:rsidP="008A18D1">
    <w:pPr>
      <w:pStyle w:val="xmsonormal"/>
      <w:jc w:val="center"/>
      <w:rPr>
        <w:rFonts w:asciiTheme="minorHAnsi" w:hAnsiTheme="minorHAnsi" w:cstheme="minorHAnsi"/>
        <w:color w:val="A6A6A6" w:themeColor="background1" w:themeShade="A6"/>
        <w:sz w:val="10"/>
        <w:szCs w:val="10"/>
      </w:rPr>
    </w:pPr>
  </w:p>
  <w:p w14:paraId="5773753F" w14:textId="1B2A764F" w:rsidR="008A18D1" w:rsidRPr="00F42FAE" w:rsidRDefault="008A18D1" w:rsidP="008A18D1">
    <w:pPr>
      <w:pStyle w:val="xmsonormal"/>
      <w:jc w:val="center"/>
      <w:rPr>
        <w:rFonts w:eastAsia="Times New Roman" w:cstheme="minorHAnsi"/>
        <w:color w:val="A6A6A6" w:themeColor="background1" w:themeShade="A6"/>
        <w:sz w:val="20"/>
        <w:szCs w:val="16"/>
      </w:rPr>
    </w:pPr>
    <w:r w:rsidRPr="00F42FAE">
      <w:rPr>
        <w:rFonts w:asciiTheme="minorHAnsi" w:hAnsiTheme="minorHAnsi" w:cstheme="minorHAnsi"/>
        <w:color w:val="A6A6A6" w:themeColor="background1" w:themeShade="A6"/>
        <w:sz w:val="20"/>
        <w:szCs w:val="16"/>
      </w:rPr>
      <w:t>Shrimplin</w:t>
    </w:r>
    <w:bookmarkStart w:id="0" w:name="_Hlk21112954"/>
    <w:r w:rsidRPr="00F42FAE">
      <w:rPr>
        <w:rFonts w:asciiTheme="minorHAnsi" w:hAnsiTheme="minorHAnsi" w:cstheme="minorHAnsi"/>
        <w:color w:val="A6A6A6" w:themeColor="background1" w:themeShade="A6"/>
        <w:sz w:val="12"/>
        <w:szCs w:val="16"/>
      </w:rPr>
      <w:t xml:space="preserve"> </w:t>
    </w:r>
    <w:bookmarkEnd w:id="0"/>
    <w:r w:rsidRPr="00F42FAE">
      <w:rPr>
        <w:rFonts w:asciiTheme="minorHAnsi" w:hAnsiTheme="minorHAnsi" w:cstheme="minorHAnsi"/>
        <w:color w:val="A6A6A6" w:themeColor="background1" w:themeShade="A6"/>
        <w:sz w:val="20"/>
        <w:szCs w:val="16"/>
      </w:rPr>
      <w:t>Planning</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&amp;</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Development,</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Ground</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Floor,</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Building</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2,</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Guildford</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Business</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Park,</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Guildford,</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Surrey,</w:t>
    </w:r>
    <w:r w:rsidRPr="00F42FAE">
      <w:rPr>
        <w:rFonts w:asciiTheme="minorHAnsi" w:hAnsiTheme="minorHAnsi" w:cstheme="minorHAnsi"/>
        <w:color w:val="A6A6A6" w:themeColor="background1" w:themeShade="A6"/>
        <w:sz w:val="12"/>
        <w:szCs w:val="16"/>
      </w:rPr>
      <w:t xml:space="preserve"> </w:t>
    </w:r>
    <w:r w:rsidRPr="00F42FAE">
      <w:rPr>
        <w:rFonts w:asciiTheme="minorHAnsi" w:hAnsiTheme="minorHAnsi" w:cstheme="minorHAnsi"/>
        <w:color w:val="A6A6A6" w:themeColor="background1" w:themeShade="A6"/>
        <w:sz w:val="20"/>
        <w:szCs w:val="16"/>
      </w:rPr>
      <w:t>GU2 8XG</w:t>
    </w:r>
  </w:p>
  <w:p w14:paraId="77C5FC12" w14:textId="320CF07D" w:rsidR="009A2BEB" w:rsidRDefault="008A18D1" w:rsidP="00AB593B">
    <w:pPr>
      <w:widowControl w:val="0"/>
      <w:suppressAutoHyphens/>
      <w:spacing w:after="0" w:line="240" w:lineRule="auto"/>
      <w:jc w:val="center"/>
    </w:pPr>
    <w:r>
      <w:rPr>
        <w:rFonts w:cstheme="minorHAnsi"/>
        <w:b/>
        <w:noProof/>
        <w:sz w:val="24"/>
        <w:szCs w:val="24"/>
      </w:rPr>
      <mc:AlternateContent>
        <mc:Choice Requires="wps">
          <w:drawing>
            <wp:anchor distT="0" distB="0" distL="114300" distR="114300" simplePos="0" relativeHeight="251657216" behindDoc="0" locked="0" layoutInCell="1" allowOverlap="1" wp14:anchorId="721D5D8F" wp14:editId="64E5CB97">
              <wp:simplePos x="0" y="0"/>
              <wp:positionH relativeFrom="column">
                <wp:posOffset>-1066800</wp:posOffset>
              </wp:positionH>
              <wp:positionV relativeFrom="paragraph">
                <wp:posOffset>501650</wp:posOffset>
              </wp:positionV>
              <wp:extent cx="7791450" cy="0"/>
              <wp:effectExtent l="0" t="57150" r="57150" b="76200"/>
              <wp:wrapNone/>
              <wp:docPr id="3" name="Straight Connector 3"/>
              <wp:cNvGraphicFramePr/>
              <a:graphic xmlns:a="http://schemas.openxmlformats.org/drawingml/2006/main">
                <a:graphicData uri="http://schemas.microsoft.com/office/word/2010/wordprocessingShape">
                  <wps:wsp>
                    <wps:cNvCnPr/>
                    <wps:spPr>
                      <a:xfrm>
                        <a:off x="0" y="0"/>
                        <a:ext cx="7791450" cy="0"/>
                      </a:xfrm>
                      <a:prstGeom prst="line">
                        <a:avLst/>
                      </a:prstGeom>
                      <a:ln w="139700">
                        <a:solidFill>
                          <a:srgbClr val="0097D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7F6621"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pt,39.5pt" to="529.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" strokecolor="#0097db" strokeweight="11pt">
              <v:stroke joinstyle="miter"/>
            </v:line>
          </w:pict>
        </mc:Fallback>
      </mc:AlternateContent>
    </w:r>
    <w:r w:rsidRPr="00F42FAE">
      <w:rPr>
        <w:rFonts w:eastAsia="Times New Roman" w:cs="Calibri"/>
        <w:noProof/>
        <w:color w:val="A6A6A6" w:themeColor="background1" w:themeShade="A6"/>
        <w:sz w:val="20"/>
        <w:szCs w:val="16"/>
      </w:rPr>
      <w:t>01483 947 347</w:t>
    </w:r>
    <w:r w:rsidRPr="00F42FAE">
      <w:rPr>
        <w:noProof/>
        <w:color w:val="A6A6A6" w:themeColor="background1" w:themeShade="A6"/>
        <w:sz w:val="20"/>
        <w:szCs w:val="16"/>
      </w:rPr>
      <w:t xml:space="preserve"> | </w:t>
    </w:r>
    <w:r w:rsidRPr="00F42FAE">
      <w:rPr>
        <w:rFonts w:eastAsia="Times New Roman" w:cs="Calibri"/>
        <w:noProof/>
        <w:color w:val="A6A6A6" w:themeColor="background1" w:themeShade="A6"/>
        <w:sz w:val="20"/>
        <w:szCs w:val="16"/>
      </w:rPr>
      <w:t>robert.shrimplin@shrimplin.co.uk</w:t>
    </w:r>
    <w:r w:rsidRPr="00F42FAE">
      <w:rPr>
        <w:noProof/>
        <w:color w:val="A6A6A6" w:themeColor="background1" w:themeShade="A6"/>
        <w:sz w:val="20"/>
        <w:szCs w:val="16"/>
      </w:rPr>
      <w:t xml:space="preserve"> | </w:t>
    </w:r>
    <w:r w:rsidRPr="00F42FAE">
      <w:rPr>
        <w:rFonts w:cs="Calibri"/>
        <w:noProof/>
        <w:color w:val="A6A6A6" w:themeColor="background1" w:themeShade="A6"/>
        <w:sz w:val="20"/>
        <w:szCs w:val="16"/>
      </w:rPr>
      <w:t>www.shrimplin.co.uk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577E8C" w14:textId="77777777" w:rsidR="00482236" w:rsidRDefault="004822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B2DC7C" w14:textId="77777777" w:rsidR="00A23247" w:rsidRDefault="00A23247" w:rsidP="009A2BEB">
      <w:pPr>
        <w:spacing w:after="0" w:line="240" w:lineRule="auto"/>
      </w:pPr>
      <w:r>
        <w:separator/>
      </w:r>
    </w:p>
  </w:footnote>
  <w:footnote w:type="continuationSeparator" w:id="0">
    <w:p w14:paraId="1B68507A" w14:textId="77777777" w:rsidR="00A23247" w:rsidRDefault="00A23247" w:rsidP="009A2BEB">
      <w:pPr>
        <w:spacing w:after="0" w:line="240" w:lineRule="auto"/>
      </w:pPr>
      <w:r>
        <w:continuationSeparator/>
      </w:r>
    </w:p>
  </w:footnote>
  <w:footnote w:id="1">
    <w:p w14:paraId="6680BA57" w14:textId="77777777" w:rsidR="005C68A2" w:rsidRDefault="005C68A2" w:rsidP="005C68A2">
      <w:pPr>
        <w:spacing w:after="0" w:line="240" w:lineRule="auto"/>
        <w:jc w:val="both"/>
        <w:rPr>
          <w:rFonts w:cstheme="minorHAnsi"/>
        </w:rPr>
      </w:pPr>
      <w:r>
        <w:rPr>
          <w:rStyle w:val="FootnoteReference"/>
        </w:rPr>
        <w:footnoteRef/>
      </w:r>
      <w:r>
        <w:t xml:space="preserve"> </w:t>
      </w:r>
      <w:r w:rsidRPr="008C3B69">
        <w:rPr>
          <w:rFonts w:cstheme="minorHAnsi"/>
          <w:color w:val="000000"/>
          <w:lang w:val="en-US"/>
        </w:rPr>
        <w:t>The supporting text clarifies this different approach for residential and non-residential/conversions:</w:t>
      </w:r>
    </w:p>
    <w:p w14:paraId="73799210" w14:textId="77777777" w:rsidR="005C68A2" w:rsidRDefault="005C68A2" w:rsidP="005C68A2">
      <w:pPr>
        <w:spacing w:after="0" w:line="240" w:lineRule="auto"/>
        <w:ind w:left="720"/>
        <w:jc w:val="both"/>
        <w:rPr>
          <w:rFonts w:cstheme="minorHAnsi"/>
          <w:color w:val="000000"/>
          <w:lang w:val="en-US"/>
        </w:rPr>
      </w:pPr>
    </w:p>
    <w:p w14:paraId="19E576B0" w14:textId="77777777" w:rsidR="005C68A2" w:rsidRPr="008C3B69" w:rsidRDefault="005C68A2" w:rsidP="005C68A2">
      <w:pPr>
        <w:spacing w:after="0" w:line="240" w:lineRule="auto"/>
        <w:ind w:left="720"/>
        <w:jc w:val="both"/>
        <w:rPr>
          <w:rFonts w:cstheme="minorHAnsi"/>
        </w:rPr>
      </w:pPr>
      <w:r w:rsidRPr="008C3B69">
        <w:rPr>
          <w:rFonts w:cstheme="minorHAnsi"/>
          <w:color w:val="000000"/>
          <w:lang w:val="en-US"/>
        </w:rPr>
        <w:t>“</w:t>
      </w:r>
      <w:r w:rsidRPr="008C3B69">
        <w:rPr>
          <w:rFonts w:cstheme="minorHAnsi"/>
          <w:color w:val="000000"/>
          <w:lang w:val="x-none"/>
        </w:rPr>
        <w:t xml:space="preserve">The general principle of this policy in terms of new development applies to both residential and non-residential uses. </w:t>
      </w:r>
      <w:r w:rsidRPr="008C3B69">
        <w:rPr>
          <w:rFonts w:cstheme="minorHAnsi"/>
          <w:color w:val="000000"/>
          <w:lang w:val="en-US"/>
        </w:rPr>
        <w:t xml:space="preserve"> </w:t>
      </w:r>
      <w:r w:rsidRPr="008C3B69">
        <w:rPr>
          <w:rFonts w:cstheme="minorHAnsi"/>
          <w:color w:val="000000"/>
          <w:lang w:val="x-none"/>
        </w:rPr>
        <w:t>For non-residential uses (including non-C3 forms of accommodation) and for conversions to residential, this policy incorporates the use of BREEAM standards.</w:t>
      </w:r>
      <w:r w:rsidRPr="008C3B69">
        <w:rPr>
          <w:rFonts w:cstheme="minorHAnsi"/>
          <w:color w:val="000000"/>
          <w:lang w:val="en-US"/>
        </w:rPr>
        <w:t>” (paragraph 4.1.3)</w:t>
      </w:r>
      <w:r>
        <w:rPr>
          <w:rFonts w:cstheme="minorHAnsi"/>
          <w:color w:val="000000"/>
          <w:lang w:val="en-US"/>
        </w:rPr>
        <w:t>.</w:t>
      </w:r>
    </w:p>
  </w:footnote>
  <w:footnote w:id="2">
    <w:p w14:paraId="1306EF9E" w14:textId="77777777" w:rsidR="005C68A2" w:rsidRPr="00F539AF" w:rsidRDefault="005C68A2" w:rsidP="005C68A2">
      <w:pPr>
        <w:pStyle w:val="FootnoteText"/>
        <w:jc w:val="both"/>
        <w:rPr>
          <w:sz w:val="22"/>
          <w:szCs w:val="22"/>
          <w:lang w:val="en-US"/>
        </w:rPr>
      </w:pPr>
      <w:r w:rsidRPr="00F539AF">
        <w:rPr>
          <w:rStyle w:val="FootnoteReference"/>
          <w:sz w:val="22"/>
          <w:szCs w:val="22"/>
        </w:rPr>
        <w:footnoteRef/>
      </w:r>
      <w:r w:rsidRPr="00F539AF">
        <w:rPr>
          <w:sz w:val="22"/>
          <w:szCs w:val="22"/>
        </w:rPr>
        <w:t xml:space="preserve"> </w:t>
      </w:r>
      <w:r w:rsidRPr="00F539AF">
        <w:rPr>
          <w:rFonts w:cstheme="minorHAnsi"/>
          <w:sz w:val="22"/>
          <w:szCs w:val="22"/>
        </w:rPr>
        <w:t xml:space="preserve">Achieving the relevant BREEAM standard, which would be the BREEAM Domestic Refurbishment Standard, would </w:t>
      </w:r>
      <w:r>
        <w:rPr>
          <w:rFonts w:cstheme="minorHAnsi"/>
          <w:sz w:val="22"/>
          <w:szCs w:val="22"/>
        </w:rPr>
        <w:t>similarly</w:t>
      </w:r>
      <w:r w:rsidRPr="00F539AF">
        <w:rPr>
          <w:rFonts w:cstheme="minorHAnsi"/>
          <w:sz w:val="22"/>
          <w:szCs w:val="22"/>
        </w:rPr>
        <w:t xml:space="preserve"> come down to comparing the existing and proposed situation to demonstrate an improvement</w:t>
      </w:r>
      <w:r>
        <w:rPr>
          <w:rFonts w:cstheme="minorHAnsi"/>
          <w:sz w:val="22"/>
          <w:szCs w:val="22"/>
        </w:rPr>
        <w:t>.  V</w:t>
      </w:r>
      <w:r w:rsidRPr="00F539AF">
        <w:rPr>
          <w:rFonts w:cstheme="minorHAnsi"/>
          <w:sz w:val="22"/>
          <w:szCs w:val="22"/>
        </w:rPr>
        <w:t xml:space="preserve">arious credits can be “purchased” through commissioning </w:t>
      </w:r>
      <w:proofErr w:type="gramStart"/>
      <w:r w:rsidRPr="00F539AF">
        <w:rPr>
          <w:rFonts w:cstheme="minorHAnsi"/>
          <w:sz w:val="22"/>
          <w:szCs w:val="22"/>
        </w:rPr>
        <w:t>reports</w:t>
      </w:r>
      <w:proofErr w:type="gramEnd"/>
      <w:r w:rsidRPr="00F539AF">
        <w:rPr>
          <w:rFonts w:cstheme="minorHAnsi"/>
          <w:sz w:val="22"/>
          <w:szCs w:val="22"/>
        </w:rPr>
        <w:t xml:space="preserve"> but these would not drive improvements in the building.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61362" w14:textId="77777777" w:rsidR="00482236" w:rsidRDefault="004822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63E80" w14:textId="3ED861F7" w:rsidR="00AA476B" w:rsidRPr="00482236" w:rsidRDefault="00AB593B" w:rsidP="00C62155">
    <w:pPr>
      <w:pStyle w:val="Header"/>
      <w:jc w:val="right"/>
      <w:rPr>
        <w:b/>
        <w:sz w:val="20"/>
        <w:szCs w:val="20"/>
      </w:rPr>
    </w:pPr>
    <w:r>
      <w:rPr>
        <w:noProof/>
      </w:rPr>
      <w:drawing>
        <wp:inline distT="0" distB="0" distL="0" distR="0" wp14:anchorId="14AB0546" wp14:editId="7FF61DED">
          <wp:extent cx="1524000" cy="5270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27050"/>
                  </a:xfrm>
                  <a:prstGeom prst="rect">
                    <a:avLst/>
                  </a:prstGeom>
                  <a:noFill/>
                  <a:ln>
                    <a:noFill/>
                  </a:ln>
                </pic:spPr>
              </pic:pic>
            </a:graphicData>
          </a:graphic>
        </wp:inline>
      </w:drawing>
    </w:r>
  </w:p>
  <w:p w14:paraId="32EAD942" w14:textId="77777777" w:rsidR="00AB593B" w:rsidRPr="00482236" w:rsidRDefault="00AB593B" w:rsidP="00C62155">
    <w:pPr>
      <w:pStyle w:val="Header"/>
      <w:jc w:val="right"/>
      <w:rPr>
        <w:b/>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0AC93" w14:textId="77777777" w:rsidR="00482236" w:rsidRDefault="004822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62D4A"/>
    <w:multiLevelType w:val="hybridMultilevel"/>
    <w:tmpl w:val="4CF252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B5EDB"/>
    <w:multiLevelType w:val="hybridMultilevel"/>
    <w:tmpl w:val="ED9AD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9428D"/>
    <w:multiLevelType w:val="hybridMultilevel"/>
    <w:tmpl w:val="B436F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24582F"/>
    <w:multiLevelType w:val="hybridMultilevel"/>
    <w:tmpl w:val="6894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973764"/>
    <w:multiLevelType w:val="hybridMultilevel"/>
    <w:tmpl w:val="74B264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9F5D97"/>
    <w:multiLevelType w:val="hybridMultilevel"/>
    <w:tmpl w:val="6358A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92DBA"/>
    <w:multiLevelType w:val="hybridMultilevel"/>
    <w:tmpl w:val="F9B675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81302F"/>
    <w:multiLevelType w:val="hybridMultilevel"/>
    <w:tmpl w:val="79C4F4F0"/>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36297A9A"/>
    <w:multiLevelType w:val="hybridMultilevel"/>
    <w:tmpl w:val="8708B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FD3440"/>
    <w:multiLevelType w:val="hybridMultilevel"/>
    <w:tmpl w:val="932A4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D5653D"/>
    <w:multiLevelType w:val="hybridMultilevel"/>
    <w:tmpl w:val="72AA602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122944"/>
    <w:multiLevelType w:val="hybridMultilevel"/>
    <w:tmpl w:val="B218E1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19">
      <w:start w:val="1"/>
      <w:numFmt w:val="lowerLetter"/>
      <w:lvlText w:val="%3."/>
      <w:lvlJc w:val="left"/>
      <w:pPr>
        <w:ind w:left="2160" w:hanging="360"/>
      </w:pPr>
      <w:rPr>
        <w:rFont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7936E2"/>
    <w:multiLevelType w:val="hybridMultilevel"/>
    <w:tmpl w:val="72AA602E"/>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66777C6"/>
    <w:multiLevelType w:val="hybridMultilevel"/>
    <w:tmpl w:val="8CF4D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EC4CEB"/>
    <w:multiLevelType w:val="hybridMultilevel"/>
    <w:tmpl w:val="78BAE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541632"/>
    <w:multiLevelType w:val="multilevel"/>
    <w:tmpl w:val="5B2C1622"/>
    <w:lvl w:ilvl="0">
      <w:start w:val="1"/>
      <w:numFmt w:val="decimal"/>
      <w:lvlText w:val="%1.0"/>
      <w:lvlJc w:val="left"/>
      <w:pPr>
        <w:ind w:left="375" w:hanging="375"/>
      </w:pPr>
      <w:rPr>
        <w:rFonts w:hint="default"/>
      </w:rPr>
    </w:lvl>
    <w:lvl w:ilvl="1">
      <w:start w:val="1"/>
      <w:numFmt w:val="decimal"/>
      <w:lvlText w:val="%1.%2"/>
      <w:lvlJc w:val="left"/>
      <w:pPr>
        <w:ind w:left="9306"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A2B341E"/>
    <w:multiLevelType w:val="hybridMultilevel"/>
    <w:tmpl w:val="58BA2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697AE0"/>
    <w:multiLevelType w:val="hybridMultilevel"/>
    <w:tmpl w:val="5BDA1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91509F"/>
    <w:multiLevelType w:val="hybridMultilevel"/>
    <w:tmpl w:val="46EE8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E475AA"/>
    <w:multiLevelType w:val="hybridMultilevel"/>
    <w:tmpl w:val="53BEF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377E41"/>
    <w:multiLevelType w:val="hybridMultilevel"/>
    <w:tmpl w:val="8DD83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2A3BA6"/>
    <w:multiLevelType w:val="hybridMultilevel"/>
    <w:tmpl w:val="258A7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1"/>
  </w:num>
  <w:num w:numId="4">
    <w:abstractNumId w:val="16"/>
  </w:num>
  <w:num w:numId="5">
    <w:abstractNumId w:val="13"/>
  </w:num>
  <w:num w:numId="6">
    <w:abstractNumId w:val="19"/>
  </w:num>
  <w:num w:numId="7">
    <w:abstractNumId w:val="3"/>
  </w:num>
  <w:num w:numId="8">
    <w:abstractNumId w:val="20"/>
  </w:num>
  <w:num w:numId="9">
    <w:abstractNumId w:val="21"/>
  </w:num>
  <w:num w:numId="10">
    <w:abstractNumId w:val="0"/>
  </w:num>
  <w:num w:numId="11">
    <w:abstractNumId w:val="9"/>
  </w:num>
  <w:num w:numId="12">
    <w:abstractNumId w:val="6"/>
  </w:num>
  <w:num w:numId="13">
    <w:abstractNumId w:val="5"/>
  </w:num>
  <w:num w:numId="14">
    <w:abstractNumId w:val="4"/>
  </w:num>
  <w:num w:numId="15">
    <w:abstractNumId w:val="11"/>
  </w:num>
  <w:num w:numId="16">
    <w:abstractNumId w:val="12"/>
  </w:num>
  <w:num w:numId="17">
    <w:abstractNumId w:val="10"/>
  </w:num>
  <w:num w:numId="18">
    <w:abstractNumId w:val="18"/>
  </w:num>
  <w:num w:numId="19">
    <w:abstractNumId w:val="15"/>
  </w:num>
  <w:num w:numId="20">
    <w:abstractNumId w:val="7"/>
  </w:num>
  <w:num w:numId="21">
    <w:abstractNumId w:val="14"/>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0D5"/>
    <w:rsid w:val="00002691"/>
    <w:rsid w:val="00014F27"/>
    <w:rsid w:val="000325C2"/>
    <w:rsid w:val="00063BA5"/>
    <w:rsid w:val="000800D5"/>
    <w:rsid w:val="00082008"/>
    <w:rsid w:val="000B07FC"/>
    <w:rsid w:val="0010622A"/>
    <w:rsid w:val="001114AC"/>
    <w:rsid w:val="00120904"/>
    <w:rsid w:val="00132FFA"/>
    <w:rsid w:val="0016450D"/>
    <w:rsid w:val="00175CE0"/>
    <w:rsid w:val="001903C4"/>
    <w:rsid w:val="001B0DDE"/>
    <w:rsid w:val="00213C63"/>
    <w:rsid w:val="00220774"/>
    <w:rsid w:val="0022344A"/>
    <w:rsid w:val="00230BBD"/>
    <w:rsid w:val="00237BFC"/>
    <w:rsid w:val="00244151"/>
    <w:rsid w:val="00250922"/>
    <w:rsid w:val="0025124D"/>
    <w:rsid w:val="0026008C"/>
    <w:rsid w:val="0028069A"/>
    <w:rsid w:val="00292AB5"/>
    <w:rsid w:val="002B751C"/>
    <w:rsid w:val="002C0CA0"/>
    <w:rsid w:val="002C4919"/>
    <w:rsid w:val="002C6835"/>
    <w:rsid w:val="0033743B"/>
    <w:rsid w:val="00341960"/>
    <w:rsid w:val="003455CB"/>
    <w:rsid w:val="0037585A"/>
    <w:rsid w:val="0038247C"/>
    <w:rsid w:val="00394FC8"/>
    <w:rsid w:val="003D083E"/>
    <w:rsid w:val="003D33FC"/>
    <w:rsid w:val="003E2FE6"/>
    <w:rsid w:val="003F4EF3"/>
    <w:rsid w:val="00405445"/>
    <w:rsid w:val="004360CF"/>
    <w:rsid w:val="0045081E"/>
    <w:rsid w:val="00457694"/>
    <w:rsid w:val="00462531"/>
    <w:rsid w:val="00464A7B"/>
    <w:rsid w:val="004760DE"/>
    <w:rsid w:val="0048162E"/>
    <w:rsid w:val="00482236"/>
    <w:rsid w:val="00485024"/>
    <w:rsid w:val="004E0D3E"/>
    <w:rsid w:val="004E2BC7"/>
    <w:rsid w:val="005325F2"/>
    <w:rsid w:val="005577B4"/>
    <w:rsid w:val="00565C8C"/>
    <w:rsid w:val="005679B4"/>
    <w:rsid w:val="005915C0"/>
    <w:rsid w:val="005B38EF"/>
    <w:rsid w:val="005C68A2"/>
    <w:rsid w:val="005E2236"/>
    <w:rsid w:val="005E4750"/>
    <w:rsid w:val="005F73E2"/>
    <w:rsid w:val="0060488C"/>
    <w:rsid w:val="00610EB1"/>
    <w:rsid w:val="00624B1C"/>
    <w:rsid w:val="006516E4"/>
    <w:rsid w:val="00696B06"/>
    <w:rsid w:val="006C297F"/>
    <w:rsid w:val="006C34EA"/>
    <w:rsid w:val="00736078"/>
    <w:rsid w:val="00762A3C"/>
    <w:rsid w:val="00785A5C"/>
    <w:rsid w:val="007941CD"/>
    <w:rsid w:val="007B1184"/>
    <w:rsid w:val="007C1A71"/>
    <w:rsid w:val="007C2BEC"/>
    <w:rsid w:val="00803F52"/>
    <w:rsid w:val="00804DD5"/>
    <w:rsid w:val="00813B74"/>
    <w:rsid w:val="00814EAC"/>
    <w:rsid w:val="008A18D1"/>
    <w:rsid w:val="00952AC2"/>
    <w:rsid w:val="0095497E"/>
    <w:rsid w:val="00971BD8"/>
    <w:rsid w:val="009A2BEB"/>
    <w:rsid w:val="009B40D1"/>
    <w:rsid w:val="009E123B"/>
    <w:rsid w:val="00A23247"/>
    <w:rsid w:val="00A60ABF"/>
    <w:rsid w:val="00A63BBB"/>
    <w:rsid w:val="00A92FF4"/>
    <w:rsid w:val="00AA476B"/>
    <w:rsid w:val="00AA7678"/>
    <w:rsid w:val="00AB1A2F"/>
    <w:rsid w:val="00AB1DA6"/>
    <w:rsid w:val="00AB593B"/>
    <w:rsid w:val="00AB59DF"/>
    <w:rsid w:val="00AD181F"/>
    <w:rsid w:val="00AD69AF"/>
    <w:rsid w:val="00B22238"/>
    <w:rsid w:val="00B23A3D"/>
    <w:rsid w:val="00B30FEF"/>
    <w:rsid w:val="00B34AAF"/>
    <w:rsid w:val="00B65994"/>
    <w:rsid w:val="00B672F6"/>
    <w:rsid w:val="00B93144"/>
    <w:rsid w:val="00BA08BE"/>
    <w:rsid w:val="00BA20B3"/>
    <w:rsid w:val="00BB32A6"/>
    <w:rsid w:val="00BB50EC"/>
    <w:rsid w:val="00BF28F6"/>
    <w:rsid w:val="00BF296F"/>
    <w:rsid w:val="00BF709C"/>
    <w:rsid w:val="00C031D9"/>
    <w:rsid w:val="00C414F7"/>
    <w:rsid w:val="00C41DF5"/>
    <w:rsid w:val="00C557A1"/>
    <w:rsid w:val="00C55C85"/>
    <w:rsid w:val="00C56952"/>
    <w:rsid w:val="00C62155"/>
    <w:rsid w:val="00C7174D"/>
    <w:rsid w:val="00C74B4F"/>
    <w:rsid w:val="00C94B79"/>
    <w:rsid w:val="00C94F0F"/>
    <w:rsid w:val="00CB30A6"/>
    <w:rsid w:val="00CD0A90"/>
    <w:rsid w:val="00CD7D2F"/>
    <w:rsid w:val="00D02343"/>
    <w:rsid w:val="00D0296C"/>
    <w:rsid w:val="00D1494D"/>
    <w:rsid w:val="00D158C9"/>
    <w:rsid w:val="00D32952"/>
    <w:rsid w:val="00D63DB3"/>
    <w:rsid w:val="00D6647E"/>
    <w:rsid w:val="00D706A2"/>
    <w:rsid w:val="00D9251F"/>
    <w:rsid w:val="00D953C4"/>
    <w:rsid w:val="00DB2ED2"/>
    <w:rsid w:val="00DD0481"/>
    <w:rsid w:val="00DE43C7"/>
    <w:rsid w:val="00E03E21"/>
    <w:rsid w:val="00E3006B"/>
    <w:rsid w:val="00E33F3E"/>
    <w:rsid w:val="00E3654D"/>
    <w:rsid w:val="00E37C49"/>
    <w:rsid w:val="00E4593C"/>
    <w:rsid w:val="00E5188A"/>
    <w:rsid w:val="00E57E46"/>
    <w:rsid w:val="00E95063"/>
    <w:rsid w:val="00EA27B0"/>
    <w:rsid w:val="00EA4BBF"/>
    <w:rsid w:val="00EE2F9D"/>
    <w:rsid w:val="00F90689"/>
    <w:rsid w:val="00FB7C79"/>
    <w:rsid w:val="00FD7EA7"/>
    <w:rsid w:val="00FE6CDF"/>
    <w:rsid w:val="00FE7FE9"/>
    <w:rsid w:val="00FF5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EE9878"/>
  <w15:chartTrackingRefBased/>
  <w15:docId w15:val="{192CC42A-CA6C-4B04-8B4C-6153A50A5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8B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B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2BEB"/>
  </w:style>
  <w:style w:type="paragraph" w:styleId="Footer">
    <w:name w:val="footer"/>
    <w:basedOn w:val="Normal"/>
    <w:link w:val="FooterChar"/>
    <w:uiPriority w:val="99"/>
    <w:unhideWhenUsed/>
    <w:rsid w:val="009A2B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2BEB"/>
  </w:style>
  <w:style w:type="paragraph" w:styleId="NoSpacing">
    <w:name w:val="No Spacing"/>
    <w:uiPriority w:val="1"/>
    <w:qFormat/>
    <w:rsid w:val="009A2BEB"/>
    <w:pPr>
      <w:spacing w:after="0" w:line="240" w:lineRule="auto"/>
    </w:pPr>
  </w:style>
  <w:style w:type="table" w:styleId="TableGrid">
    <w:name w:val="Table Grid"/>
    <w:basedOn w:val="TableNormal"/>
    <w:uiPriority w:val="59"/>
    <w:rsid w:val="00BA0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621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2155"/>
    <w:rPr>
      <w:sz w:val="20"/>
      <w:szCs w:val="20"/>
    </w:rPr>
  </w:style>
  <w:style w:type="character" w:styleId="FootnoteReference">
    <w:name w:val="footnote reference"/>
    <w:basedOn w:val="DefaultParagraphFont"/>
    <w:uiPriority w:val="99"/>
    <w:semiHidden/>
    <w:unhideWhenUsed/>
    <w:rsid w:val="00C62155"/>
    <w:rPr>
      <w:vertAlign w:val="superscript"/>
    </w:rPr>
  </w:style>
  <w:style w:type="paragraph" w:styleId="ListParagraph">
    <w:name w:val="List Paragraph"/>
    <w:basedOn w:val="Normal"/>
    <w:uiPriority w:val="34"/>
    <w:qFormat/>
    <w:rsid w:val="005679B4"/>
    <w:pPr>
      <w:ind w:left="720"/>
      <w:contextualSpacing/>
    </w:pPr>
  </w:style>
  <w:style w:type="paragraph" w:customStyle="1" w:styleId="xmsonormal">
    <w:name w:val="x_msonormal"/>
    <w:basedOn w:val="Normal"/>
    <w:rsid w:val="00AB593B"/>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002088">
      <w:bodyDiv w:val="1"/>
      <w:marLeft w:val="0"/>
      <w:marRight w:val="0"/>
      <w:marTop w:val="0"/>
      <w:marBottom w:val="0"/>
      <w:divBdr>
        <w:top w:val="none" w:sz="0" w:space="0" w:color="auto"/>
        <w:left w:val="none" w:sz="0" w:space="0" w:color="auto"/>
        <w:bottom w:val="none" w:sz="0" w:space="0" w:color="auto"/>
        <w:right w:val="none" w:sz="0" w:space="0" w:color="auto"/>
      </w:divBdr>
    </w:div>
    <w:div w:id="1084843445">
      <w:bodyDiv w:val="1"/>
      <w:marLeft w:val="0"/>
      <w:marRight w:val="0"/>
      <w:marTop w:val="0"/>
      <w:marBottom w:val="0"/>
      <w:divBdr>
        <w:top w:val="none" w:sz="0" w:space="0" w:color="auto"/>
        <w:left w:val="none" w:sz="0" w:space="0" w:color="auto"/>
        <w:bottom w:val="none" w:sz="0" w:space="0" w:color="auto"/>
        <w:right w:val="none" w:sz="0" w:space="0" w:color="auto"/>
      </w:divBdr>
    </w:div>
    <w:div w:id="200500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AC2B3-C62E-4E58-93B3-650FED401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Kingdom</dc:creator>
  <cp:keywords/>
  <dc:description/>
  <cp:lastModifiedBy>Robert Shrimplin</cp:lastModifiedBy>
  <cp:revision>14</cp:revision>
  <cp:lastPrinted>2019-11-14T09:34:00Z</cp:lastPrinted>
  <dcterms:created xsi:type="dcterms:W3CDTF">2019-10-11T09:45:00Z</dcterms:created>
  <dcterms:modified xsi:type="dcterms:W3CDTF">2021-02-23T10:05:00Z</dcterms:modified>
</cp:coreProperties>
</file>