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5D3" w:rsidRPr="000E55D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0E55D3">
        <w:rPr>
          <w:rFonts w:ascii="Trebuchet MS" w:hAnsi="Trebuchet MS"/>
          <w:b/>
          <w:sz w:val="24"/>
          <w:szCs w:val="24"/>
          <w:u w:val="single"/>
        </w:rPr>
        <w:t>Delegated Application Report</w:t>
      </w:r>
      <w:r w:rsidRPr="000E55D3">
        <w:rPr>
          <w:rFonts w:ascii="Trebuchet MS" w:hAnsi="Trebuchet MS"/>
          <w:sz w:val="24"/>
          <w:szCs w:val="24"/>
        </w:rPr>
        <w:t xml:space="preserve"> </w:t>
      </w:r>
      <w:r w:rsidRPr="000E55D3">
        <w:rPr>
          <w:rFonts w:ascii="Trebuchet MS" w:hAnsi="Trebuchet MS"/>
          <w:sz w:val="24"/>
          <w:szCs w:val="24"/>
        </w:rPr>
        <w:tab/>
      </w:r>
      <w:r w:rsidRPr="000E55D3">
        <w:rPr>
          <w:rFonts w:ascii="Trebuchet MS" w:hAnsi="Trebuchet MS"/>
          <w:sz w:val="24"/>
          <w:szCs w:val="24"/>
        </w:rPr>
        <w:tab/>
      </w:r>
      <w:r w:rsidRPr="000E55D3">
        <w:rPr>
          <w:rFonts w:ascii="Trebuchet MS" w:hAnsi="Trebuchet MS"/>
          <w:sz w:val="24"/>
          <w:szCs w:val="24"/>
        </w:rPr>
        <w:tab/>
      </w:r>
      <w:r w:rsidRPr="000E55D3">
        <w:rPr>
          <w:rFonts w:ascii="Trebuchet MS" w:hAnsi="Trebuchet MS"/>
          <w:sz w:val="24"/>
          <w:szCs w:val="24"/>
        </w:rPr>
        <w:tab/>
        <w:t xml:space="preserve">          </w:t>
      </w:r>
      <w:r w:rsidRPr="000E55D3">
        <w:rPr>
          <w:rFonts w:ascii="Trebuchet MS" w:hAnsi="Trebuchet MS"/>
          <w:b/>
          <w:sz w:val="24"/>
          <w:szCs w:val="24"/>
        </w:rPr>
        <w:t>Target Date:</w:t>
      </w:r>
      <w:r w:rsidRPr="000E55D3">
        <w:rPr>
          <w:rFonts w:ascii="Trebuchet MS" w:hAnsi="Trebuchet MS"/>
          <w:sz w:val="24"/>
          <w:szCs w:val="24"/>
        </w:rPr>
        <w:t xml:space="preserve"> 30/06/21</w:t>
      </w:r>
    </w:p>
    <w:p w:rsidR="000E55D3" w:rsidRPr="000E55D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0E55D3">
        <w:rPr>
          <w:rFonts w:ascii="Trebuchet MS" w:hAnsi="Trebuchet MS"/>
          <w:b/>
          <w:sz w:val="24"/>
          <w:szCs w:val="24"/>
        </w:rPr>
        <w:t xml:space="preserve">Address: </w:t>
      </w:r>
      <w:r w:rsidRPr="000E55D3">
        <w:rPr>
          <w:rFonts w:ascii="Trebuchet MS" w:hAnsi="Trebuchet MS"/>
          <w:bCs/>
          <w:sz w:val="24"/>
          <w:szCs w:val="24"/>
        </w:rPr>
        <w:t>7 Orwell Close, Reading, RG4 7PU</w:t>
      </w:r>
    </w:p>
    <w:p w:rsidR="000E55D3" w:rsidRPr="000E55D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0E55D3">
        <w:rPr>
          <w:rFonts w:ascii="Trebuchet MS" w:hAnsi="Trebuchet MS"/>
          <w:b/>
          <w:sz w:val="24"/>
          <w:szCs w:val="24"/>
        </w:rPr>
        <w:t xml:space="preserve">Application No: </w:t>
      </w:r>
      <w:r w:rsidRPr="000E55D3">
        <w:rPr>
          <w:rFonts w:ascii="Trebuchet MS" w:hAnsi="Trebuchet MS"/>
          <w:sz w:val="24"/>
          <w:szCs w:val="24"/>
          <w:lang w:val="en-US"/>
        </w:rPr>
        <w:t xml:space="preserve">210701 / </w:t>
      </w:r>
      <w:r w:rsidRPr="000E55D3">
        <w:rPr>
          <w:rFonts w:ascii="Trebuchet MS" w:hAnsi="Trebuchet MS"/>
          <w:bCs/>
          <w:sz w:val="24"/>
          <w:szCs w:val="24"/>
        </w:rPr>
        <w:t xml:space="preserve">CLP  </w:t>
      </w:r>
      <w:r w:rsidRPr="000E55D3">
        <w:rPr>
          <w:rFonts w:ascii="Trebuchet MS" w:hAnsi="Trebuchet MS"/>
          <w:sz w:val="24"/>
          <w:szCs w:val="24"/>
          <w:lang w:val="en-US"/>
        </w:rPr>
        <w:t xml:space="preserve">   </w:t>
      </w:r>
    </w:p>
    <w:p w:rsidR="000E55D3" w:rsidRPr="000E55D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0E55D3">
        <w:rPr>
          <w:rFonts w:ascii="Trebuchet MS" w:hAnsi="Trebuchet MS"/>
          <w:b/>
          <w:sz w:val="24"/>
          <w:szCs w:val="24"/>
        </w:rPr>
        <w:t xml:space="preserve">Proposal: </w:t>
      </w:r>
      <w:r w:rsidRPr="000E55D3">
        <w:rPr>
          <w:rFonts w:ascii="Trebuchet MS" w:hAnsi="Trebuchet MS"/>
          <w:sz w:val="24"/>
          <w:szCs w:val="24"/>
        </w:rPr>
        <w:t>Single storey rear extension to create a larger Kitchen/dining area</w:t>
      </w:r>
    </w:p>
    <w:p w:rsidR="000E55D3" w:rsidRPr="000E55D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0E55D3">
        <w:rPr>
          <w:rFonts w:ascii="Trebuchet MS" w:hAnsi="Trebuchet MS"/>
          <w:b/>
          <w:sz w:val="24"/>
          <w:szCs w:val="24"/>
        </w:rPr>
        <w:t>Case Officer:</w:t>
      </w:r>
      <w:r w:rsidRPr="000E55D3">
        <w:rPr>
          <w:rFonts w:ascii="Trebuchet MS" w:hAnsi="Trebuchet MS"/>
          <w:sz w:val="24"/>
          <w:szCs w:val="24"/>
        </w:rPr>
        <w:t xml:space="preserve"> Beatrice Malama</w:t>
      </w:r>
    </w:p>
    <w:p w:rsidR="000E55D3" w:rsidRPr="000E55D3" w:rsidRDefault="000E55D3" w:rsidP="000E55D3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0E55D3">
        <w:rPr>
          <w:rFonts w:ascii="Trebuchet MS" w:hAnsi="Trebuchet MS"/>
          <w:b/>
          <w:sz w:val="24"/>
          <w:szCs w:val="24"/>
        </w:rPr>
        <w:t>Introduction and Proposal</w:t>
      </w:r>
    </w:p>
    <w:p w:rsidR="000E55D3" w:rsidRPr="000E55D3" w:rsidRDefault="000E55D3" w:rsidP="000E55D3">
      <w:pPr>
        <w:spacing w:line="240" w:lineRule="auto"/>
        <w:jc w:val="both"/>
        <w:rPr>
          <w:rFonts w:ascii="Trebuchet MS" w:hAnsi="Trebuchet MS"/>
          <w:color w:val="FF0000"/>
          <w:sz w:val="24"/>
          <w:szCs w:val="24"/>
        </w:rPr>
      </w:pPr>
      <w:r w:rsidRPr="00980928">
        <w:rPr>
          <w:rFonts w:ascii="Trebuchet MS" w:hAnsi="Trebuchet MS"/>
          <w:sz w:val="24"/>
          <w:szCs w:val="24"/>
        </w:rPr>
        <w:t xml:space="preserve">The application site is a </w:t>
      </w:r>
      <w:proofErr w:type="gramStart"/>
      <w:r w:rsidRPr="00980928">
        <w:rPr>
          <w:rFonts w:ascii="Trebuchet MS" w:hAnsi="Trebuchet MS"/>
          <w:sz w:val="24"/>
          <w:szCs w:val="24"/>
        </w:rPr>
        <w:t>two storey</w:t>
      </w:r>
      <w:proofErr w:type="gramEnd"/>
      <w:r w:rsidRPr="00980928">
        <w:rPr>
          <w:rFonts w:ascii="Trebuchet MS" w:hAnsi="Trebuchet MS"/>
          <w:sz w:val="24"/>
          <w:szCs w:val="24"/>
        </w:rPr>
        <w:t xml:space="preserve"> detached house located in a predominantly residential area. The area </w:t>
      </w:r>
      <w:r w:rsidR="00B5569C" w:rsidRPr="00980928">
        <w:rPr>
          <w:rFonts w:ascii="Trebuchet MS" w:hAnsi="Trebuchet MS"/>
          <w:sz w:val="24"/>
          <w:szCs w:val="24"/>
        </w:rPr>
        <w:t xml:space="preserve">is characterised by </w:t>
      </w:r>
      <w:r w:rsidR="00980928" w:rsidRPr="00980928">
        <w:rPr>
          <w:rFonts w:ascii="Trebuchet MS" w:hAnsi="Trebuchet MS"/>
          <w:sz w:val="24"/>
          <w:szCs w:val="24"/>
        </w:rPr>
        <w:t xml:space="preserve">two story detached houses of similar </w:t>
      </w:r>
      <w:r w:rsidRPr="00980928">
        <w:rPr>
          <w:rFonts w:ascii="Trebuchet MS" w:hAnsi="Trebuchet MS"/>
          <w:sz w:val="24"/>
          <w:szCs w:val="24"/>
        </w:rPr>
        <w:t>design</w:t>
      </w:r>
      <w:r w:rsidR="00980928" w:rsidRPr="00980928">
        <w:rPr>
          <w:rFonts w:ascii="Trebuchet MS" w:hAnsi="Trebuchet MS"/>
          <w:sz w:val="24"/>
          <w:szCs w:val="24"/>
        </w:rPr>
        <w:t>, style and age</w:t>
      </w:r>
      <w:r w:rsidRPr="00980928">
        <w:rPr>
          <w:rFonts w:ascii="Trebuchet MS" w:hAnsi="Trebuchet MS"/>
          <w:sz w:val="24"/>
          <w:szCs w:val="24"/>
        </w:rPr>
        <w:t xml:space="preserve">. </w:t>
      </w:r>
      <w:r w:rsidR="00980928">
        <w:rPr>
          <w:rFonts w:ascii="Trebuchet MS" w:hAnsi="Trebuchet MS"/>
          <w:sz w:val="24"/>
          <w:szCs w:val="24"/>
        </w:rPr>
        <w:t xml:space="preserve">A view of the site using google </w:t>
      </w:r>
      <w:proofErr w:type="spellStart"/>
      <w:r w:rsidR="00980928">
        <w:rPr>
          <w:rFonts w:ascii="Trebuchet MS" w:hAnsi="Trebuchet MS"/>
          <w:sz w:val="24"/>
          <w:szCs w:val="24"/>
        </w:rPr>
        <w:t>arial</w:t>
      </w:r>
      <w:proofErr w:type="spellEnd"/>
      <w:r w:rsidR="00980928">
        <w:rPr>
          <w:rFonts w:ascii="Trebuchet MS" w:hAnsi="Trebuchet MS"/>
          <w:sz w:val="24"/>
          <w:szCs w:val="24"/>
        </w:rPr>
        <w:t xml:space="preserve"> photos shows that </w:t>
      </w:r>
      <w:r w:rsidRPr="00980928">
        <w:rPr>
          <w:rFonts w:ascii="Trebuchet MS" w:hAnsi="Trebuchet MS"/>
          <w:sz w:val="24"/>
          <w:szCs w:val="24"/>
        </w:rPr>
        <w:t xml:space="preserve">the application site and the neighbouring properties have large front and back gardens. The </w:t>
      </w:r>
      <w:r w:rsidR="00980928" w:rsidRPr="00980928">
        <w:rPr>
          <w:rFonts w:ascii="Trebuchet MS" w:hAnsi="Trebuchet MS"/>
          <w:sz w:val="24"/>
          <w:szCs w:val="24"/>
        </w:rPr>
        <w:t xml:space="preserve">property is </w:t>
      </w:r>
      <w:r w:rsidRPr="00980928">
        <w:rPr>
          <w:rFonts w:ascii="Trebuchet MS" w:hAnsi="Trebuchet MS"/>
          <w:sz w:val="24"/>
          <w:szCs w:val="24"/>
        </w:rPr>
        <w:t xml:space="preserve">not </w:t>
      </w:r>
      <w:proofErr w:type="gramStart"/>
      <w:r w:rsidRPr="00980928">
        <w:rPr>
          <w:rFonts w:ascii="Trebuchet MS" w:hAnsi="Trebuchet MS"/>
          <w:sz w:val="24"/>
          <w:szCs w:val="24"/>
        </w:rPr>
        <w:t>Listed</w:t>
      </w:r>
      <w:proofErr w:type="gramEnd"/>
      <w:r w:rsidRPr="00980928">
        <w:rPr>
          <w:rFonts w:ascii="Trebuchet MS" w:hAnsi="Trebuchet MS"/>
          <w:sz w:val="24"/>
          <w:szCs w:val="24"/>
        </w:rPr>
        <w:t xml:space="preserve"> and it does not fall within a Conservation Area. </w:t>
      </w:r>
    </w:p>
    <w:p w:rsidR="000E55D3" w:rsidRPr="004F1DE9" w:rsidRDefault="000E55D3" w:rsidP="000E55D3">
      <w:pPr>
        <w:spacing w:line="240" w:lineRule="auto"/>
        <w:jc w:val="both"/>
        <w:rPr>
          <w:rFonts w:ascii="Trebuchet MS" w:hAnsi="Trebuchet MS"/>
          <w:color w:val="FF0000"/>
          <w:sz w:val="24"/>
          <w:szCs w:val="24"/>
        </w:rPr>
      </w:pPr>
      <w:r w:rsidRPr="004F1DE9">
        <w:rPr>
          <w:rFonts w:ascii="Trebuchet MS" w:hAnsi="Trebuchet MS"/>
          <w:sz w:val="24"/>
          <w:szCs w:val="24"/>
        </w:rPr>
        <w:t>The propos</w:t>
      </w:r>
      <w:r w:rsidR="00401B1C" w:rsidRPr="004F1DE9">
        <w:rPr>
          <w:rFonts w:ascii="Trebuchet MS" w:hAnsi="Trebuchet MS"/>
          <w:sz w:val="24"/>
          <w:szCs w:val="24"/>
        </w:rPr>
        <w:t xml:space="preserve">ed </w:t>
      </w:r>
      <w:r w:rsidRPr="004F1DE9">
        <w:rPr>
          <w:rFonts w:ascii="Trebuchet MS" w:hAnsi="Trebuchet MS"/>
          <w:sz w:val="24"/>
          <w:szCs w:val="24"/>
        </w:rPr>
        <w:t>single storey rear extension</w:t>
      </w:r>
      <w:r w:rsidR="00401B1C" w:rsidRPr="004F1DE9">
        <w:rPr>
          <w:rFonts w:ascii="Trebuchet MS" w:hAnsi="Trebuchet MS"/>
          <w:sz w:val="24"/>
          <w:szCs w:val="24"/>
        </w:rPr>
        <w:t xml:space="preserve"> measures 4m deep from the existing rear wall and approximately 5.9m wide. </w:t>
      </w:r>
      <w:r w:rsidRPr="004F1DE9">
        <w:rPr>
          <w:rFonts w:ascii="Trebuchet MS" w:hAnsi="Trebuchet MS"/>
          <w:sz w:val="24"/>
          <w:szCs w:val="24"/>
        </w:rPr>
        <w:t xml:space="preserve">This would result in additional space to </w:t>
      </w:r>
      <w:r w:rsidR="004F1DE9" w:rsidRPr="004F1DE9">
        <w:rPr>
          <w:rFonts w:ascii="Trebuchet MS" w:hAnsi="Trebuchet MS"/>
          <w:sz w:val="24"/>
          <w:szCs w:val="24"/>
        </w:rPr>
        <w:t>be used as dining area</w:t>
      </w:r>
      <w:r w:rsidRPr="004F1DE9">
        <w:rPr>
          <w:rFonts w:ascii="Trebuchet MS" w:hAnsi="Trebuchet MS"/>
          <w:sz w:val="24"/>
          <w:szCs w:val="24"/>
        </w:rPr>
        <w:t>.</w:t>
      </w:r>
      <w:r w:rsidRPr="000E55D3">
        <w:rPr>
          <w:rFonts w:ascii="Trebuchet MS" w:hAnsi="Trebuchet MS"/>
          <w:color w:val="FF0000"/>
          <w:sz w:val="24"/>
          <w:szCs w:val="24"/>
        </w:rPr>
        <w:t xml:space="preserve"> </w:t>
      </w:r>
      <w:r w:rsidRPr="004F1DE9">
        <w:rPr>
          <w:rFonts w:ascii="Trebuchet MS" w:hAnsi="Trebuchet MS"/>
          <w:sz w:val="24"/>
          <w:szCs w:val="24"/>
        </w:rPr>
        <w:t>The proposed development would have materials matching that of the existing house and a pitched roof.</w:t>
      </w:r>
    </w:p>
    <w:p w:rsidR="000E55D3" w:rsidRPr="004F1DE9" w:rsidRDefault="000E55D3" w:rsidP="000E55D3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5922EF">
        <w:rPr>
          <w:rFonts w:ascii="Trebuchet MS" w:hAnsi="Trebuchet MS"/>
          <w:b/>
          <w:sz w:val="24"/>
          <w:szCs w:val="24"/>
        </w:rPr>
        <w:t>Plans Submitted</w:t>
      </w:r>
    </w:p>
    <w:p w:rsidR="00401B1C" w:rsidRPr="005922EF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5922EF">
        <w:rPr>
          <w:rFonts w:ascii="Trebuchet MS" w:hAnsi="Trebuchet MS"/>
          <w:sz w:val="24"/>
          <w:szCs w:val="24"/>
        </w:rPr>
        <w:t xml:space="preserve">The following plans were submitted and received on received on </w:t>
      </w:r>
      <w:r w:rsidR="005922EF" w:rsidRPr="005922EF">
        <w:rPr>
          <w:rFonts w:ascii="Trebuchet MS" w:hAnsi="Trebuchet MS"/>
          <w:sz w:val="24"/>
          <w:szCs w:val="24"/>
        </w:rPr>
        <w:t>5</w:t>
      </w:r>
      <w:r w:rsidR="005922EF" w:rsidRPr="005922EF">
        <w:rPr>
          <w:rFonts w:ascii="Trebuchet MS" w:hAnsi="Trebuchet MS"/>
          <w:sz w:val="24"/>
          <w:szCs w:val="24"/>
          <w:vertAlign w:val="superscript"/>
        </w:rPr>
        <w:t>th</w:t>
      </w:r>
      <w:r w:rsidR="005922EF" w:rsidRPr="005922EF">
        <w:rPr>
          <w:rFonts w:ascii="Trebuchet MS" w:hAnsi="Trebuchet MS"/>
          <w:sz w:val="24"/>
          <w:szCs w:val="24"/>
        </w:rPr>
        <w:t xml:space="preserve"> May</w:t>
      </w:r>
      <w:r w:rsidRPr="005922EF">
        <w:rPr>
          <w:rFonts w:ascii="Trebuchet MS" w:hAnsi="Trebuchet MS"/>
          <w:sz w:val="24"/>
          <w:szCs w:val="24"/>
        </w:rPr>
        <w:t xml:space="preserve"> 2021:</w:t>
      </w:r>
    </w:p>
    <w:p w:rsidR="000E55D3" w:rsidRPr="00AA45F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bookmarkStart w:id="0" w:name="_Hlk39062068"/>
      <w:r w:rsidRPr="00AA45F3">
        <w:rPr>
          <w:rFonts w:ascii="Trebuchet MS" w:hAnsi="Trebuchet MS"/>
          <w:sz w:val="24"/>
          <w:szCs w:val="24"/>
        </w:rPr>
        <w:t xml:space="preserve">Drawing No: </w:t>
      </w:r>
      <w:r w:rsidR="00AA45F3" w:rsidRPr="00AA45F3">
        <w:rPr>
          <w:rFonts w:ascii="Trebuchet MS" w:hAnsi="Trebuchet MS"/>
          <w:sz w:val="24"/>
          <w:szCs w:val="24"/>
        </w:rPr>
        <w:t xml:space="preserve">0421-05 </w:t>
      </w:r>
      <w:r w:rsidRPr="00AA45F3">
        <w:rPr>
          <w:rFonts w:ascii="Trebuchet MS" w:hAnsi="Trebuchet MS"/>
          <w:sz w:val="24"/>
          <w:szCs w:val="24"/>
        </w:rPr>
        <w:t xml:space="preserve">– </w:t>
      </w:r>
      <w:r w:rsidR="00AA45F3" w:rsidRPr="00AA45F3">
        <w:rPr>
          <w:rFonts w:ascii="Trebuchet MS" w:hAnsi="Trebuchet MS"/>
          <w:sz w:val="24"/>
          <w:szCs w:val="24"/>
        </w:rPr>
        <w:t xml:space="preserve">Block and </w:t>
      </w:r>
      <w:r w:rsidRPr="00AA45F3">
        <w:rPr>
          <w:rFonts w:ascii="Trebuchet MS" w:hAnsi="Trebuchet MS"/>
          <w:sz w:val="24"/>
          <w:szCs w:val="24"/>
        </w:rPr>
        <w:t>Location Plan</w:t>
      </w:r>
    </w:p>
    <w:p w:rsidR="000E55D3" w:rsidRPr="005922EF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5922EF">
        <w:rPr>
          <w:rFonts w:ascii="Trebuchet MS" w:hAnsi="Trebuchet MS"/>
          <w:sz w:val="24"/>
          <w:szCs w:val="24"/>
        </w:rPr>
        <w:t xml:space="preserve">Drawing No: </w:t>
      </w:r>
      <w:r w:rsidR="005922EF" w:rsidRPr="005922EF">
        <w:rPr>
          <w:rFonts w:ascii="Trebuchet MS" w:hAnsi="Trebuchet MS"/>
          <w:sz w:val="24"/>
          <w:szCs w:val="24"/>
        </w:rPr>
        <w:t>0421-03</w:t>
      </w:r>
      <w:r w:rsidRPr="005922EF">
        <w:rPr>
          <w:rFonts w:ascii="Trebuchet MS" w:hAnsi="Trebuchet MS"/>
          <w:sz w:val="24"/>
          <w:szCs w:val="24"/>
        </w:rPr>
        <w:t xml:space="preserve">– Existing </w:t>
      </w:r>
      <w:r w:rsidR="005922EF" w:rsidRPr="005922EF">
        <w:rPr>
          <w:rFonts w:ascii="Trebuchet MS" w:hAnsi="Trebuchet MS"/>
          <w:sz w:val="24"/>
          <w:szCs w:val="24"/>
        </w:rPr>
        <w:t xml:space="preserve">Plans and </w:t>
      </w:r>
      <w:r w:rsidRPr="005922EF">
        <w:rPr>
          <w:rFonts w:ascii="Trebuchet MS" w:hAnsi="Trebuchet MS"/>
          <w:sz w:val="24"/>
          <w:szCs w:val="24"/>
        </w:rPr>
        <w:t>Elevations</w:t>
      </w:r>
    </w:p>
    <w:p w:rsidR="005922EF" w:rsidRPr="005922EF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5922EF">
        <w:rPr>
          <w:rFonts w:ascii="Trebuchet MS" w:hAnsi="Trebuchet MS"/>
          <w:sz w:val="24"/>
          <w:szCs w:val="24"/>
        </w:rPr>
        <w:t xml:space="preserve">Drawing No: </w:t>
      </w:r>
      <w:r w:rsidR="005922EF" w:rsidRPr="005922EF">
        <w:rPr>
          <w:rFonts w:ascii="Trebuchet MS" w:hAnsi="Trebuchet MS"/>
          <w:sz w:val="24"/>
          <w:szCs w:val="24"/>
        </w:rPr>
        <w:t>0421-01</w:t>
      </w:r>
      <w:r w:rsidRPr="005922EF">
        <w:rPr>
          <w:rFonts w:ascii="Trebuchet MS" w:hAnsi="Trebuchet MS"/>
          <w:sz w:val="24"/>
          <w:szCs w:val="24"/>
        </w:rPr>
        <w:t xml:space="preserve">– Proposed </w:t>
      </w:r>
      <w:r w:rsidR="005922EF" w:rsidRPr="005922EF">
        <w:rPr>
          <w:rFonts w:ascii="Trebuchet MS" w:hAnsi="Trebuchet MS"/>
          <w:sz w:val="24"/>
          <w:szCs w:val="24"/>
        </w:rPr>
        <w:t xml:space="preserve">Ground </w:t>
      </w:r>
      <w:r w:rsidRPr="005922EF">
        <w:rPr>
          <w:rFonts w:ascii="Trebuchet MS" w:hAnsi="Trebuchet MS"/>
          <w:sz w:val="24"/>
          <w:szCs w:val="24"/>
        </w:rPr>
        <w:t>Floor Plans</w:t>
      </w:r>
    </w:p>
    <w:p w:rsidR="008F6CF8" w:rsidRPr="005922EF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5922EF">
        <w:rPr>
          <w:rFonts w:ascii="Trebuchet MS" w:hAnsi="Trebuchet MS"/>
          <w:sz w:val="24"/>
          <w:szCs w:val="24"/>
        </w:rPr>
        <w:t xml:space="preserve">Drawing No: </w:t>
      </w:r>
      <w:r w:rsidR="005922EF" w:rsidRPr="005922EF">
        <w:rPr>
          <w:rFonts w:ascii="Trebuchet MS" w:hAnsi="Trebuchet MS"/>
          <w:sz w:val="24"/>
          <w:szCs w:val="24"/>
        </w:rPr>
        <w:t>0421-02</w:t>
      </w:r>
      <w:r w:rsidR="00AA45F3">
        <w:rPr>
          <w:rFonts w:ascii="Trebuchet MS" w:hAnsi="Trebuchet MS"/>
          <w:sz w:val="24"/>
          <w:szCs w:val="24"/>
        </w:rPr>
        <w:t xml:space="preserve"> </w:t>
      </w:r>
      <w:r w:rsidRPr="005922EF">
        <w:rPr>
          <w:rFonts w:ascii="Trebuchet MS" w:hAnsi="Trebuchet MS"/>
          <w:sz w:val="24"/>
          <w:szCs w:val="24"/>
        </w:rPr>
        <w:t>– Proposed Elevations</w:t>
      </w:r>
    </w:p>
    <w:p w:rsidR="000E55D3" w:rsidRPr="00AA45F3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AA45F3">
        <w:rPr>
          <w:rFonts w:ascii="Trebuchet MS" w:hAnsi="Trebuchet MS"/>
          <w:sz w:val="24"/>
          <w:szCs w:val="24"/>
        </w:rPr>
        <w:t xml:space="preserve">Drawing No: </w:t>
      </w:r>
      <w:bookmarkStart w:id="1" w:name="_GoBack"/>
      <w:bookmarkEnd w:id="1"/>
      <w:r w:rsidR="00AA45F3" w:rsidRPr="00AA45F3">
        <w:rPr>
          <w:rFonts w:ascii="Trebuchet MS" w:hAnsi="Trebuchet MS"/>
          <w:sz w:val="24"/>
          <w:szCs w:val="24"/>
        </w:rPr>
        <w:t xml:space="preserve">0421-04 </w:t>
      </w:r>
      <w:r w:rsidRPr="00AA45F3">
        <w:rPr>
          <w:rFonts w:ascii="Trebuchet MS" w:hAnsi="Trebuchet MS"/>
          <w:sz w:val="24"/>
          <w:szCs w:val="24"/>
        </w:rPr>
        <w:t xml:space="preserve">– </w:t>
      </w:r>
      <w:r w:rsidR="00AA45F3" w:rsidRPr="00AA45F3">
        <w:rPr>
          <w:rFonts w:ascii="Trebuchet MS" w:hAnsi="Trebuchet MS"/>
          <w:sz w:val="24"/>
          <w:szCs w:val="24"/>
        </w:rPr>
        <w:t>Section A-A</w:t>
      </w:r>
    </w:p>
    <w:bookmarkEnd w:id="0"/>
    <w:p w:rsidR="000E55D3" w:rsidRPr="00A30040" w:rsidRDefault="000E55D3" w:rsidP="000E55D3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30040">
        <w:rPr>
          <w:rFonts w:ascii="Trebuchet MS" w:hAnsi="Trebuchet MS"/>
          <w:b/>
          <w:sz w:val="24"/>
          <w:szCs w:val="24"/>
        </w:rPr>
        <w:t>Relevant Planning History</w:t>
      </w:r>
    </w:p>
    <w:p w:rsidR="000E55D3" w:rsidRPr="00A30040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A30040">
        <w:rPr>
          <w:rFonts w:ascii="Trebuchet MS" w:hAnsi="Trebuchet MS"/>
          <w:sz w:val="24"/>
          <w:szCs w:val="24"/>
        </w:rPr>
        <w:t>No Planning History</w:t>
      </w:r>
    </w:p>
    <w:p w:rsidR="000E55D3" w:rsidRPr="00980928" w:rsidRDefault="000E55D3" w:rsidP="000E55D3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980928">
        <w:rPr>
          <w:rFonts w:ascii="Trebuchet MS" w:hAnsi="Trebuchet MS"/>
          <w:b/>
          <w:sz w:val="24"/>
          <w:szCs w:val="24"/>
        </w:rPr>
        <w:t>Summary of Consultations</w:t>
      </w:r>
    </w:p>
    <w:p w:rsidR="000E55D3" w:rsidRPr="005922EF" w:rsidRDefault="000E55D3" w:rsidP="000E55D3">
      <w:pPr>
        <w:spacing w:line="240" w:lineRule="auto"/>
        <w:rPr>
          <w:rFonts w:ascii="Trebuchet MS" w:hAnsi="Trebuchet MS"/>
          <w:sz w:val="24"/>
          <w:szCs w:val="24"/>
        </w:rPr>
      </w:pPr>
      <w:r w:rsidRPr="00980928">
        <w:rPr>
          <w:rFonts w:ascii="Trebuchet MS" w:hAnsi="Trebuchet MS"/>
          <w:sz w:val="24"/>
          <w:szCs w:val="24"/>
        </w:rPr>
        <w:t>No consultations were undertaken as it is not required for an application of this type.</w:t>
      </w:r>
    </w:p>
    <w:p w:rsidR="000E55D3" w:rsidRPr="00980928" w:rsidRDefault="000E55D3" w:rsidP="000E55D3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980928">
        <w:rPr>
          <w:rFonts w:ascii="Trebuchet MS" w:hAnsi="Trebuchet MS"/>
          <w:b/>
          <w:sz w:val="24"/>
          <w:szCs w:val="24"/>
        </w:rPr>
        <w:t>Relevant Planning Policy and Guidance</w:t>
      </w:r>
    </w:p>
    <w:p w:rsidR="000E55D3" w:rsidRPr="00980928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980928">
        <w:rPr>
          <w:rFonts w:ascii="Trebuchet MS" w:eastAsia="Times New Roman" w:hAnsi="Trebuchet MS"/>
          <w:sz w:val="24"/>
          <w:szCs w:val="24"/>
        </w:rPr>
        <w:t>National Planning Practice Guidance.</w:t>
      </w:r>
    </w:p>
    <w:p w:rsidR="000E55D3" w:rsidRPr="00980928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980928">
        <w:rPr>
          <w:rFonts w:ascii="Trebuchet MS" w:eastAsia="Times New Roman" w:hAnsi="Trebuchet MS"/>
          <w:sz w:val="24"/>
          <w:szCs w:val="24"/>
        </w:rPr>
        <w:t>The Town and Country Planning (General Permitted Development) (England) Order 2015 (GPDO).</w:t>
      </w:r>
    </w:p>
    <w:p w:rsidR="000E55D3" w:rsidRPr="00980928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980928">
        <w:rPr>
          <w:rFonts w:ascii="Trebuchet MS" w:eastAsia="Times New Roman" w:hAnsi="Trebuchet MS"/>
          <w:sz w:val="24"/>
          <w:szCs w:val="24"/>
        </w:rPr>
        <w:t>Permitted development rights for householders – Technical Guidance September 2019</w:t>
      </w:r>
    </w:p>
    <w:p w:rsidR="000E55D3" w:rsidRPr="00980928" w:rsidRDefault="000E55D3" w:rsidP="000E55D3">
      <w:pPr>
        <w:spacing w:line="240" w:lineRule="auto"/>
        <w:rPr>
          <w:rFonts w:ascii="Trebuchet MS" w:eastAsia="Times New Roman" w:hAnsi="Trebuchet MS"/>
          <w:b/>
          <w:sz w:val="24"/>
          <w:szCs w:val="24"/>
        </w:rPr>
      </w:pPr>
      <w:r w:rsidRPr="00980928">
        <w:rPr>
          <w:rFonts w:ascii="Trebuchet MS" w:eastAsia="Times New Roman" w:hAnsi="Trebuchet MS"/>
          <w:b/>
          <w:sz w:val="24"/>
          <w:szCs w:val="24"/>
        </w:rPr>
        <w:lastRenderedPageBreak/>
        <w:t>Assessment</w:t>
      </w:r>
    </w:p>
    <w:p w:rsidR="000E55D3" w:rsidRPr="00980928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980928">
        <w:rPr>
          <w:rFonts w:ascii="Trebuchet MS" w:eastAsia="Times New Roman" w:hAnsi="Trebuchet MS"/>
          <w:sz w:val="24"/>
          <w:szCs w:val="24"/>
        </w:rPr>
        <w:t xml:space="preserve">A Certificate of Lawfulness for a proposed </w:t>
      </w:r>
      <w:r w:rsidR="00980928" w:rsidRPr="00980928">
        <w:rPr>
          <w:rFonts w:ascii="Trebuchet MS" w:eastAsia="Times New Roman" w:hAnsi="Trebuchet MS"/>
          <w:sz w:val="24"/>
          <w:szCs w:val="24"/>
        </w:rPr>
        <w:t>rear extension</w:t>
      </w:r>
      <w:r w:rsidRPr="00980928">
        <w:rPr>
          <w:rFonts w:ascii="Trebuchet MS" w:eastAsia="Times New Roman" w:hAnsi="Trebuchet MS"/>
          <w:sz w:val="24"/>
          <w:szCs w:val="24"/>
        </w:rPr>
        <w:t xml:space="preserve"> has been submitted as the applicant considers the proposal falls within the permitted development rights of the property. </w:t>
      </w:r>
    </w:p>
    <w:p w:rsidR="000E55D3" w:rsidRPr="00E64759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E64759">
        <w:rPr>
          <w:rFonts w:ascii="Trebuchet MS" w:eastAsia="Times New Roman" w:hAnsi="Trebuchet MS"/>
          <w:sz w:val="24"/>
          <w:szCs w:val="24"/>
        </w:rPr>
        <w:t xml:space="preserve">The proposal must be assessed to ensure that it complies with the conditions of Class A, Part 1 of Schedule 2 of the Town and Country Planning (General Permitted Development) (England) Order 2015, which relates to the ‘enlargement, improvement or other alteration of a </w:t>
      </w:r>
      <w:proofErr w:type="spellStart"/>
      <w:r w:rsidRPr="00E6475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E64759">
        <w:rPr>
          <w:rFonts w:ascii="Trebuchet MS" w:eastAsia="Times New Roman" w:hAnsi="Trebuchet MS"/>
          <w:sz w:val="24"/>
          <w:szCs w:val="24"/>
        </w:rPr>
        <w:t>’</w:t>
      </w:r>
      <w:r w:rsidRPr="00E64759">
        <w:rPr>
          <w:rFonts w:ascii="Trebuchet MS" w:hAnsi="Trebuchet MS"/>
          <w:bCs/>
          <w:sz w:val="24"/>
          <w:szCs w:val="24"/>
        </w:rPr>
        <w:t>.</w:t>
      </w:r>
    </w:p>
    <w:p w:rsidR="000E55D3" w:rsidRPr="00E64759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E64759">
        <w:rPr>
          <w:rFonts w:ascii="Trebuchet MS" w:eastAsia="Times New Roman" w:hAnsi="Trebuchet MS"/>
          <w:sz w:val="24"/>
          <w:szCs w:val="24"/>
        </w:rPr>
        <w:t xml:space="preserve">The relevant conditions of the GPDO for a single storey rear extension, which is not listed or in a conservation area, are as follows: </w:t>
      </w:r>
    </w:p>
    <w:p w:rsidR="000E55D3" w:rsidRPr="00401B1C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3C6104">
        <w:rPr>
          <w:rFonts w:ascii="Trebuchet MS" w:eastAsia="Times New Roman" w:hAnsi="Trebuchet MS"/>
          <w:sz w:val="24"/>
          <w:szCs w:val="24"/>
        </w:rPr>
        <w:t xml:space="preserve">A.1 </w:t>
      </w:r>
      <w:r w:rsidRPr="00401B1C">
        <w:rPr>
          <w:rFonts w:ascii="Trebuchet MS" w:eastAsia="Times New Roman" w:hAnsi="Trebuchet MS"/>
          <w:sz w:val="24"/>
          <w:szCs w:val="24"/>
        </w:rPr>
        <w:t xml:space="preserve">Development is not permitted by Class A if:  </w:t>
      </w:r>
    </w:p>
    <w:p w:rsidR="000E55D3" w:rsidRPr="003C6104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401B1C">
        <w:rPr>
          <w:rFonts w:ascii="Trebuchet MS" w:eastAsia="Times New Roman" w:hAnsi="Trebuchet MS"/>
          <w:sz w:val="24"/>
          <w:szCs w:val="24"/>
        </w:rPr>
        <w:t xml:space="preserve">A.1 (a) permission to use the </w:t>
      </w:r>
      <w:proofErr w:type="spellStart"/>
      <w:r w:rsidRPr="00401B1C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401B1C">
        <w:rPr>
          <w:rFonts w:ascii="Trebuchet MS" w:eastAsia="Times New Roman" w:hAnsi="Trebuchet MS"/>
          <w:sz w:val="24"/>
          <w:szCs w:val="24"/>
        </w:rPr>
        <w:t xml:space="preserve"> as a </w:t>
      </w:r>
      <w:proofErr w:type="spellStart"/>
      <w:r w:rsidRPr="00401B1C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401B1C">
        <w:rPr>
          <w:rFonts w:ascii="Trebuchet MS" w:eastAsia="Times New Roman" w:hAnsi="Trebuchet MS"/>
          <w:sz w:val="24"/>
          <w:szCs w:val="24"/>
        </w:rPr>
        <w:t xml:space="preserve"> has been granted only by virtue of Class M, N, P or Q of Part 3 of this Schedule (changes </w:t>
      </w:r>
      <w:r w:rsidRPr="003C6104">
        <w:rPr>
          <w:rFonts w:ascii="Trebuchet MS" w:eastAsia="Times New Roman" w:hAnsi="Trebuchet MS"/>
          <w:sz w:val="24"/>
          <w:szCs w:val="24"/>
        </w:rPr>
        <w:t xml:space="preserve">of use); </w:t>
      </w:r>
      <w:r w:rsidRPr="003C6104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3C6104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3C6104">
        <w:rPr>
          <w:rFonts w:ascii="Trebuchet MS" w:eastAsia="Times New Roman" w:hAnsi="Trebuchet MS"/>
          <w:sz w:val="24"/>
          <w:szCs w:val="24"/>
        </w:rPr>
        <w:t xml:space="preserve">A.1 (b) as a result of the works, the total area of ground covered by buildings within the curtilage of the </w:t>
      </w:r>
      <w:proofErr w:type="spellStart"/>
      <w:r w:rsidRPr="003C6104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3C6104">
        <w:rPr>
          <w:rFonts w:ascii="Trebuchet MS" w:eastAsia="Times New Roman" w:hAnsi="Trebuchet MS"/>
          <w:sz w:val="24"/>
          <w:szCs w:val="24"/>
        </w:rPr>
        <w:t xml:space="preserve"> (other than the original </w:t>
      </w:r>
      <w:proofErr w:type="spellStart"/>
      <w:r w:rsidRPr="003C6104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3C6104">
        <w:rPr>
          <w:rFonts w:ascii="Trebuchet MS" w:eastAsia="Times New Roman" w:hAnsi="Trebuchet MS"/>
          <w:sz w:val="24"/>
          <w:szCs w:val="24"/>
        </w:rPr>
        <w:t xml:space="preserve">) would exceed 50% of the total area of the curtilage (excluding the ground area of the original </w:t>
      </w:r>
      <w:proofErr w:type="spellStart"/>
      <w:r w:rsidRPr="003C6104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3C6104">
        <w:rPr>
          <w:rFonts w:ascii="Trebuchet MS" w:eastAsia="Times New Roman" w:hAnsi="Trebuchet MS"/>
          <w:sz w:val="24"/>
          <w:szCs w:val="24"/>
        </w:rPr>
        <w:t xml:space="preserve">); </w:t>
      </w:r>
      <w:r w:rsidRPr="003C6104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(c) the height of the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enlarged, improved or altered would exceed the height of the highest part of the roof of the existing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(d) the height of the eaves of the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enlarged, improved or altered would exceed the height of the eaves of the existing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(e) the enlarged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would extend beyond a wall which (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) forms the principle elevation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  <w:r w:rsidRPr="00D94797">
        <w:rPr>
          <w:rFonts w:ascii="Trebuchet MS" w:eastAsia="Times New Roman" w:hAnsi="Trebuchet MS"/>
          <w:sz w:val="24"/>
          <w:szCs w:val="24"/>
        </w:rPr>
        <w:t xml:space="preserve"> or (ii) fronts a highway and forms a side elevation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0E55D3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color w:val="FF0000"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(f) subject to paragraph (g), the enlarged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would have a single storey and – (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) extend beyond the rear wall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by more than 4 metres in the case of a detached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, or 3 metres in the case of any other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,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  <w:r w:rsidRPr="00D94797">
        <w:rPr>
          <w:rFonts w:ascii="Trebuchet MS" w:eastAsia="Times New Roman" w:hAnsi="Trebuchet MS"/>
          <w:sz w:val="24"/>
          <w:szCs w:val="24"/>
        </w:rPr>
        <w:t xml:space="preserve"> or (ii) exceed 4 metres in height;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(g) for a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not on article 2(3) land nor on a site of special scientific interest, the enlarged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would have a single storey and – (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) extend beyond the rear wall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by more than 8 metres in the case of a detached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, or 6 metres in the case of any other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,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  <w:r w:rsidRPr="00D94797">
        <w:rPr>
          <w:rFonts w:ascii="Trebuchet MS" w:eastAsia="Times New Roman" w:hAnsi="Trebuchet MS"/>
          <w:sz w:val="24"/>
          <w:szCs w:val="24"/>
        </w:rPr>
        <w:t xml:space="preserve"> or (ii) exceed 4 metres in height;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(h) the enlarged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would have more than a single storey and – (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) extend beyond the rear wall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by </w:t>
      </w:r>
      <w:r w:rsidRPr="00D94797">
        <w:rPr>
          <w:rFonts w:ascii="Trebuchet MS" w:eastAsia="Times New Roman" w:hAnsi="Trebuchet MS"/>
          <w:sz w:val="24"/>
          <w:szCs w:val="24"/>
        </w:rPr>
        <w:lastRenderedPageBreak/>
        <w:t xml:space="preserve">more than 3 metres, </w:t>
      </w:r>
      <w:r w:rsidRPr="00D94797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94797">
        <w:rPr>
          <w:rFonts w:ascii="Trebuchet MS" w:eastAsia="Times New Roman" w:hAnsi="Trebuchet MS"/>
          <w:sz w:val="24"/>
          <w:szCs w:val="24"/>
        </w:rPr>
        <w:t xml:space="preserve">or (ii) be within 7 metres of any boundary of the curtilage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opposite the rear wall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>A.1 (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) the enlarged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would be within 2 metres of the boundary of the curtilage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, and the height of the eaves of the enlarged part would exceed 3 metres;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D9479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sz w:val="24"/>
          <w:szCs w:val="24"/>
        </w:rPr>
      </w:pPr>
      <w:r w:rsidRPr="00D94797">
        <w:rPr>
          <w:rFonts w:ascii="Trebuchet MS" w:eastAsia="Times New Roman" w:hAnsi="Trebuchet MS"/>
          <w:sz w:val="24"/>
          <w:szCs w:val="24"/>
        </w:rPr>
        <w:t xml:space="preserve">A.1 (j) the enlarged part of the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 would extend beyond a wall forming a side elevation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>, and would – (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) exceed 4 metres in height, </w:t>
      </w:r>
      <w:r w:rsidRPr="00D94797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94797">
        <w:rPr>
          <w:rFonts w:ascii="Trebuchet MS" w:eastAsia="Times New Roman" w:hAnsi="Trebuchet MS"/>
          <w:sz w:val="24"/>
          <w:szCs w:val="24"/>
        </w:rPr>
        <w:t xml:space="preserve">(ii) have more than a single storey, </w:t>
      </w:r>
      <w:r w:rsidRPr="00D94797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94797">
        <w:rPr>
          <w:rFonts w:ascii="Trebuchet MS" w:eastAsia="Times New Roman" w:hAnsi="Trebuchet MS"/>
          <w:sz w:val="24"/>
          <w:szCs w:val="24"/>
        </w:rPr>
        <w:t xml:space="preserve">or (iii) have a width greater than half the width of the original </w:t>
      </w:r>
      <w:proofErr w:type="spellStart"/>
      <w:r w:rsidRPr="00D9479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94797">
        <w:rPr>
          <w:rFonts w:ascii="Trebuchet MS" w:eastAsia="Times New Roman" w:hAnsi="Trebuchet MS"/>
          <w:sz w:val="24"/>
          <w:szCs w:val="24"/>
        </w:rPr>
        <w:t xml:space="preserve">; </w:t>
      </w:r>
      <w:r w:rsidRPr="00D94797">
        <w:rPr>
          <w:rFonts w:ascii="Trebuchet MS" w:eastAsia="Times New Roman" w:hAnsi="Trebuchet MS"/>
          <w:b/>
          <w:sz w:val="24"/>
          <w:szCs w:val="24"/>
        </w:rPr>
        <w:t>complies</w:t>
      </w:r>
      <w:r w:rsidRPr="00D94797">
        <w:rPr>
          <w:rFonts w:ascii="Trebuchet MS" w:eastAsia="Times New Roman" w:hAnsi="Trebuchet MS"/>
          <w:sz w:val="24"/>
          <w:szCs w:val="24"/>
        </w:rPr>
        <w:t xml:space="preserve"> or </w:t>
      </w:r>
    </w:p>
    <w:p w:rsidR="000E55D3" w:rsidRPr="000E55D3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color w:val="FF0000"/>
          <w:sz w:val="24"/>
          <w:szCs w:val="24"/>
        </w:rPr>
      </w:pPr>
      <w:r w:rsidRPr="00BF3686">
        <w:rPr>
          <w:rFonts w:ascii="Trebuchet MS" w:eastAsia="Times New Roman" w:hAnsi="Trebuchet MS"/>
          <w:sz w:val="24"/>
          <w:szCs w:val="24"/>
        </w:rPr>
        <w:t>A.1 (k) it would consist of or include – (</w:t>
      </w:r>
      <w:proofErr w:type="spellStart"/>
      <w:r w:rsidRPr="00BF3686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BF3686">
        <w:rPr>
          <w:rFonts w:ascii="Trebuchet MS" w:eastAsia="Times New Roman" w:hAnsi="Trebuchet MS"/>
          <w:sz w:val="24"/>
          <w:szCs w:val="24"/>
        </w:rPr>
        <w:t xml:space="preserve">) the construction or provision of a </w:t>
      </w:r>
      <w:proofErr w:type="spellStart"/>
      <w:r w:rsidRPr="00BF3686">
        <w:rPr>
          <w:rFonts w:ascii="Trebuchet MS" w:eastAsia="Times New Roman" w:hAnsi="Trebuchet MS"/>
          <w:sz w:val="24"/>
          <w:szCs w:val="24"/>
        </w:rPr>
        <w:t>verandah</w:t>
      </w:r>
      <w:proofErr w:type="spellEnd"/>
      <w:r w:rsidRPr="00BF3686">
        <w:rPr>
          <w:rFonts w:ascii="Trebuchet MS" w:eastAsia="Times New Roman" w:hAnsi="Trebuchet MS"/>
          <w:sz w:val="24"/>
          <w:szCs w:val="24"/>
        </w:rPr>
        <w:t xml:space="preserve">, balcony or raised platform, </w:t>
      </w:r>
      <w:r w:rsidRPr="00BF3686">
        <w:rPr>
          <w:rFonts w:ascii="Trebuchet MS" w:eastAsia="Times New Roman" w:hAnsi="Trebuchet MS"/>
          <w:b/>
          <w:sz w:val="24"/>
          <w:szCs w:val="24"/>
        </w:rPr>
        <w:t>complies</w:t>
      </w:r>
      <w:r w:rsidRPr="00BF3686">
        <w:rPr>
          <w:rFonts w:ascii="Trebuchet MS" w:eastAsia="Times New Roman" w:hAnsi="Trebuchet MS"/>
          <w:sz w:val="24"/>
          <w:szCs w:val="24"/>
        </w:rPr>
        <w:t xml:space="preserve"> (ii) the installation, alteration or replacement of a microwave antenna, </w:t>
      </w:r>
      <w:r w:rsidRPr="00BF3686">
        <w:rPr>
          <w:rFonts w:ascii="Trebuchet MS" w:eastAsia="Times New Roman" w:hAnsi="Trebuchet MS"/>
          <w:b/>
          <w:sz w:val="24"/>
          <w:szCs w:val="24"/>
        </w:rPr>
        <w:t>complies</w:t>
      </w:r>
      <w:r w:rsidRPr="00BF3686">
        <w:rPr>
          <w:rFonts w:ascii="Trebuchet MS" w:eastAsia="Times New Roman" w:hAnsi="Trebuchet MS"/>
          <w:sz w:val="24"/>
          <w:szCs w:val="24"/>
        </w:rPr>
        <w:t xml:space="preserve"> </w:t>
      </w:r>
      <w:r w:rsidRPr="000C02AD">
        <w:rPr>
          <w:rFonts w:ascii="Trebuchet MS" w:eastAsia="Times New Roman" w:hAnsi="Trebuchet MS"/>
          <w:sz w:val="24"/>
          <w:szCs w:val="24"/>
        </w:rPr>
        <w:t xml:space="preserve">(iii) the installation, alteration or replacement of a chimney, flue or soil and vent pipe, </w:t>
      </w:r>
      <w:r w:rsidRPr="000C02AD">
        <w:rPr>
          <w:rFonts w:ascii="Trebuchet MS" w:eastAsia="Times New Roman" w:hAnsi="Trebuchet MS"/>
          <w:b/>
          <w:sz w:val="24"/>
          <w:szCs w:val="24"/>
        </w:rPr>
        <w:t>complies</w:t>
      </w:r>
      <w:r w:rsidRPr="000E55D3">
        <w:rPr>
          <w:rFonts w:ascii="Trebuchet MS" w:eastAsia="Times New Roman" w:hAnsi="Trebuchet MS"/>
          <w:b/>
          <w:color w:val="FF0000"/>
          <w:sz w:val="24"/>
          <w:szCs w:val="24"/>
        </w:rPr>
        <w:t xml:space="preserve"> </w:t>
      </w:r>
      <w:r w:rsidRPr="007750B6">
        <w:rPr>
          <w:rFonts w:ascii="Trebuchet MS" w:eastAsia="Times New Roman" w:hAnsi="Trebuchet MS"/>
          <w:sz w:val="24"/>
          <w:szCs w:val="24"/>
        </w:rPr>
        <w:t xml:space="preserve">or (iv) an alteration to any part of the roof of the </w:t>
      </w:r>
      <w:proofErr w:type="spellStart"/>
      <w:r w:rsidRPr="007750B6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7750B6">
        <w:rPr>
          <w:rFonts w:ascii="Trebuchet MS" w:eastAsia="Times New Roman" w:hAnsi="Trebuchet MS"/>
          <w:sz w:val="24"/>
          <w:szCs w:val="24"/>
        </w:rPr>
        <w:t xml:space="preserve">. </w:t>
      </w:r>
      <w:r w:rsidRPr="007750B6">
        <w:rPr>
          <w:rFonts w:ascii="Trebuchet MS" w:eastAsia="Times New Roman" w:hAnsi="Trebuchet MS"/>
          <w:b/>
          <w:sz w:val="24"/>
          <w:szCs w:val="24"/>
        </w:rPr>
        <w:t>Complies.</w:t>
      </w:r>
    </w:p>
    <w:p w:rsidR="000E55D3" w:rsidRPr="00BF3686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BF3686">
        <w:rPr>
          <w:rFonts w:ascii="Trebuchet MS" w:eastAsia="Times New Roman" w:hAnsi="Trebuchet MS"/>
          <w:sz w:val="24"/>
          <w:szCs w:val="24"/>
        </w:rPr>
        <w:t xml:space="preserve">A.2 In the case of a </w:t>
      </w:r>
      <w:proofErr w:type="spellStart"/>
      <w:r w:rsidRPr="00BF3686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BF3686">
        <w:rPr>
          <w:rFonts w:ascii="Trebuchet MS" w:eastAsia="Times New Roman" w:hAnsi="Trebuchet MS"/>
          <w:sz w:val="24"/>
          <w:szCs w:val="24"/>
        </w:rPr>
        <w:t xml:space="preserve"> on article 2(3) land, development is not permitted by Class A if:</w:t>
      </w:r>
    </w:p>
    <w:p w:rsidR="000E55D3" w:rsidRPr="00527DD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7DD7">
        <w:rPr>
          <w:rFonts w:ascii="Trebuchet MS" w:eastAsia="Times New Roman" w:hAnsi="Trebuchet MS"/>
          <w:sz w:val="24"/>
          <w:szCs w:val="24"/>
        </w:rPr>
        <w:t xml:space="preserve">A.2 (a) it would consist of or include the cladding of any part of the exterior of the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 with stone, artificial stone, pebble dash, render, timber, plastic or tiles; </w:t>
      </w:r>
      <w:r w:rsidRPr="00527DD7">
        <w:rPr>
          <w:rFonts w:ascii="Trebuchet MS" w:eastAsia="Times New Roman" w:hAnsi="Trebuchet MS"/>
          <w:b/>
          <w:sz w:val="24"/>
          <w:szCs w:val="24"/>
        </w:rPr>
        <w:t>n/a</w:t>
      </w:r>
    </w:p>
    <w:p w:rsidR="000E55D3" w:rsidRPr="00A836A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sz w:val="24"/>
          <w:szCs w:val="24"/>
        </w:rPr>
      </w:pPr>
      <w:r w:rsidRPr="00A836A7">
        <w:rPr>
          <w:rFonts w:ascii="Trebuchet MS" w:eastAsia="Times New Roman" w:hAnsi="Trebuchet MS"/>
          <w:sz w:val="24"/>
          <w:szCs w:val="24"/>
        </w:rPr>
        <w:t xml:space="preserve">A.2 (b) the enlarged part of the </w:t>
      </w:r>
      <w:proofErr w:type="spellStart"/>
      <w:r w:rsidRPr="00A836A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836A7">
        <w:rPr>
          <w:rFonts w:ascii="Trebuchet MS" w:eastAsia="Times New Roman" w:hAnsi="Trebuchet MS"/>
          <w:sz w:val="24"/>
          <w:szCs w:val="24"/>
        </w:rPr>
        <w:t xml:space="preserve"> would extend beyond a wall forming a side elevation of the original </w:t>
      </w:r>
      <w:proofErr w:type="spellStart"/>
      <w:r w:rsidRPr="00A836A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836A7">
        <w:rPr>
          <w:rFonts w:ascii="Trebuchet MS" w:eastAsia="Times New Roman" w:hAnsi="Trebuchet MS"/>
          <w:sz w:val="24"/>
          <w:szCs w:val="24"/>
        </w:rPr>
        <w:t xml:space="preserve">; </w:t>
      </w:r>
      <w:r w:rsidRPr="00A836A7">
        <w:rPr>
          <w:rFonts w:ascii="Trebuchet MS" w:eastAsia="Times New Roman" w:hAnsi="Trebuchet MS"/>
          <w:b/>
          <w:sz w:val="24"/>
          <w:szCs w:val="24"/>
        </w:rPr>
        <w:t xml:space="preserve">n/a </w:t>
      </w:r>
      <w:r w:rsidRPr="00A836A7">
        <w:rPr>
          <w:rFonts w:ascii="Trebuchet MS" w:eastAsia="Times New Roman" w:hAnsi="Trebuchet MS"/>
          <w:sz w:val="24"/>
          <w:szCs w:val="24"/>
        </w:rPr>
        <w:t>or</w:t>
      </w:r>
    </w:p>
    <w:p w:rsidR="000E55D3" w:rsidRPr="00527DD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7DD7">
        <w:rPr>
          <w:rFonts w:ascii="Trebuchet MS" w:eastAsia="Times New Roman" w:hAnsi="Trebuchet MS"/>
          <w:sz w:val="24"/>
          <w:szCs w:val="24"/>
        </w:rPr>
        <w:t xml:space="preserve">A.2 (c) the enlarged part of the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 would have more than a single storey and extend beyond the rear wall of the original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. </w:t>
      </w:r>
      <w:r w:rsidRPr="00527DD7">
        <w:rPr>
          <w:rFonts w:ascii="Trebuchet MS" w:eastAsia="Times New Roman" w:hAnsi="Trebuchet MS"/>
          <w:b/>
          <w:sz w:val="24"/>
          <w:szCs w:val="24"/>
        </w:rPr>
        <w:t>n/a</w:t>
      </w:r>
    </w:p>
    <w:p w:rsidR="000E55D3" w:rsidRPr="00527DD7" w:rsidRDefault="000E55D3" w:rsidP="000E55D3">
      <w:pPr>
        <w:spacing w:line="240" w:lineRule="auto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7DD7">
        <w:rPr>
          <w:rFonts w:ascii="Trebuchet MS" w:eastAsia="Times New Roman" w:hAnsi="Trebuchet MS"/>
          <w:b/>
          <w:sz w:val="24"/>
          <w:szCs w:val="24"/>
        </w:rPr>
        <w:t>Conditions</w:t>
      </w:r>
    </w:p>
    <w:p w:rsidR="000E55D3" w:rsidRPr="00527DD7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7DD7">
        <w:rPr>
          <w:rFonts w:ascii="Trebuchet MS" w:eastAsia="Times New Roman" w:hAnsi="Trebuchet MS"/>
          <w:sz w:val="24"/>
          <w:szCs w:val="24"/>
        </w:rPr>
        <w:t>Development is permitted by Class A subject to the following conditions:</w:t>
      </w:r>
    </w:p>
    <w:p w:rsidR="000E55D3" w:rsidRPr="00527DD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7DD7">
        <w:rPr>
          <w:rFonts w:ascii="Trebuchet MS" w:eastAsia="Times New Roman" w:hAnsi="Trebuchet MS"/>
          <w:sz w:val="24"/>
          <w:szCs w:val="24"/>
        </w:rPr>
        <w:t xml:space="preserve">A.3 (a) the materials used in any exterior work (other than materials used in the construction of a conservatory) must be of a similar appearance to those used in the construction of the exterior of the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; </w:t>
      </w:r>
      <w:r w:rsidRPr="00527DD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0E55D3" w:rsidRPr="00527DD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sz w:val="24"/>
          <w:szCs w:val="24"/>
        </w:rPr>
      </w:pPr>
      <w:r w:rsidRPr="00527DD7">
        <w:rPr>
          <w:rFonts w:ascii="Trebuchet MS" w:eastAsia="Times New Roman" w:hAnsi="Trebuchet MS"/>
          <w:sz w:val="24"/>
          <w:szCs w:val="24"/>
        </w:rPr>
        <w:t xml:space="preserve">A.3 (b) any upper-floor window located in a wall or roof slope forming a side elevation of the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 must be (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) obscure-glazed, </w:t>
      </w:r>
      <w:r w:rsidRPr="00527DD7">
        <w:rPr>
          <w:rFonts w:ascii="Trebuchet MS" w:eastAsia="Times New Roman" w:hAnsi="Trebuchet MS"/>
          <w:b/>
          <w:sz w:val="24"/>
          <w:szCs w:val="24"/>
        </w:rPr>
        <w:t xml:space="preserve">n/a </w:t>
      </w:r>
      <w:r w:rsidRPr="00527DD7">
        <w:rPr>
          <w:rFonts w:ascii="Trebuchet MS" w:eastAsia="Times New Roman" w:hAnsi="Trebuchet MS"/>
          <w:sz w:val="24"/>
          <w:szCs w:val="24"/>
        </w:rPr>
        <w:t xml:space="preserve">and (ii) non-opening unless the parts of the window which can be opened are more than 1.7 metres above the floor of the room in which the window is installed; </w:t>
      </w:r>
      <w:r w:rsidRPr="00527DD7">
        <w:rPr>
          <w:rFonts w:ascii="Trebuchet MS" w:eastAsia="Times New Roman" w:hAnsi="Trebuchet MS"/>
          <w:b/>
          <w:sz w:val="24"/>
          <w:szCs w:val="24"/>
        </w:rPr>
        <w:t>n/a</w:t>
      </w:r>
      <w:r w:rsidRPr="00527DD7">
        <w:rPr>
          <w:rFonts w:ascii="Trebuchet MS" w:eastAsia="Times New Roman" w:hAnsi="Trebuchet MS"/>
          <w:sz w:val="24"/>
          <w:szCs w:val="24"/>
        </w:rPr>
        <w:t xml:space="preserve"> and</w:t>
      </w:r>
    </w:p>
    <w:p w:rsidR="000E55D3" w:rsidRPr="00527DD7" w:rsidRDefault="000E55D3" w:rsidP="000E55D3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7DD7">
        <w:rPr>
          <w:rFonts w:ascii="Trebuchet MS" w:eastAsia="Times New Roman" w:hAnsi="Trebuchet MS"/>
          <w:sz w:val="24"/>
          <w:szCs w:val="24"/>
        </w:rPr>
        <w:t xml:space="preserve">A.3 (c) where the enlarged part of the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 has more than a single storey, the roof pitch of the enlarged part must, so far as practicable, be the same as the roof pitch of the original </w:t>
      </w:r>
      <w:proofErr w:type="spellStart"/>
      <w:r w:rsidRPr="00527DD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7DD7">
        <w:rPr>
          <w:rFonts w:ascii="Trebuchet MS" w:eastAsia="Times New Roman" w:hAnsi="Trebuchet MS"/>
          <w:sz w:val="24"/>
          <w:szCs w:val="24"/>
        </w:rPr>
        <w:t xml:space="preserve">. </w:t>
      </w:r>
      <w:r w:rsidRPr="00527DD7">
        <w:rPr>
          <w:rFonts w:ascii="Trebuchet MS" w:eastAsia="Times New Roman" w:hAnsi="Trebuchet MS"/>
          <w:b/>
          <w:sz w:val="24"/>
          <w:szCs w:val="24"/>
        </w:rPr>
        <w:t>n/a</w:t>
      </w:r>
    </w:p>
    <w:p w:rsidR="000B616F" w:rsidRDefault="000B616F" w:rsidP="000E55D3">
      <w:pPr>
        <w:spacing w:line="240" w:lineRule="auto"/>
        <w:jc w:val="both"/>
        <w:rPr>
          <w:rFonts w:ascii="Trebuchet MS" w:eastAsia="Times New Roman" w:hAnsi="Trebuchet MS"/>
          <w:b/>
          <w:sz w:val="24"/>
          <w:szCs w:val="24"/>
        </w:rPr>
      </w:pPr>
    </w:p>
    <w:p w:rsidR="000E55D3" w:rsidRPr="000C02AD" w:rsidRDefault="000E55D3" w:rsidP="000E55D3">
      <w:pPr>
        <w:spacing w:line="240" w:lineRule="auto"/>
        <w:jc w:val="both"/>
        <w:rPr>
          <w:rFonts w:ascii="Trebuchet MS" w:eastAsia="Times New Roman" w:hAnsi="Trebuchet MS"/>
          <w:b/>
          <w:sz w:val="24"/>
          <w:szCs w:val="24"/>
        </w:rPr>
      </w:pPr>
      <w:r w:rsidRPr="000C02AD">
        <w:rPr>
          <w:rFonts w:ascii="Trebuchet MS" w:eastAsia="Times New Roman" w:hAnsi="Trebuchet MS"/>
          <w:b/>
          <w:sz w:val="24"/>
          <w:szCs w:val="24"/>
        </w:rPr>
        <w:lastRenderedPageBreak/>
        <w:t>Recommendation</w:t>
      </w:r>
    </w:p>
    <w:p w:rsidR="000E55D3" w:rsidRPr="000C02AD" w:rsidRDefault="000E55D3" w:rsidP="000E55D3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0C02AD">
        <w:rPr>
          <w:rFonts w:ascii="Trebuchet MS" w:eastAsia="Times New Roman" w:hAnsi="Trebuchet MS"/>
          <w:sz w:val="24"/>
          <w:szCs w:val="24"/>
        </w:rPr>
        <w:t>Evidence has been provided to demonstrate that a Certificate of Lawfulness should be granted for the proposed single storey rear extension.</w:t>
      </w:r>
    </w:p>
    <w:p w:rsidR="000E55D3" w:rsidRPr="000C02AD" w:rsidRDefault="000E55D3" w:rsidP="000E55D3">
      <w:pPr>
        <w:spacing w:line="240" w:lineRule="auto"/>
        <w:jc w:val="both"/>
        <w:rPr>
          <w:rFonts w:ascii="Trebuchet MS" w:hAnsi="Trebuchet MS"/>
          <w:sz w:val="24"/>
          <w:szCs w:val="24"/>
        </w:rPr>
      </w:pPr>
      <w:r w:rsidRPr="000C02AD">
        <w:rPr>
          <w:rFonts w:ascii="Trebuchet MS" w:eastAsia="Times New Roman" w:hAnsi="Trebuchet MS"/>
          <w:sz w:val="24"/>
          <w:szCs w:val="24"/>
        </w:rPr>
        <w:t xml:space="preserve">The proposal has been assessed against the Town and Country Planning Act 1990 (as amended) and Class A, Part 1 of Schedule 2 of the Town and Country Planning (General Permitted Development) (England) Order 2015. It can be confirmed that the proposed operation would be lawful for planning purposes based on the drawings received </w:t>
      </w:r>
      <w:r w:rsidRPr="000C02AD">
        <w:rPr>
          <w:rFonts w:ascii="Trebuchet MS" w:hAnsi="Trebuchet MS"/>
          <w:sz w:val="24"/>
          <w:szCs w:val="24"/>
        </w:rPr>
        <w:t xml:space="preserve">on </w:t>
      </w:r>
      <w:r w:rsidR="00AA45F3" w:rsidRPr="000C02AD">
        <w:rPr>
          <w:rFonts w:ascii="Trebuchet MS" w:hAnsi="Trebuchet MS"/>
          <w:sz w:val="24"/>
          <w:szCs w:val="24"/>
        </w:rPr>
        <w:t>5</w:t>
      </w:r>
      <w:r w:rsidRPr="000C02AD">
        <w:rPr>
          <w:rFonts w:ascii="Trebuchet MS" w:hAnsi="Trebuchet MS"/>
          <w:sz w:val="24"/>
          <w:szCs w:val="24"/>
          <w:vertAlign w:val="superscript"/>
        </w:rPr>
        <w:t>th</w:t>
      </w:r>
      <w:r w:rsidRPr="000C02AD">
        <w:rPr>
          <w:rFonts w:ascii="Trebuchet MS" w:hAnsi="Trebuchet MS"/>
          <w:sz w:val="24"/>
          <w:szCs w:val="24"/>
        </w:rPr>
        <w:t xml:space="preserve"> </w:t>
      </w:r>
      <w:r w:rsidR="00AA45F3" w:rsidRPr="000C02AD">
        <w:rPr>
          <w:rFonts w:ascii="Trebuchet MS" w:hAnsi="Trebuchet MS"/>
          <w:sz w:val="24"/>
          <w:szCs w:val="24"/>
        </w:rPr>
        <w:t>May</w:t>
      </w:r>
      <w:r w:rsidRPr="000C02AD">
        <w:rPr>
          <w:rFonts w:ascii="Trebuchet MS" w:hAnsi="Trebuchet MS"/>
          <w:sz w:val="24"/>
          <w:szCs w:val="24"/>
        </w:rPr>
        <w:t xml:space="preserve"> 2021:</w:t>
      </w:r>
    </w:p>
    <w:p w:rsidR="00AA45F3" w:rsidRPr="00AA45F3" w:rsidRDefault="00AA45F3" w:rsidP="00AA45F3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AA45F3">
        <w:rPr>
          <w:rFonts w:ascii="Trebuchet MS" w:hAnsi="Trebuchet MS"/>
          <w:sz w:val="24"/>
          <w:szCs w:val="24"/>
        </w:rPr>
        <w:t>Drawing No: 0421-05 – Block and Location Plan</w:t>
      </w:r>
    </w:p>
    <w:p w:rsidR="00AA45F3" w:rsidRPr="00AA45F3" w:rsidRDefault="00AA45F3" w:rsidP="00AA45F3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AA45F3">
        <w:rPr>
          <w:rFonts w:ascii="Trebuchet MS" w:hAnsi="Trebuchet MS"/>
          <w:sz w:val="24"/>
          <w:szCs w:val="24"/>
        </w:rPr>
        <w:t>Drawing No: 0421-03– Existing Plans and Elevations</w:t>
      </w:r>
    </w:p>
    <w:p w:rsidR="00AA45F3" w:rsidRPr="00AA45F3" w:rsidRDefault="00AA45F3" w:rsidP="00AA45F3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AA45F3">
        <w:rPr>
          <w:rFonts w:ascii="Trebuchet MS" w:hAnsi="Trebuchet MS"/>
          <w:sz w:val="24"/>
          <w:szCs w:val="24"/>
        </w:rPr>
        <w:t>Drawing No: 0421-01– Proposed Ground Floor Plans</w:t>
      </w:r>
    </w:p>
    <w:p w:rsidR="00AA45F3" w:rsidRPr="00AA45F3" w:rsidRDefault="00AA45F3" w:rsidP="00AA45F3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AA45F3">
        <w:rPr>
          <w:rFonts w:ascii="Trebuchet MS" w:hAnsi="Trebuchet MS"/>
          <w:sz w:val="24"/>
          <w:szCs w:val="24"/>
        </w:rPr>
        <w:t>Drawing No: 0421-02 – Proposed Elevations</w:t>
      </w:r>
    </w:p>
    <w:p w:rsidR="00AA45F3" w:rsidRPr="00AA45F3" w:rsidRDefault="00AA45F3" w:rsidP="00AA45F3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AA45F3">
        <w:rPr>
          <w:rFonts w:ascii="Trebuchet MS" w:hAnsi="Trebuchet MS"/>
          <w:sz w:val="24"/>
          <w:szCs w:val="24"/>
        </w:rPr>
        <w:t>Drawing No: 0421-04 – Section A-A</w:t>
      </w:r>
    </w:p>
    <w:p w:rsidR="000E55D3" w:rsidRPr="000C02AD" w:rsidRDefault="000E55D3" w:rsidP="000E55D3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0C02AD">
        <w:rPr>
          <w:rFonts w:ascii="Trebuchet MS" w:hAnsi="Trebuchet MS"/>
          <w:sz w:val="24"/>
          <w:szCs w:val="24"/>
        </w:rPr>
        <w:t>The materials to be used in the construction of the external surfaces of the development have been confirmed shall match those used on the existing building.</w:t>
      </w:r>
    </w:p>
    <w:p w:rsidR="000E55D3" w:rsidRPr="000C02AD" w:rsidRDefault="000E55D3" w:rsidP="000E55D3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proofErr w:type="gramStart"/>
      <w:r w:rsidRPr="000C02AD">
        <w:rPr>
          <w:rFonts w:ascii="Trebuchet MS" w:eastAsia="Times New Roman" w:hAnsi="Trebuchet MS"/>
          <w:sz w:val="24"/>
          <w:szCs w:val="24"/>
        </w:rPr>
        <w:t>Therefore</w:t>
      </w:r>
      <w:proofErr w:type="gramEnd"/>
      <w:r w:rsidRPr="000C02AD">
        <w:rPr>
          <w:rFonts w:ascii="Trebuchet MS" w:eastAsia="Times New Roman" w:hAnsi="Trebuchet MS"/>
          <w:sz w:val="24"/>
          <w:szCs w:val="24"/>
        </w:rPr>
        <w:t xml:space="preserve"> the Local Planning Authority can issue the applicant with a Certificate of Lawfulness for the proposed development.</w:t>
      </w:r>
    </w:p>
    <w:p w:rsidR="000E55D3" w:rsidRPr="000C02AD" w:rsidRDefault="000E55D3" w:rsidP="000E55D3">
      <w:pPr>
        <w:spacing w:line="240" w:lineRule="auto"/>
        <w:rPr>
          <w:rFonts w:ascii="Trebuchet MS" w:eastAsia="Times New Roman" w:hAnsi="Trebuchet MS"/>
          <w:b/>
          <w:sz w:val="24"/>
          <w:szCs w:val="24"/>
        </w:rPr>
      </w:pPr>
      <w:proofErr w:type="spellStart"/>
      <w:r w:rsidRPr="000C02AD">
        <w:rPr>
          <w:rFonts w:ascii="Trebuchet MS" w:eastAsia="Times New Roman" w:hAnsi="Trebuchet MS"/>
          <w:b/>
          <w:sz w:val="24"/>
          <w:szCs w:val="24"/>
        </w:rPr>
        <w:t>Informatives</w:t>
      </w:r>
      <w:proofErr w:type="spellEnd"/>
    </w:p>
    <w:p w:rsidR="000E55D3" w:rsidRPr="000C02AD" w:rsidRDefault="000E55D3" w:rsidP="000B616F">
      <w:pPr>
        <w:spacing w:after="0" w:line="240" w:lineRule="auto"/>
        <w:rPr>
          <w:rFonts w:ascii="Trebuchet MS" w:eastAsia="Times New Roman" w:hAnsi="Trebuchet MS"/>
          <w:sz w:val="24"/>
          <w:szCs w:val="24"/>
        </w:rPr>
      </w:pPr>
      <w:r w:rsidRPr="000C02AD">
        <w:rPr>
          <w:rFonts w:ascii="Trebuchet MS" w:eastAsia="Times New Roman" w:hAnsi="Trebuchet MS"/>
          <w:sz w:val="24"/>
          <w:szCs w:val="24"/>
        </w:rPr>
        <w:t>Building Regulations</w:t>
      </w:r>
    </w:p>
    <w:p w:rsidR="000E55D3" w:rsidRPr="000C02AD" w:rsidRDefault="000E55D3" w:rsidP="000B616F">
      <w:pPr>
        <w:tabs>
          <w:tab w:val="left" w:pos="7332"/>
        </w:tabs>
        <w:spacing w:after="0" w:line="240" w:lineRule="auto"/>
        <w:rPr>
          <w:rFonts w:ascii="Trebuchet MS" w:eastAsia="Times New Roman" w:hAnsi="Trebuchet MS"/>
          <w:sz w:val="24"/>
          <w:szCs w:val="24"/>
        </w:rPr>
      </w:pPr>
      <w:r w:rsidRPr="000C02AD">
        <w:rPr>
          <w:rFonts w:ascii="Trebuchet MS" w:eastAsia="Times New Roman" w:hAnsi="Trebuchet MS"/>
          <w:sz w:val="24"/>
          <w:szCs w:val="24"/>
        </w:rPr>
        <w:t>Construction and Demolition</w:t>
      </w:r>
      <w:r w:rsidRPr="000C02AD">
        <w:rPr>
          <w:rFonts w:ascii="Trebuchet MS" w:eastAsia="Times New Roman" w:hAnsi="Trebuchet MS"/>
          <w:sz w:val="24"/>
          <w:szCs w:val="24"/>
        </w:rPr>
        <w:tab/>
      </w:r>
    </w:p>
    <w:p w:rsidR="000E55D3" w:rsidRPr="000C02AD" w:rsidRDefault="000E55D3" w:rsidP="000B616F">
      <w:pPr>
        <w:spacing w:after="0"/>
        <w:rPr>
          <w:rFonts w:ascii="Trebuchet MS" w:eastAsia="Times New Roman" w:hAnsi="Trebuchet MS"/>
          <w:sz w:val="24"/>
          <w:szCs w:val="24"/>
        </w:rPr>
      </w:pPr>
      <w:r w:rsidRPr="000C02AD">
        <w:rPr>
          <w:rFonts w:ascii="Trebuchet MS" w:eastAsia="Times New Roman" w:hAnsi="Trebuchet MS"/>
          <w:sz w:val="24"/>
          <w:szCs w:val="24"/>
        </w:rPr>
        <w:t>Encroachment and Party Wall Act</w:t>
      </w:r>
    </w:p>
    <w:p w:rsidR="000E55D3" w:rsidRPr="000E55D3" w:rsidRDefault="000E55D3" w:rsidP="000E55D3">
      <w:pPr>
        <w:rPr>
          <w:rFonts w:ascii="Trebuchet MS" w:eastAsia="Times New Roman" w:hAnsi="Trebuchet MS"/>
          <w:color w:val="FF0000"/>
          <w:sz w:val="24"/>
          <w:szCs w:val="24"/>
        </w:rPr>
      </w:pPr>
    </w:p>
    <w:p w:rsidR="000E55D3" w:rsidRPr="000E55D3" w:rsidRDefault="00636DC6" w:rsidP="000B616F">
      <w:pPr>
        <w:rPr>
          <w:rFonts w:ascii="Trebuchet MS" w:eastAsia="Times New Roman" w:hAnsi="Trebuchet MS"/>
          <w:color w:val="FF0000"/>
          <w:sz w:val="24"/>
          <w:szCs w:val="24"/>
        </w:rPr>
      </w:pPr>
      <w:r>
        <w:rPr>
          <w:rFonts w:ascii="Trebuchet MS" w:eastAsia="Times New Roman" w:hAnsi="Trebuchet MS"/>
          <w:noProof/>
          <w:color w:val="FF0000"/>
          <w:sz w:val="24"/>
          <w:szCs w:val="24"/>
        </w:rPr>
        <w:drawing>
          <wp:inline distT="0" distB="0" distL="0" distR="0" wp14:anchorId="622E2F52">
            <wp:extent cx="3489870" cy="3072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870" cy="307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E55D3" w:rsidRPr="000E55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06"/>
    <w:rsid w:val="000B616F"/>
    <w:rsid w:val="000C02AD"/>
    <w:rsid w:val="000E55D3"/>
    <w:rsid w:val="003C6104"/>
    <w:rsid w:val="00401B1C"/>
    <w:rsid w:val="004F1DE9"/>
    <w:rsid w:val="00527DD7"/>
    <w:rsid w:val="005922EF"/>
    <w:rsid w:val="00636DC6"/>
    <w:rsid w:val="006400AA"/>
    <w:rsid w:val="007750B6"/>
    <w:rsid w:val="008D55E4"/>
    <w:rsid w:val="008F6CF8"/>
    <w:rsid w:val="00980928"/>
    <w:rsid w:val="00990206"/>
    <w:rsid w:val="00A30040"/>
    <w:rsid w:val="00A836A7"/>
    <w:rsid w:val="00AA45F3"/>
    <w:rsid w:val="00B5569C"/>
    <w:rsid w:val="00BF3686"/>
    <w:rsid w:val="00D94797"/>
    <w:rsid w:val="00E01D0F"/>
    <w:rsid w:val="00E223D2"/>
    <w:rsid w:val="00E6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3AAC158"/>
  <w15:chartTrackingRefBased/>
  <w15:docId w15:val="{9B48DE4E-7993-4461-91AD-FBA37CCA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5D3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6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DC6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4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Malama, Beatrice</dc:creator>
  <cp:keywords/>
  <dc:description/>
  <cp:lastModifiedBy>Malama, Beatrice</cp:lastModifiedBy>
  <cp:revision>9</cp:revision>
  <dcterms:created xsi:type="dcterms:W3CDTF">2021-06-07T15:14:00Z</dcterms:created>
  <dcterms:modified xsi:type="dcterms:W3CDTF">2021-06-28T09:45:00Z</dcterms:modified>
</cp:coreProperties>
</file>