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1BE1" w:rsidRPr="00AF3FE4" w:rsidRDefault="004F1BE1" w:rsidP="004F1BE1">
      <w:pPr>
        <w:spacing w:line="240" w:lineRule="auto"/>
        <w:rPr>
          <w:rFonts w:ascii="Trebuchet MS" w:hAnsi="Trebuchet MS"/>
          <w:sz w:val="24"/>
          <w:szCs w:val="24"/>
        </w:rPr>
      </w:pPr>
      <w:r w:rsidRPr="00AF3FE4">
        <w:rPr>
          <w:rFonts w:ascii="Trebuchet MS" w:hAnsi="Trebuchet MS"/>
          <w:b/>
          <w:sz w:val="24"/>
          <w:szCs w:val="24"/>
        </w:rPr>
        <w:t>Target Date:</w:t>
      </w:r>
      <w:r w:rsidRPr="00AF3FE4">
        <w:rPr>
          <w:rFonts w:ascii="Trebuchet MS" w:hAnsi="Trebuchet MS"/>
          <w:sz w:val="24"/>
          <w:szCs w:val="24"/>
        </w:rPr>
        <w:t xml:space="preserve"> </w:t>
      </w:r>
      <w:r>
        <w:rPr>
          <w:rFonts w:ascii="Trebuchet MS" w:hAnsi="Trebuchet MS"/>
          <w:sz w:val="24"/>
          <w:szCs w:val="24"/>
        </w:rPr>
        <w:tab/>
      </w:r>
      <w:r w:rsidRPr="0008554A">
        <w:rPr>
          <w:rFonts w:ascii="Trebuchet MS" w:hAnsi="Trebuchet MS"/>
          <w:sz w:val="24"/>
          <w:szCs w:val="24"/>
        </w:rPr>
        <w:t>2</w:t>
      </w:r>
      <w:r w:rsidRPr="0008554A">
        <w:rPr>
          <w:rFonts w:ascii="Trebuchet MS" w:hAnsi="Trebuchet MS"/>
          <w:sz w:val="24"/>
          <w:szCs w:val="24"/>
          <w:vertAlign w:val="superscript"/>
        </w:rPr>
        <w:t>nd</w:t>
      </w:r>
      <w:r w:rsidRPr="0008554A">
        <w:rPr>
          <w:rFonts w:ascii="Trebuchet MS" w:hAnsi="Trebuchet MS"/>
          <w:sz w:val="24"/>
          <w:szCs w:val="24"/>
        </w:rPr>
        <w:t xml:space="preserve"> October 2019</w:t>
      </w:r>
      <w:r>
        <w:rPr>
          <w:rFonts w:ascii="Trebuchet MS" w:hAnsi="Trebuchet MS"/>
          <w:sz w:val="24"/>
          <w:szCs w:val="24"/>
        </w:rPr>
        <w:t xml:space="preserve"> 11</w:t>
      </w:r>
      <w:r>
        <w:rPr>
          <w:rFonts w:ascii="Trebuchet MS" w:hAnsi="Trebuchet MS"/>
          <w:sz w:val="24"/>
          <w:szCs w:val="24"/>
          <w:vertAlign w:val="superscript"/>
        </w:rPr>
        <w:t xml:space="preserve"> </w:t>
      </w:r>
      <w:r>
        <w:rPr>
          <w:rFonts w:ascii="Trebuchet MS" w:hAnsi="Trebuchet MS"/>
          <w:sz w:val="24"/>
          <w:szCs w:val="24"/>
        </w:rPr>
        <w:t>September 2020</w:t>
      </w:r>
    </w:p>
    <w:p w:rsidR="004F1BE1" w:rsidRPr="00225DA7" w:rsidRDefault="004F1BE1" w:rsidP="004F1BE1">
      <w:pPr>
        <w:spacing w:line="240" w:lineRule="auto"/>
        <w:rPr>
          <w:rFonts w:ascii="Trebuchet MS" w:hAnsi="Trebuchet MS"/>
          <w:sz w:val="24"/>
          <w:szCs w:val="24"/>
        </w:rPr>
      </w:pPr>
      <w:r w:rsidRPr="00AF3FE4">
        <w:rPr>
          <w:rFonts w:ascii="Trebuchet MS" w:hAnsi="Trebuchet MS"/>
          <w:b/>
          <w:sz w:val="24"/>
          <w:szCs w:val="24"/>
        </w:rPr>
        <w:t xml:space="preserve">Address: </w:t>
      </w:r>
      <w:r>
        <w:rPr>
          <w:rFonts w:ascii="Trebuchet MS" w:hAnsi="Trebuchet MS"/>
          <w:b/>
          <w:sz w:val="24"/>
          <w:szCs w:val="24"/>
        </w:rPr>
        <w:tab/>
      </w:r>
      <w:r>
        <w:rPr>
          <w:rFonts w:ascii="Trebuchet MS" w:hAnsi="Trebuchet MS"/>
          <w:b/>
          <w:sz w:val="24"/>
          <w:szCs w:val="24"/>
        </w:rPr>
        <w:tab/>
      </w:r>
      <w:r w:rsidRPr="0061338B">
        <w:rPr>
          <w:rFonts w:ascii="Trebuchet MS" w:hAnsi="Trebuchet MS"/>
          <w:sz w:val="24"/>
          <w:szCs w:val="24"/>
        </w:rPr>
        <w:t>29 Argyle Street, Reading, RG1 7YP</w:t>
      </w:r>
    </w:p>
    <w:p w:rsidR="004F1BE1" w:rsidRPr="00225DA7" w:rsidRDefault="004F1BE1" w:rsidP="004F1BE1">
      <w:pPr>
        <w:spacing w:line="240" w:lineRule="auto"/>
        <w:rPr>
          <w:rFonts w:ascii="Trebuchet MS" w:hAnsi="Trebuchet MS"/>
          <w:sz w:val="24"/>
          <w:szCs w:val="24"/>
        </w:rPr>
      </w:pPr>
      <w:r w:rsidRPr="00AF3FE4">
        <w:rPr>
          <w:rFonts w:ascii="Trebuchet MS" w:hAnsi="Trebuchet MS"/>
          <w:b/>
          <w:sz w:val="24"/>
          <w:szCs w:val="24"/>
        </w:rPr>
        <w:t xml:space="preserve">Application No: </w:t>
      </w:r>
      <w:r>
        <w:rPr>
          <w:rFonts w:ascii="Trebuchet MS" w:hAnsi="Trebuchet MS"/>
          <w:b/>
          <w:sz w:val="24"/>
          <w:szCs w:val="24"/>
        </w:rPr>
        <w:tab/>
      </w:r>
      <w:r>
        <w:rPr>
          <w:rFonts w:ascii="Trebuchet MS" w:hAnsi="Trebuchet MS"/>
          <w:sz w:val="24"/>
          <w:szCs w:val="24"/>
        </w:rPr>
        <w:t>200909</w:t>
      </w:r>
    </w:p>
    <w:p w:rsidR="004F1BE1" w:rsidRPr="00AF3FE4" w:rsidRDefault="004F1BE1" w:rsidP="004F1BE1">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w:t>
      </w:r>
      <w:r>
        <w:rPr>
          <w:rFonts w:ascii="Trebuchet MS" w:hAnsi="Trebuchet MS"/>
          <w:sz w:val="24"/>
          <w:szCs w:val="24"/>
        </w:rPr>
        <w:tab/>
        <w:t>Mr James Schofield</w:t>
      </w:r>
    </w:p>
    <w:p w:rsidR="004F1BE1" w:rsidRPr="00225DA7" w:rsidRDefault="004F1BE1" w:rsidP="004F1BE1">
      <w:pPr>
        <w:spacing w:line="240" w:lineRule="auto"/>
        <w:ind w:left="2160" w:hanging="2160"/>
        <w:rPr>
          <w:rFonts w:ascii="Trebuchet MS" w:hAnsi="Trebuchet MS"/>
          <w:sz w:val="24"/>
          <w:szCs w:val="24"/>
        </w:rPr>
      </w:pPr>
      <w:r w:rsidRPr="00AF3FE4">
        <w:rPr>
          <w:rFonts w:ascii="Trebuchet MS" w:hAnsi="Trebuchet MS"/>
          <w:b/>
          <w:sz w:val="24"/>
          <w:szCs w:val="24"/>
        </w:rPr>
        <w:t xml:space="preserve">Proposal: </w:t>
      </w:r>
      <w:r>
        <w:rPr>
          <w:rFonts w:ascii="Trebuchet MS" w:hAnsi="Trebuchet MS"/>
          <w:b/>
          <w:sz w:val="24"/>
          <w:szCs w:val="24"/>
        </w:rPr>
        <w:tab/>
      </w:r>
      <w:r w:rsidRPr="00C602B2">
        <w:rPr>
          <w:rFonts w:ascii="Trebuchet MS" w:hAnsi="Trebuchet MS"/>
          <w:sz w:val="24"/>
          <w:szCs w:val="24"/>
        </w:rPr>
        <w:t>Lawful Development Certificate for a Proposed second storey rear</w:t>
      </w:r>
      <w:r>
        <w:rPr>
          <w:rFonts w:ascii="Trebuchet MS" w:hAnsi="Trebuchet MS"/>
          <w:sz w:val="24"/>
          <w:szCs w:val="24"/>
        </w:rPr>
        <w:t xml:space="preserve"> </w:t>
      </w:r>
      <w:r w:rsidRPr="00C602B2">
        <w:rPr>
          <w:rFonts w:ascii="Trebuchet MS" w:hAnsi="Trebuchet MS"/>
          <w:sz w:val="24"/>
          <w:szCs w:val="24"/>
        </w:rPr>
        <w:t>extension.</w:t>
      </w:r>
    </w:p>
    <w:p w:rsidR="004F1BE1" w:rsidRPr="000E672B" w:rsidRDefault="004F1BE1" w:rsidP="004F1BE1">
      <w:pPr>
        <w:spacing w:line="240" w:lineRule="auto"/>
        <w:rPr>
          <w:rFonts w:ascii="Trebuchet MS" w:hAnsi="Trebuchet MS"/>
          <w:b/>
          <w:sz w:val="28"/>
          <w:szCs w:val="24"/>
        </w:rPr>
      </w:pPr>
      <w:r w:rsidRPr="000E672B">
        <w:rPr>
          <w:rFonts w:ascii="Trebuchet MS" w:hAnsi="Trebuchet MS"/>
          <w:b/>
          <w:sz w:val="28"/>
          <w:szCs w:val="24"/>
        </w:rPr>
        <w:t>Plans Submitted</w:t>
      </w:r>
    </w:p>
    <w:p w:rsidR="004F1BE1" w:rsidRDefault="004F1BE1" w:rsidP="004F1BE1">
      <w:pPr>
        <w:spacing w:line="240" w:lineRule="auto"/>
        <w:ind w:left="720"/>
        <w:rPr>
          <w:rFonts w:ascii="Trebuchet MS" w:hAnsi="Trebuchet MS"/>
          <w:sz w:val="24"/>
          <w:szCs w:val="24"/>
        </w:rPr>
      </w:pPr>
      <w:r w:rsidRPr="00AF3FE4">
        <w:rPr>
          <w:rFonts w:ascii="Trebuchet MS" w:hAnsi="Trebuchet MS"/>
          <w:sz w:val="24"/>
          <w:szCs w:val="24"/>
        </w:rPr>
        <w:t xml:space="preserve">The </w:t>
      </w:r>
      <w:r>
        <w:rPr>
          <w:rFonts w:ascii="Trebuchet MS" w:hAnsi="Trebuchet MS"/>
          <w:sz w:val="24"/>
          <w:szCs w:val="24"/>
        </w:rPr>
        <w:t>applicant supplied the following;</w:t>
      </w:r>
    </w:p>
    <w:p w:rsidR="004F1BE1" w:rsidRDefault="004F1BE1" w:rsidP="004F1BE1">
      <w:pPr>
        <w:pStyle w:val="BodyText"/>
        <w:ind w:left="720"/>
        <w:jc w:val="both"/>
        <w:rPr>
          <w:rFonts w:ascii="Trebuchet MS" w:hAnsi="Trebuchet MS"/>
          <w:b w:val="0"/>
          <w:bCs/>
          <w:szCs w:val="24"/>
        </w:rPr>
      </w:pPr>
      <w:proofErr w:type="spellStart"/>
      <w:r w:rsidRPr="00EE5DDF">
        <w:rPr>
          <w:rFonts w:ascii="Trebuchet MS" w:hAnsi="Trebuchet MS"/>
          <w:b w:val="0"/>
          <w:bCs/>
          <w:szCs w:val="24"/>
        </w:rPr>
        <w:t>Dwg</w:t>
      </w:r>
      <w:proofErr w:type="spellEnd"/>
      <w:r w:rsidRPr="00EE5DDF">
        <w:rPr>
          <w:rFonts w:ascii="Trebuchet MS" w:hAnsi="Trebuchet MS"/>
          <w:b w:val="0"/>
          <w:bCs/>
          <w:szCs w:val="24"/>
        </w:rPr>
        <w:t xml:space="preserve"> No:</w:t>
      </w:r>
      <w:r>
        <w:rPr>
          <w:rFonts w:ascii="Trebuchet MS" w:hAnsi="Trebuchet MS"/>
          <w:b w:val="0"/>
          <w:bCs/>
          <w:szCs w:val="24"/>
        </w:rPr>
        <w:t xml:space="preserve"> 19125PP-20 Permitted First Floor Plan</w:t>
      </w:r>
    </w:p>
    <w:p w:rsidR="004F1BE1" w:rsidRDefault="004F1BE1" w:rsidP="004F1BE1">
      <w:pPr>
        <w:pStyle w:val="BodyText"/>
        <w:ind w:left="720"/>
        <w:jc w:val="both"/>
        <w:rPr>
          <w:rFonts w:ascii="Trebuchet MS" w:hAnsi="Trebuchet MS"/>
          <w:b w:val="0"/>
          <w:bCs/>
          <w:szCs w:val="24"/>
        </w:rPr>
      </w:pPr>
      <w:proofErr w:type="spellStart"/>
      <w:r>
        <w:rPr>
          <w:rFonts w:ascii="Trebuchet MS" w:hAnsi="Trebuchet MS"/>
          <w:b w:val="0"/>
          <w:bCs/>
          <w:szCs w:val="24"/>
        </w:rPr>
        <w:t>Dwg</w:t>
      </w:r>
      <w:proofErr w:type="spellEnd"/>
      <w:r>
        <w:rPr>
          <w:rFonts w:ascii="Trebuchet MS" w:hAnsi="Trebuchet MS"/>
          <w:b w:val="0"/>
          <w:bCs/>
          <w:szCs w:val="24"/>
        </w:rPr>
        <w:t xml:space="preserve"> No: 19125PP-21 Permitted Elevations</w:t>
      </w:r>
    </w:p>
    <w:p w:rsidR="004F1BE1" w:rsidRDefault="004F1BE1" w:rsidP="004F1BE1">
      <w:pPr>
        <w:pStyle w:val="BodyText"/>
        <w:ind w:left="720"/>
        <w:jc w:val="both"/>
        <w:rPr>
          <w:rFonts w:ascii="Trebuchet MS" w:hAnsi="Trebuchet MS"/>
          <w:b w:val="0"/>
          <w:bCs/>
          <w:szCs w:val="24"/>
        </w:rPr>
      </w:pPr>
      <w:proofErr w:type="spellStart"/>
      <w:r>
        <w:rPr>
          <w:rFonts w:ascii="Trebuchet MS" w:hAnsi="Trebuchet MS"/>
          <w:b w:val="0"/>
          <w:bCs/>
          <w:szCs w:val="24"/>
        </w:rPr>
        <w:t>Dwg</w:t>
      </w:r>
      <w:proofErr w:type="spellEnd"/>
      <w:r>
        <w:rPr>
          <w:rFonts w:ascii="Trebuchet MS" w:hAnsi="Trebuchet MS"/>
          <w:b w:val="0"/>
          <w:bCs/>
          <w:szCs w:val="24"/>
        </w:rPr>
        <w:t xml:space="preserve"> No: 19125PP-22 Proposed First Floor Plan</w:t>
      </w:r>
    </w:p>
    <w:p w:rsidR="004F1BE1" w:rsidRDefault="004F1BE1" w:rsidP="004F1BE1">
      <w:pPr>
        <w:pStyle w:val="BodyText"/>
        <w:ind w:left="720"/>
        <w:jc w:val="both"/>
        <w:rPr>
          <w:rFonts w:ascii="Trebuchet MS" w:hAnsi="Trebuchet MS"/>
          <w:b w:val="0"/>
          <w:bCs/>
          <w:szCs w:val="24"/>
        </w:rPr>
      </w:pPr>
      <w:proofErr w:type="spellStart"/>
      <w:r>
        <w:rPr>
          <w:rFonts w:ascii="Trebuchet MS" w:hAnsi="Trebuchet MS"/>
          <w:b w:val="0"/>
          <w:bCs/>
          <w:szCs w:val="24"/>
        </w:rPr>
        <w:t>Dwg</w:t>
      </w:r>
      <w:proofErr w:type="spellEnd"/>
      <w:r>
        <w:rPr>
          <w:rFonts w:ascii="Trebuchet MS" w:hAnsi="Trebuchet MS"/>
          <w:b w:val="0"/>
          <w:bCs/>
          <w:szCs w:val="24"/>
        </w:rPr>
        <w:t xml:space="preserve"> No: 19125PP-23 Proposed Elevations</w:t>
      </w:r>
    </w:p>
    <w:p w:rsidR="004F1BE1" w:rsidRDefault="004F1BE1" w:rsidP="004F1BE1">
      <w:pPr>
        <w:pStyle w:val="BodyText"/>
        <w:ind w:left="720"/>
        <w:jc w:val="both"/>
        <w:rPr>
          <w:rFonts w:ascii="Trebuchet MS" w:hAnsi="Trebuchet MS"/>
          <w:b w:val="0"/>
          <w:bCs/>
          <w:szCs w:val="24"/>
        </w:rPr>
      </w:pPr>
      <w:proofErr w:type="spellStart"/>
      <w:r>
        <w:rPr>
          <w:rFonts w:ascii="Trebuchet MS" w:hAnsi="Trebuchet MS"/>
          <w:b w:val="0"/>
          <w:bCs/>
          <w:szCs w:val="24"/>
        </w:rPr>
        <w:t>Dwg</w:t>
      </w:r>
      <w:proofErr w:type="spellEnd"/>
      <w:r>
        <w:rPr>
          <w:rFonts w:ascii="Trebuchet MS" w:hAnsi="Trebuchet MS"/>
          <w:b w:val="0"/>
          <w:bCs/>
          <w:szCs w:val="24"/>
        </w:rPr>
        <w:t xml:space="preserve"> No: 19125PP-24 Location Plan</w:t>
      </w:r>
    </w:p>
    <w:p w:rsidR="004F1BE1" w:rsidRPr="00EE5DDF" w:rsidRDefault="004F1BE1" w:rsidP="004F1BE1">
      <w:pPr>
        <w:pStyle w:val="BodyText"/>
        <w:ind w:left="720"/>
        <w:jc w:val="both"/>
        <w:rPr>
          <w:rFonts w:ascii="Trebuchet MS" w:hAnsi="Trebuchet MS"/>
          <w:b w:val="0"/>
          <w:bCs/>
          <w:szCs w:val="24"/>
        </w:rPr>
      </w:pPr>
      <w:proofErr w:type="spellStart"/>
      <w:r>
        <w:rPr>
          <w:rFonts w:ascii="Trebuchet MS" w:hAnsi="Trebuchet MS"/>
          <w:b w:val="0"/>
          <w:bCs/>
          <w:szCs w:val="24"/>
        </w:rPr>
        <w:t>Dwg</w:t>
      </w:r>
      <w:proofErr w:type="spellEnd"/>
      <w:r>
        <w:rPr>
          <w:rFonts w:ascii="Trebuchet MS" w:hAnsi="Trebuchet MS"/>
          <w:b w:val="0"/>
          <w:bCs/>
          <w:szCs w:val="24"/>
        </w:rPr>
        <w:t xml:space="preserve"> No: 19125PP-25 Block Plan</w:t>
      </w:r>
    </w:p>
    <w:p w:rsidR="004F1BE1" w:rsidRPr="00AF3FE4" w:rsidRDefault="004F1BE1" w:rsidP="004F1BE1">
      <w:pPr>
        <w:pStyle w:val="BodyText"/>
        <w:spacing w:after="240"/>
        <w:ind w:left="720"/>
        <w:jc w:val="both"/>
        <w:rPr>
          <w:rFonts w:ascii="Trebuchet MS" w:hAnsi="Trebuchet MS"/>
          <w:szCs w:val="24"/>
        </w:rPr>
      </w:pPr>
      <w:r w:rsidRPr="00EE5DDF">
        <w:rPr>
          <w:rFonts w:ascii="Trebuchet MS" w:hAnsi="Trebuchet MS"/>
          <w:b w:val="0"/>
          <w:bCs/>
          <w:szCs w:val="24"/>
        </w:rPr>
        <w:t xml:space="preserve">As received </w:t>
      </w:r>
      <w:r>
        <w:rPr>
          <w:rFonts w:ascii="Trebuchet MS" w:hAnsi="Trebuchet MS"/>
          <w:b w:val="0"/>
          <w:bCs/>
          <w:szCs w:val="24"/>
        </w:rPr>
        <w:t>30 June 2020</w:t>
      </w:r>
    </w:p>
    <w:p w:rsidR="004F1BE1" w:rsidRPr="00F54B84" w:rsidRDefault="004F1BE1" w:rsidP="004F1BE1">
      <w:pPr>
        <w:spacing w:line="240" w:lineRule="auto"/>
        <w:rPr>
          <w:rFonts w:ascii="Trebuchet MS" w:hAnsi="Trebuchet MS"/>
          <w:b/>
          <w:sz w:val="28"/>
          <w:szCs w:val="24"/>
        </w:rPr>
      </w:pPr>
      <w:r w:rsidRPr="00F54B84">
        <w:rPr>
          <w:rFonts w:ascii="Trebuchet MS" w:hAnsi="Trebuchet MS"/>
          <w:b/>
          <w:sz w:val="28"/>
          <w:szCs w:val="24"/>
        </w:rPr>
        <w:t>Relevant Planning History</w:t>
      </w:r>
    </w:p>
    <w:p w:rsidR="004F1BE1" w:rsidRPr="00F54B84" w:rsidRDefault="004F1BE1" w:rsidP="004F1BE1">
      <w:pPr>
        <w:pStyle w:val="BodyText"/>
        <w:ind w:left="720"/>
        <w:jc w:val="both"/>
        <w:rPr>
          <w:rFonts w:ascii="Trebuchet MS" w:hAnsi="Trebuchet MS"/>
          <w:b w:val="0"/>
          <w:bCs/>
          <w:szCs w:val="24"/>
        </w:rPr>
      </w:pPr>
      <w:proofErr w:type="gramStart"/>
      <w:r w:rsidRPr="00F54B84">
        <w:rPr>
          <w:rFonts w:ascii="Trebuchet MS" w:hAnsi="Trebuchet MS"/>
          <w:b w:val="0"/>
          <w:bCs/>
          <w:szCs w:val="24"/>
        </w:rPr>
        <w:t>200174  Single</w:t>
      </w:r>
      <w:proofErr w:type="gramEnd"/>
      <w:r w:rsidRPr="00F54B84">
        <w:rPr>
          <w:rFonts w:ascii="Trebuchet MS" w:hAnsi="Trebuchet MS"/>
          <w:b w:val="0"/>
          <w:bCs/>
          <w:szCs w:val="24"/>
        </w:rPr>
        <w:t>-storey rear &amp; side extension, plus internal alterations.  Granted 18/8/20</w:t>
      </w:r>
      <w:r>
        <w:rPr>
          <w:rFonts w:ascii="Trebuchet MS" w:hAnsi="Trebuchet MS"/>
          <w:b w:val="0"/>
          <w:bCs/>
          <w:szCs w:val="24"/>
        </w:rPr>
        <w:t xml:space="preserve">. Amended to remove the </w:t>
      </w:r>
      <w:proofErr w:type="gramStart"/>
      <w:r>
        <w:rPr>
          <w:rFonts w:ascii="Trebuchet MS" w:hAnsi="Trebuchet MS"/>
          <w:b w:val="0"/>
          <w:bCs/>
          <w:szCs w:val="24"/>
        </w:rPr>
        <w:t>first floor</w:t>
      </w:r>
      <w:proofErr w:type="gramEnd"/>
      <w:r>
        <w:rPr>
          <w:rFonts w:ascii="Trebuchet MS" w:hAnsi="Trebuchet MS"/>
          <w:b w:val="0"/>
          <w:bCs/>
          <w:szCs w:val="24"/>
        </w:rPr>
        <w:t xml:space="preserve"> element of the extension.</w:t>
      </w:r>
    </w:p>
    <w:p w:rsidR="004F1BE1" w:rsidRDefault="004F1BE1" w:rsidP="004F1BE1">
      <w:pPr>
        <w:spacing w:line="240" w:lineRule="auto"/>
        <w:rPr>
          <w:rFonts w:ascii="Trebuchet MS" w:hAnsi="Trebuchet MS"/>
          <w:b/>
          <w:sz w:val="28"/>
          <w:szCs w:val="24"/>
        </w:rPr>
      </w:pPr>
    </w:p>
    <w:p w:rsidR="004F1BE1" w:rsidRPr="000E672B" w:rsidRDefault="004F1BE1" w:rsidP="004F1BE1">
      <w:pPr>
        <w:spacing w:line="240" w:lineRule="auto"/>
        <w:rPr>
          <w:rFonts w:ascii="Trebuchet MS" w:hAnsi="Trebuchet MS"/>
          <w:b/>
          <w:sz w:val="28"/>
          <w:szCs w:val="24"/>
        </w:rPr>
      </w:pPr>
      <w:bookmarkStart w:id="0" w:name="_GoBack"/>
      <w:bookmarkEnd w:id="0"/>
      <w:r w:rsidRPr="000E672B">
        <w:rPr>
          <w:rFonts w:ascii="Trebuchet MS" w:hAnsi="Trebuchet MS"/>
          <w:b/>
          <w:sz w:val="28"/>
          <w:szCs w:val="24"/>
        </w:rPr>
        <w:t>Summary of Consultations</w:t>
      </w:r>
    </w:p>
    <w:p w:rsidR="004F1BE1" w:rsidRPr="00AF3FE4" w:rsidRDefault="004F1BE1" w:rsidP="004F1BE1">
      <w:pPr>
        <w:spacing w:line="240" w:lineRule="auto"/>
        <w:ind w:left="720"/>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4F1BE1" w:rsidRPr="000E672B" w:rsidRDefault="004F1BE1" w:rsidP="004F1BE1">
      <w:pPr>
        <w:spacing w:line="240" w:lineRule="auto"/>
        <w:rPr>
          <w:rFonts w:ascii="Trebuchet MS" w:hAnsi="Trebuchet MS"/>
          <w:b/>
          <w:sz w:val="28"/>
          <w:szCs w:val="24"/>
        </w:rPr>
      </w:pPr>
      <w:r w:rsidRPr="000E672B">
        <w:rPr>
          <w:rFonts w:ascii="Trebuchet MS" w:hAnsi="Trebuchet MS"/>
          <w:b/>
          <w:sz w:val="28"/>
          <w:szCs w:val="24"/>
        </w:rPr>
        <w:t>Relevant Planning Policy and Guidance</w:t>
      </w:r>
    </w:p>
    <w:p w:rsidR="004F1BE1" w:rsidRPr="00AF3FE4" w:rsidRDefault="004F1BE1" w:rsidP="004F1BE1">
      <w:pPr>
        <w:spacing w:line="240" w:lineRule="auto"/>
        <w:ind w:left="720"/>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4F1BE1" w:rsidRPr="00AF3FE4" w:rsidRDefault="004F1BE1" w:rsidP="004F1BE1">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4F1BE1" w:rsidRPr="00AF3FE4" w:rsidRDefault="004F1BE1" w:rsidP="004F1BE1">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Pr>
          <w:rFonts w:ascii="Trebuchet MS" w:eastAsia="Times New Roman" w:hAnsi="Trebuchet MS"/>
          <w:color w:val="000000"/>
          <w:sz w:val="24"/>
          <w:szCs w:val="24"/>
        </w:rPr>
        <w:t xml:space="preserve"> – Technical Guidance</w:t>
      </w:r>
    </w:p>
    <w:p w:rsidR="004F1BE1" w:rsidRPr="004C024F" w:rsidRDefault="004F1BE1" w:rsidP="004F1BE1">
      <w:pPr>
        <w:spacing w:line="240" w:lineRule="auto"/>
        <w:rPr>
          <w:rFonts w:ascii="Trebuchet MS" w:eastAsia="Times New Roman" w:hAnsi="Trebuchet MS"/>
          <w:b/>
          <w:color w:val="000000"/>
          <w:sz w:val="28"/>
          <w:szCs w:val="24"/>
        </w:rPr>
      </w:pPr>
      <w:r w:rsidRPr="004C024F">
        <w:rPr>
          <w:rFonts w:ascii="Trebuchet MS" w:eastAsia="Times New Roman" w:hAnsi="Trebuchet MS"/>
          <w:b/>
          <w:color w:val="000000"/>
          <w:sz w:val="28"/>
          <w:szCs w:val="24"/>
        </w:rPr>
        <w:t>Assessment</w:t>
      </w:r>
    </w:p>
    <w:p w:rsidR="004F1BE1" w:rsidRPr="00AF3FE4" w:rsidRDefault="004F1BE1" w:rsidP="004F1BE1">
      <w:pPr>
        <w:spacing w:line="240" w:lineRule="auto"/>
        <w:ind w:left="720"/>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4F1BE1" w:rsidRPr="00AF3FE4" w:rsidRDefault="004F1BE1" w:rsidP="004F1BE1">
      <w:pPr>
        <w:spacing w:line="240" w:lineRule="auto"/>
        <w:ind w:left="720"/>
        <w:jc w:val="both"/>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 xml:space="preserve">must be assessed to ensure that it complies with the conditions of Class A, Part 1, Schedule 2 of the Town and Country Planning (General Permitted Development) (England) Order 2015, which relates to the ‘enlargement, improvement or other alteration of a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tbl>
      <w:tblPr>
        <w:tblStyle w:val="TableGrid"/>
        <w:tblW w:w="92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4F1BE1" w:rsidTr="00987183">
        <w:tc>
          <w:tcPr>
            <w:tcW w:w="9242" w:type="dxa"/>
          </w:tcPr>
          <w:p w:rsidR="004F1BE1" w:rsidRDefault="004F1BE1" w:rsidP="00987183">
            <w:pPr>
              <w:jc w:val="both"/>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The releva</w:t>
            </w:r>
            <w:r>
              <w:rPr>
                <w:rFonts w:ascii="Trebuchet MS" w:eastAsia="Times New Roman" w:hAnsi="Trebuchet MS"/>
                <w:color w:val="000000"/>
                <w:sz w:val="24"/>
                <w:szCs w:val="24"/>
              </w:rPr>
              <w:t>nt conditions of the GPDO for a more than single storey rear extension</w:t>
            </w:r>
            <w:r w:rsidRPr="00AF3FE4">
              <w:rPr>
                <w:rFonts w:ascii="Trebuchet MS" w:eastAsia="Times New Roman" w:hAnsi="Trebuchet MS"/>
                <w:color w:val="000000"/>
                <w:sz w:val="24"/>
                <w:szCs w:val="24"/>
              </w:rPr>
              <w:t>, which is not listed or in a conservation area</w:t>
            </w:r>
            <w:r>
              <w:rPr>
                <w:rFonts w:ascii="Trebuchet MS" w:eastAsia="Times New Roman" w:hAnsi="Trebuchet MS"/>
                <w:color w:val="000000"/>
                <w:sz w:val="24"/>
                <w:szCs w:val="24"/>
              </w:rPr>
              <w:t xml:space="preserve"> to </w:t>
            </w:r>
            <w:proofErr w:type="gramStart"/>
            <w:r>
              <w:rPr>
                <w:rFonts w:ascii="Trebuchet MS" w:eastAsia="Times New Roman" w:hAnsi="Trebuchet MS"/>
                <w:color w:val="000000"/>
                <w:sz w:val="24"/>
                <w:szCs w:val="24"/>
              </w:rPr>
              <w:t>be considered to be</w:t>
            </w:r>
            <w:proofErr w:type="gramEnd"/>
            <w:r>
              <w:rPr>
                <w:rFonts w:ascii="Trebuchet MS" w:eastAsia="Times New Roman" w:hAnsi="Trebuchet MS"/>
                <w:color w:val="000000"/>
                <w:sz w:val="24"/>
                <w:szCs w:val="24"/>
              </w:rPr>
              <w:t xml:space="preserve"> permitted development is set out in Class A para (h).</w:t>
            </w:r>
          </w:p>
          <w:p w:rsidR="004F1BE1" w:rsidRDefault="004F1BE1" w:rsidP="00987183">
            <w:pPr>
              <w:jc w:val="both"/>
              <w:rPr>
                <w:rFonts w:ascii="Trebuchet MS" w:eastAsia="Times New Roman" w:hAnsi="Trebuchet MS"/>
                <w:color w:val="000000"/>
                <w:sz w:val="24"/>
                <w:szCs w:val="24"/>
              </w:rPr>
            </w:pPr>
          </w:p>
          <w:p w:rsidR="004F1BE1" w:rsidRPr="00A533C5" w:rsidRDefault="004F1BE1" w:rsidP="00987183">
            <w:pPr>
              <w:pStyle w:val="Default"/>
              <w:jc w:val="both"/>
              <w:rPr>
                <w:rFonts w:ascii="Trebuchet MS" w:eastAsia="Times New Roman" w:hAnsi="Trebuchet MS" w:cstheme="minorBidi"/>
              </w:rPr>
            </w:pPr>
            <w:r w:rsidRPr="00A533C5">
              <w:rPr>
                <w:rFonts w:ascii="Trebuchet MS" w:eastAsia="Times New Roman" w:hAnsi="Trebuchet MS" w:cstheme="minorBidi"/>
              </w:rPr>
              <w:t xml:space="preserve">h) the enlarged part of the </w:t>
            </w:r>
            <w:proofErr w:type="spellStart"/>
            <w:r w:rsidRPr="00A533C5">
              <w:rPr>
                <w:rFonts w:ascii="Trebuchet MS" w:eastAsia="Times New Roman" w:hAnsi="Trebuchet MS" w:cstheme="minorBidi"/>
              </w:rPr>
              <w:t>dwellinghouse</w:t>
            </w:r>
            <w:proofErr w:type="spellEnd"/>
            <w:r w:rsidRPr="00A533C5">
              <w:rPr>
                <w:rFonts w:ascii="Trebuchet MS" w:eastAsia="Times New Roman" w:hAnsi="Trebuchet MS" w:cstheme="minorBidi"/>
              </w:rPr>
              <w:t xml:space="preserve"> would have more than a single storey and - </w:t>
            </w:r>
          </w:p>
          <w:p w:rsidR="004F1BE1" w:rsidRPr="00A533C5" w:rsidRDefault="004F1BE1" w:rsidP="00987183">
            <w:pPr>
              <w:pStyle w:val="Default"/>
              <w:jc w:val="both"/>
              <w:rPr>
                <w:rFonts w:ascii="Trebuchet MS" w:eastAsia="Times New Roman" w:hAnsi="Trebuchet MS" w:cstheme="minorBidi"/>
              </w:rPr>
            </w:pPr>
            <w:r w:rsidRPr="00A533C5">
              <w:rPr>
                <w:rFonts w:ascii="Trebuchet MS" w:eastAsia="Times New Roman" w:hAnsi="Trebuchet MS" w:cstheme="minorBidi"/>
              </w:rPr>
              <w:t>(</w:t>
            </w:r>
            <w:proofErr w:type="spellStart"/>
            <w:r w:rsidRPr="00A533C5">
              <w:rPr>
                <w:rFonts w:ascii="Trebuchet MS" w:eastAsia="Times New Roman" w:hAnsi="Trebuchet MS" w:cstheme="minorBidi"/>
              </w:rPr>
              <w:t>i</w:t>
            </w:r>
            <w:proofErr w:type="spellEnd"/>
            <w:r w:rsidRPr="00A533C5">
              <w:rPr>
                <w:rFonts w:ascii="Trebuchet MS" w:eastAsia="Times New Roman" w:hAnsi="Trebuchet MS" w:cstheme="minorBidi"/>
              </w:rPr>
              <w:t xml:space="preserve">) extend beyond the rear wall of the original </w:t>
            </w:r>
            <w:proofErr w:type="spellStart"/>
            <w:r w:rsidRPr="00A533C5">
              <w:rPr>
                <w:rFonts w:ascii="Trebuchet MS" w:eastAsia="Times New Roman" w:hAnsi="Trebuchet MS" w:cstheme="minorBidi"/>
              </w:rPr>
              <w:t>dwellinghouse</w:t>
            </w:r>
            <w:proofErr w:type="spellEnd"/>
            <w:r w:rsidRPr="00A533C5">
              <w:rPr>
                <w:rFonts w:ascii="Trebuchet MS" w:eastAsia="Times New Roman" w:hAnsi="Trebuchet MS" w:cstheme="minorBidi"/>
              </w:rPr>
              <w:t xml:space="preserve"> by more than 3 metres, or </w:t>
            </w:r>
          </w:p>
          <w:p w:rsidR="004F1BE1" w:rsidRPr="00A533C5" w:rsidRDefault="004F1BE1" w:rsidP="00987183">
            <w:pPr>
              <w:pStyle w:val="Default"/>
              <w:jc w:val="both"/>
              <w:rPr>
                <w:rFonts w:ascii="Trebuchet MS" w:eastAsia="Times New Roman" w:hAnsi="Trebuchet MS" w:cstheme="minorBidi"/>
              </w:rPr>
            </w:pPr>
            <w:r w:rsidRPr="00A533C5">
              <w:rPr>
                <w:rFonts w:ascii="Trebuchet MS" w:eastAsia="Times New Roman" w:hAnsi="Trebuchet MS" w:cstheme="minorBidi"/>
              </w:rPr>
              <w:t xml:space="preserve">(ii) be within 7 metres of any boundary of the curtilage of the </w:t>
            </w:r>
            <w:proofErr w:type="spellStart"/>
            <w:r w:rsidRPr="00A533C5">
              <w:rPr>
                <w:rFonts w:ascii="Trebuchet MS" w:eastAsia="Times New Roman" w:hAnsi="Trebuchet MS" w:cstheme="minorBidi"/>
              </w:rPr>
              <w:t>dwellinghouse</w:t>
            </w:r>
            <w:proofErr w:type="spellEnd"/>
            <w:r w:rsidRPr="00A533C5">
              <w:rPr>
                <w:rFonts w:ascii="Trebuchet MS" w:eastAsia="Times New Roman" w:hAnsi="Trebuchet MS" w:cstheme="minorBidi"/>
              </w:rPr>
              <w:t xml:space="preserve"> being enlarged which is opposite the rear wall of that </w:t>
            </w:r>
            <w:proofErr w:type="spellStart"/>
            <w:r w:rsidRPr="00A533C5">
              <w:rPr>
                <w:rFonts w:ascii="Trebuchet MS" w:eastAsia="Times New Roman" w:hAnsi="Trebuchet MS" w:cstheme="minorBidi"/>
              </w:rPr>
              <w:t>dwellinghouse</w:t>
            </w:r>
            <w:proofErr w:type="spellEnd"/>
            <w:r w:rsidRPr="00A533C5">
              <w:rPr>
                <w:rFonts w:ascii="Trebuchet MS" w:eastAsia="Times New Roman" w:hAnsi="Trebuchet MS" w:cstheme="minorBidi"/>
              </w:rPr>
              <w:t xml:space="preserve"> </w:t>
            </w:r>
          </w:p>
          <w:p w:rsidR="004F1BE1" w:rsidRPr="00A533C5" w:rsidRDefault="004F1BE1" w:rsidP="00987183">
            <w:pPr>
              <w:pStyle w:val="Default"/>
              <w:jc w:val="both"/>
              <w:rPr>
                <w:rFonts w:ascii="Trebuchet MS" w:eastAsia="Times New Roman" w:hAnsi="Trebuchet MS" w:cstheme="minorBidi"/>
              </w:rPr>
            </w:pPr>
          </w:p>
          <w:p w:rsidR="004F1BE1" w:rsidRPr="00A533C5" w:rsidRDefault="004F1BE1" w:rsidP="00987183">
            <w:pPr>
              <w:jc w:val="both"/>
              <w:rPr>
                <w:rFonts w:ascii="Trebuchet MS" w:eastAsia="Times New Roman" w:hAnsi="Trebuchet MS"/>
                <w:color w:val="000000"/>
                <w:sz w:val="24"/>
                <w:szCs w:val="24"/>
              </w:rPr>
            </w:pPr>
            <w:r w:rsidRPr="00A533C5">
              <w:rPr>
                <w:rFonts w:ascii="Trebuchet MS" w:eastAsia="Times New Roman" w:hAnsi="Trebuchet MS"/>
                <w:color w:val="000000"/>
                <w:sz w:val="24"/>
                <w:szCs w:val="24"/>
              </w:rPr>
              <w:t xml:space="preserve">This means that the enlarged part of the house could be a </w:t>
            </w:r>
            <w:proofErr w:type="gramStart"/>
            <w:r w:rsidRPr="00A533C5">
              <w:rPr>
                <w:rFonts w:ascii="Trebuchet MS" w:eastAsia="Times New Roman" w:hAnsi="Trebuchet MS"/>
                <w:color w:val="000000"/>
                <w:sz w:val="24"/>
                <w:szCs w:val="24"/>
              </w:rPr>
              <w:t>two storey</w:t>
            </w:r>
            <w:proofErr w:type="gramEnd"/>
            <w:r w:rsidRPr="00A533C5">
              <w:rPr>
                <w:rFonts w:ascii="Trebuchet MS" w:eastAsia="Times New Roman" w:hAnsi="Trebuchet MS"/>
                <w:color w:val="000000"/>
                <w:sz w:val="24"/>
                <w:szCs w:val="24"/>
              </w:rPr>
              <w:t xml:space="preserve"> extension to a house, or might comprise the addition of a storey onto a part of the house which has already been enlarged through permitted development - for example, the addition of a second storey onto an existing single storey extension. The entire enlarged part of the house must not extend beyond the rear wall by more than 3 metres for the development to qualify as permitted development. Measurement of the extension beyond the rear wall should be made from the base of the rear wall of the original house that the enlargement extends beyond. </w:t>
            </w:r>
          </w:p>
          <w:p w:rsidR="004F1BE1" w:rsidRPr="00A533C5" w:rsidRDefault="004F1BE1" w:rsidP="00987183">
            <w:pPr>
              <w:jc w:val="both"/>
              <w:rPr>
                <w:rFonts w:ascii="Trebuchet MS" w:eastAsia="Times New Roman" w:hAnsi="Trebuchet MS"/>
                <w:color w:val="000000"/>
                <w:sz w:val="24"/>
                <w:szCs w:val="24"/>
              </w:rPr>
            </w:pPr>
          </w:p>
          <w:p w:rsidR="004F1BE1" w:rsidRDefault="004F1BE1" w:rsidP="00987183">
            <w:pPr>
              <w:jc w:val="both"/>
              <w:rPr>
                <w:rFonts w:ascii="Trebuchet MS" w:eastAsia="Times New Roman" w:hAnsi="Trebuchet MS"/>
                <w:color w:val="000000"/>
                <w:sz w:val="24"/>
                <w:szCs w:val="24"/>
              </w:rPr>
            </w:pPr>
            <w:r w:rsidRPr="00A533C5">
              <w:rPr>
                <w:rFonts w:ascii="Trebuchet MS" w:eastAsia="Times New Roman" w:hAnsi="Trebuchet MS"/>
                <w:color w:val="000000"/>
                <w:sz w:val="24"/>
                <w:szCs w:val="24"/>
              </w:rPr>
              <w:t xml:space="preserve">Other limits in Class A also apply where relevant, for example the height limits in (c) </w:t>
            </w:r>
            <w:r w:rsidRPr="00AF3FE4">
              <w:rPr>
                <w:rFonts w:ascii="Trebuchet MS" w:eastAsia="Times New Roman" w:hAnsi="Trebuchet MS"/>
                <w:color w:val="000000"/>
                <w:sz w:val="24"/>
                <w:szCs w:val="24"/>
              </w:rPr>
              <w:t xml:space="preserve">the height of the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enlarged, improved or altered would exceed the height of the highest part of the roof of the existing </w:t>
            </w:r>
            <w:proofErr w:type="spellStart"/>
            <w:r w:rsidRPr="00AF3FE4">
              <w:rPr>
                <w:rFonts w:ascii="Trebuchet MS" w:eastAsia="Times New Roman" w:hAnsi="Trebuchet MS"/>
                <w:color w:val="000000"/>
                <w:sz w:val="24"/>
                <w:szCs w:val="24"/>
              </w:rPr>
              <w:t>dwellinghouse</w:t>
            </w:r>
            <w:proofErr w:type="spellEnd"/>
            <w:r w:rsidRPr="00A533C5">
              <w:rPr>
                <w:rFonts w:ascii="Trebuchet MS" w:eastAsia="Times New Roman" w:hAnsi="Trebuchet MS"/>
                <w:color w:val="000000"/>
                <w:sz w:val="24"/>
                <w:szCs w:val="24"/>
              </w:rPr>
              <w:t xml:space="preserve"> and (d) </w:t>
            </w:r>
            <w:r w:rsidRPr="00AF3FE4">
              <w:rPr>
                <w:rFonts w:ascii="Trebuchet MS" w:eastAsia="Times New Roman" w:hAnsi="Trebuchet MS"/>
                <w:color w:val="000000"/>
                <w:sz w:val="24"/>
                <w:szCs w:val="24"/>
              </w:rPr>
              <w:t xml:space="preserve">the height of the eaves of the part of the </w:t>
            </w:r>
            <w:proofErr w:type="spellStart"/>
            <w:r w:rsidRPr="00AF3FE4">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 xml:space="preserve"> enlarged, improved or altered would exceed the height of the eaves of the existing </w:t>
            </w:r>
            <w:proofErr w:type="spellStart"/>
            <w:r w:rsidRPr="00AF3FE4">
              <w:rPr>
                <w:rFonts w:ascii="Trebuchet MS" w:eastAsia="Times New Roman" w:hAnsi="Trebuchet MS"/>
                <w:color w:val="000000"/>
                <w:sz w:val="24"/>
                <w:szCs w:val="24"/>
              </w:rPr>
              <w:t>dwellinghouse</w:t>
            </w:r>
            <w:proofErr w:type="spellEnd"/>
            <w:r>
              <w:rPr>
                <w:rFonts w:ascii="Trebuchet MS" w:eastAsia="Times New Roman" w:hAnsi="Trebuchet MS"/>
                <w:color w:val="000000"/>
                <w:sz w:val="24"/>
                <w:szCs w:val="24"/>
              </w:rPr>
              <w:t>.</w:t>
            </w:r>
          </w:p>
          <w:p w:rsidR="004F1BE1" w:rsidRDefault="004F1BE1" w:rsidP="00987183">
            <w:pPr>
              <w:jc w:val="both"/>
              <w:rPr>
                <w:rFonts w:ascii="Trebuchet MS" w:eastAsia="Times New Roman" w:hAnsi="Trebuchet MS"/>
                <w:color w:val="000000"/>
                <w:sz w:val="24"/>
                <w:szCs w:val="24"/>
              </w:rPr>
            </w:pPr>
          </w:p>
          <w:p w:rsidR="004F1BE1" w:rsidRDefault="004F1BE1" w:rsidP="00987183">
            <w:pPr>
              <w:jc w:val="both"/>
              <w:rPr>
                <w:rFonts w:ascii="Trebuchet MS" w:eastAsia="Times New Roman" w:hAnsi="Trebuchet MS"/>
                <w:color w:val="000000"/>
                <w:sz w:val="24"/>
                <w:szCs w:val="24"/>
              </w:rPr>
            </w:pPr>
            <w:r w:rsidRPr="00A533C5">
              <w:rPr>
                <w:rFonts w:ascii="Trebuchet MS" w:eastAsia="Times New Roman" w:hAnsi="Trebuchet MS"/>
                <w:color w:val="000000"/>
                <w:sz w:val="24"/>
                <w:szCs w:val="24"/>
              </w:rPr>
              <w:t xml:space="preserve">The limits applying to an enlargement of a house by more than one storey will apply in all cases where the enlarged part of the house includes any part that is of more than one storey. If a </w:t>
            </w:r>
            <w:r>
              <w:rPr>
                <w:rFonts w:ascii="Trebuchet MS" w:eastAsia="Times New Roman" w:hAnsi="Trebuchet MS"/>
                <w:color w:val="000000"/>
                <w:sz w:val="24"/>
                <w:szCs w:val="24"/>
              </w:rPr>
              <w:t>h</w:t>
            </w:r>
            <w:r w:rsidRPr="00A533C5">
              <w:rPr>
                <w:rFonts w:ascii="Trebuchet MS" w:eastAsia="Times New Roman" w:hAnsi="Trebuchet MS"/>
                <w:color w:val="000000"/>
                <w:sz w:val="24"/>
                <w:szCs w:val="24"/>
              </w:rPr>
              <w:t>ouse has an existing, single storey, ground floor extension that was not part of the original house, and which extended beyond the rear wall by more than 3 metres, then it would not be possible to add an additional first floor extension above this without an application for planning permission - because the enlarged part of the house would then consist of more than one storey and would extend beyond a rear wall by more than 3 metres.</w:t>
            </w:r>
          </w:p>
          <w:p w:rsidR="004F1BE1" w:rsidRDefault="004F1BE1" w:rsidP="00987183">
            <w:pPr>
              <w:jc w:val="both"/>
              <w:rPr>
                <w:rFonts w:ascii="Trebuchet MS" w:eastAsia="Times New Roman" w:hAnsi="Trebuchet MS"/>
                <w:color w:val="000000"/>
                <w:sz w:val="24"/>
                <w:szCs w:val="24"/>
              </w:rPr>
            </w:pPr>
          </w:p>
          <w:p w:rsidR="004F1BE1" w:rsidRDefault="004F1BE1" w:rsidP="00987183">
            <w:pPr>
              <w:jc w:val="both"/>
              <w:rPr>
                <w:rFonts w:ascii="Trebuchet MS" w:eastAsia="Times New Roman" w:hAnsi="Trebuchet MS"/>
                <w:color w:val="000000"/>
                <w:sz w:val="24"/>
                <w:szCs w:val="24"/>
              </w:rPr>
            </w:pPr>
            <w:r w:rsidRPr="00867045">
              <w:rPr>
                <w:rFonts w:ascii="Trebuchet MS" w:eastAsia="Times New Roman" w:hAnsi="Trebuchet MS"/>
                <w:noProof/>
                <w:color w:val="000000"/>
                <w:sz w:val="24"/>
                <w:szCs w:val="24"/>
              </w:rPr>
              <w:lastRenderedPageBreak/>
              <w:drawing>
                <wp:inline distT="0" distB="0" distL="0" distR="0" wp14:anchorId="14AC9855" wp14:editId="3C5CA894">
                  <wp:extent cx="1586573" cy="1758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94343" cy="1767564"/>
                          </a:xfrm>
                          <a:prstGeom prst="rect">
                            <a:avLst/>
                          </a:prstGeom>
                        </pic:spPr>
                      </pic:pic>
                    </a:graphicData>
                  </a:graphic>
                </wp:inline>
              </w:drawing>
            </w:r>
            <w:r>
              <w:rPr>
                <w:noProof/>
              </w:rPr>
              <w:t xml:space="preserve"> </w:t>
            </w:r>
            <w:r w:rsidRPr="00867045">
              <w:rPr>
                <w:rFonts w:ascii="Trebuchet MS" w:eastAsia="Times New Roman" w:hAnsi="Trebuchet MS"/>
                <w:noProof/>
                <w:color w:val="000000"/>
                <w:sz w:val="24"/>
                <w:szCs w:val="24"/>
              </w:rPr>
              <w:drawing>
                <wp:inline distT="0" distB="0" distL="0" distR="0" wp14:anchorId="49BC1C58" wp14:editId="509828FF">
                  <wp:extent cx="1238423" cy="13336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238423" cy="1333686"/>
                          </a:xfrm>
                          <a:prstGeom prst="rect">
                            <a:avLst/>
                          </a:prstGeom>
                        </pic:spPr>
                      </pic:pic>
                    </a:graphicData>
                  </a:graphic>
                </wp:inline>
              </w:drawing>
            </w:r>
            <w:r>
              <w:rPr>
                <w:noProof/>
              </w:rPr>
              <w:t>Extracts from plans 1912PP-22 &amp; 23</w:t>
            </w:r>
          </w:p>
          <w:p w:rsidR="004F1BE1" w:rsidRDefault="004F1BE1" w:rsidP="00987183">
            <w:pPr>
              <w:jc w:val="both"/>
              <w:rPr>
                <w:rFonts w:ascii="Trebuchet MS" w:eastAsia="Times New Roman" w:hAnsi="Trebuchet MS"/>
                <w:color w:val="000000"/>
                <w:sz w:val="24"/>
                <w:szCs w:val="24"/>
              </w:rPr>
            </w:pPr>
          </w:p>
          <w:p w:rsidR="004F1BE1" w:rsidRDefault="004F1BE1" w:rsidP="00987183">
            <w:pPr>
              <w:jc w:val="both"/>
              <w:rPr>
                <w:rFonts w:ascii="Trebuchet MS" w:eastAsia="Times New Roman" w:hAnsi="Trebuchet MS"/>
                <w:color w:val="000000"/>
                <w:sz w:val="24"/>
                <w:szCs w:val="24"/>
              </w:rPr>
            </w:pPr>
            <w:r>
              <w:rPr>
                <w:rFonts w:ascii="Trebuchet MS" w:eastAsia="Times New Roman" w:hAnsi="Trebuchet MS"/>
                <w:color w:val="000000"/>
                <w:sz w:val="24"/>
                <w:szCs w:val="24"/>
              </w:rPr>
              <w:t xml:space="preserve">In this case the existing single storey rear exceeds 3 metres but the first floor would be set back slightly to not exceed 3 </w:t>
            </w:r>
            <w:proofErr w:type="gramStart"/>
            <w:r>
              <w:rPr>
                <w:rFonts w:ascii="Trebuchet MS" w:eastAsia="Times New Roman" w:hAnsi="Trebuchet MS"/>
                <w:color w:val="000000"/>
                <w:sz w:val="24"/>
                <w:szCs w:val="24"/>
              </w:rPr>
              <w:t>metres</w:t>
            </w:r>
            <w:proofErr w:type="gramEnd"/>
            <w:r>
              <w:rPr>
                <w:rFonts w:ascii="Trebuchet MS" w:eastAsia="Times New Roman" w:hAnsi="Trebuchet MS"/>
                <w:color w:val="000000"/>
                <w:sz w:val="24"/>
                <w:szCs w:val="24"/>
              </w:rPr>
              <w:t xml:space="preserve"> so this requirement is met. </w:t>
            </w:r>
          </w:p>
          <w:p w:rsidR="004F1BE1" w:rsidRPr="00A533C5" w:rsidRDefault="004F1BE1" w:rsidP="00987183">
            <w:pPr>
              <w:jc w:val="both"/>
              <w:rPr>
                <w:rFonts w:ascii="Trebuchet MS" w:eastAsia="Times New Roman" w:hAnsi="Trebuchet MS"/>
                <w:color w:val="000000"/>
                <w:sz w:val="24"/>
                <w:szCs w:val="24"/>
              </w:rPr>
            </w:pPr>
          </w:p>
          <w:p w:rsidR="004F1BE1" w:rsidRDefault="004F1BE1" w:rsidP="00987183">
            <w:pPr>
              <w:jc w:val="both"/>
              <w:rPr>
                <w:rFonts w:ascii="Trebuchet MS" w:eastAsia="Times New Roman" w:hAnsi="Trebuchet MS"/>
                <w:color w:val="000000"/>
                <w:sz w:val="24"/>
                <w:szCs w:val="24"/>
              </w:rPr>
            </w:pPr>
            <w:r>
              <w:rPr>
                <w:rFonts w:ascii="Trebuchet MS" w:eastAsia="Times New Roman" w:hAnsi="Trebuchet MS"/>
                <w:color w:val="000000"/>
                <w:sz w:val="24"/>
                <w:szCs w:val="24"/>
              </w:rPr>
              <w:t>However, i</w:t>
            </w:r>
            <w:r w:rsidRPr="00A533C5">
              <w:rPr>
                <w:rFonts w:ascii="Trebuchet MS" w:eastAsia="Times New Roman" w:hAnsi="Trebuchet MS"/>
                <w:color w:val="000000"/>
                <w:sz w:val="24"/>
                <w:szCs w:val="24"/>
              </w:rPr>
              <w:t>n addition, where the extension or enlarged part of the house has more than one storey, it must be a minimum of 7 metres away from any boundary of its curtilage which is opposite the rear wall of the house being enlarged.</w:t>
            </w:r>
          </w:p>
          <w:p w:rsidR="004F1BE1" w:rsidRDefault="004F1BE1" w:rsidP="00987183">
            <w:pPr>
              <w:jc w:val="both"/>
              <w:rPr>
                <w:rFonts w:ascii="Trebuchet MS" w:eastAsia="Times New Roman" w:hAnsi="Trebuchet MS"/>
                <w:color w:val="000000"/>
                <w:sz w:val="24"/>
                <w:szCs w:val="24"/>
              </w:rPr>
            </w:pPr>
            <w:r>
              <w:rPr>
                <w:rFonts w:ascii="Trebuchet MS" w:eastAsia="Times New Roman" w:hAnsi="Trebuchet MS"/>
                <w:noProof/>
                <w:color w:val="000000"/>
                <w:sz w:val="24"/>
                <w:szCs w:val="24"/>
              </w:rPr>
              <mc:AlternateContent>
                <mc:Choice Requires="wps">
                  <w:drawing>
                    <wp:anchor distT="0" distB="0" distL="114300" distR="114300" simplePos="0" relativeHeight="251659264" behindDoc="0" locked="0" layoutInCell="1" allowOverlap="1" wp14:anchorId="78698DFC" wp14:editId="0478E41A">
                      <wp:simplePos x="0" y="0"/>
                      <wp:positionH relativeFrom="column">
                        <wp:posOffset>876300</wp:posOffset>
                      </wp:positionH>
                      <wp:positionV relativeFrom="paragraph">
                        <wp:posOffset>406400</wp:posOffset>
                      </wp:positionV>
                      <wp:extent cx="819150" cy="581025"/>
                      <wp:effectExtent l="38100" t="38100" r="19050" b="28575"/>
                      <wp:wrapNone/>
                      <wp:docPr id="2" name="Straight Arrow Connector 2"/>
                      <wp:cNvGraphicFramePr/>
                      <a:graphic xmlns:a="http://schemas.openxmlformats.org/drawingml/2006/main">
                        <a:graphicData uri="http://schemas.microsoft.com/office/word/2010/wordprocessingShape">
                          <wps:wsp>
                            <wps:cNvCnPr/>
                            <wps:spPr>
                              <a:xfrm flipH="1" flipV="1">
                                <a:off x="0" y="0"/>
                                <a:ext cx="819150" cy="581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48E38E" id="_x0000_t32" coordsize="21600,21600" o:spt="32" o:oned="t" path="m,l21600,21600e" filled="f">
                      <v:path arrowok="t" fillok="f" o:connecttype="none"/>
                      <o:lock v:ext="edit" shapetype="t"/>
                    </v:shapetype>
                    <v:shape id="Straight Arrow Connector 2" o:spid="_x0000_s1026" type="#_x0000_t32" style="position:absolute;margin-left:69pt;margin-top:32pt;width:64.5pt;height:45.7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" strokecolor="#4472c4 [3204]" strokeweight=".5pt">
                      <v:stroke endarrow="block" joinstyle="miter"/>
                    </v:shape>
                  </w:pict>
                </mc:Fallback>
              </mc:AlternateContent>
            </w:r>
            <w:r w:rsidRPr="00A533C5">
              <w:rPr>
                <w:rFonts w:ascii="Trebuchet MS" w:eastAsia="Times New Roman" w:hAnsi="Trebuchet MS"/>
                <w:noProof/>
                <w:color w:val="000000"/>
                <w:sz w:val="24"/>
                <w:szCs w:val="24"/>
              </w:rPr>
              <w:drawing>
                <wp:inline distT="0" distB="0" distL="0" distR="0" wp14:anchorId="2CD36E1F" wp14:editId="46346956">
                  <wp:extent cx="1724266" cy="1114581"/>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724266" cy="1114581"/>
                          </a:xfrm>
                          <a:prstGeom prst="rect">
                            <a:avLst/>
                          </a:prstGeom>
                        </pic:spPr>
                      </pic:pic>
                    </a:graphicData>
                  </a:graphic>
                </wp:inline>
              </w:drawing>
            </w:r>
            <w:r>
              <w:rPr>
                <w:rFonts w:ascii="Trebuchet MS" w:eastAsia="Times New Roman" w:hAnsi="Trebuchet MS"/>
                <w:color w:val="000000"/>
                <w:sz w:val="24"/>
                <w:szCs w:val="24"/>
              </w:rPr>
              <w:t>Extract from plan 19125PP-25</w:t>
            </w:r>
          </w:p>
          <w:p w:rsidR="004F1BE1" w:rsidRPr="00A533C5" w:rsidRDefault="004F1BE1" w:rsidP="00987183">
            <w:pPr>
              <w:jc w:val="both"/>
              <w:rPr>
                <w:rFonts w:ascii="Trebuchet MS" w:eastAsia="Times New Roman" w:hAnsi="Trebuchet MS"/>
                <w:color w:val="000000"/>
                <w:sz w:val="24"/>
                <w:szCs w:val="24"/>
              </w:rPr>
            </w:pPr>
            <w:r>
              <w:rPr>
                <w:rFonts w:ascii="Trebuchet MS" w:eastAsia="Times New Roman" w:hAnsi="Trebuchet MS"/>
                <w:color w:val="000000"/>
                <w:sz w:val="24"/>
                <w:szCs w:val="24"/>
              </w:rPr>
              <w:t xml:space="preserve">This requirement is not met. While the main rear boundary is over 7 metres away the step in the boundary nearest to the house is not. </w:t>
            </w:r>
          </w:p>
          <w:p w:rsidR="004F1BE1" w:rsidRDefault="004F1BE1" w:rsidP="00987183">
            <w:pPr>
              <w:pStyle w:val="Default"/>
              <w:jc w:val="both"/>
              <w:rPr>
                <w:rFonts w:ascii="Trebuchet MS" w:eastAsia="Times New Roman" w:hAnsi="Trebuchet MS"/>
              </w:rPr>
            </w:pPr>
            <w:r w:rsidRPr="00A533C5">
              <w:rPr>
                <w:rFonts w:ascii="Trebuchet MS" w:eastAsia="Times New Roman" w:hAnsi="Trebuchet MS" w:cstheme="minorBidi"/>
              </w:rPr>
              <w:t>Finally</w:t>
            </w:r>
            <w:r>
              <w:rPr>
                <w:rFonts w:ascii="Trebuchet MS" w:eastAsia="Times New Roman" w:hAnsi="Trebuchet MS" w:cstheme="minorBidi"/>
              </w:rPr>
              <w:t>, w</w:t>
            </w:r>
            <w:r w:rsidRPr="00A533C5">
              <w:rPr>
                <w:rFonts w:ascii="Trebuchet MS" w:eastAsia="Times New Roman" w:hAnsi="Trebuchet MS"/>
              </w:rPr>
              <w:t>here any part of a proposed extension to a house is within 2 metres of the boundary of its curtilage, then the maximum height of the eaves that is allowed for the proposal (or, if adding to an existing extension, the whole enlarged part), is 3 metres.</w:t>
            </w:r>
          </w:p>
          <w:p w:rsidR="004F1BE1" w:rsidRDefault="004F1BE1" w:rsidP="00987183">
            <w:pPr>
              <w:jc w:val="both"/>
              <w:rPr>
                <w:rFonts w:ascii="Trebuchet MS" w:eastAsia="Times New Roman" w:hAnsi="Trebuchet MS"/>
                <w:color w:val="000000"/>
                <w:sz w:val="24"/>
                <w:szCs w:val="24"/>
              </w:rPr>
            </w:pPr>
            <w:r w:rsidRPr="00867045">
              <w:rPr>
                <w:rFonts w:ascii="Trebuchet MS" w:eastAsia="Times New Roman" w:hAnsi="Trebuchet MS"/>
                <w:noProof/>
                <w:color w:val="000000"/>
                <w:sz w:val="24"/>
                <w:szCs w:val="24"/>
              </w:rPr>
              <w:drawing>
                <wp:inline distT="0" distB="0" distL="0" distR="0" wp14:anchorId="63B9EC6B" wp14:editId="6EAFBF74">
                  <wp:extent cx="1509325" cy="1924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27154" cy="1946778"/>
                          </a:xfrm>
                          <a:prstGeom prst="rect">
                            <a:avLst/>
                          </a:prstGeom>
                        </pic:spPr>
                      </pic:pic>
                    </a:graphicData>
                  </a:graphic>
                </wp:inline>
              </w:drawing>
            </w:r>
            <w:r>
              <w:rPr>
                <w:rFonts w:ascii="Trebuchet MS" w:eastAsia="Times New Roman" w:hAnsi="Trebuchet MS"/>
                <w:color w:val="000000"/>
                <w:sz w:val="24"/>
                <w:szCs w:val="24"/>
              </w:rPr>
              <w:t>Extract from elevation drawing 19125PP-23.</w:t>
            </w:r>
          </w:p>
          <w:p w:rsidR="004F1BE1" w:rsidRDefault="004F1BE1" w:rsidP="00987183">
            <w:pPr>
              <w:jc w:val="both"/>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 xml:space="preserve">The new eaves will be over 3 metres in height and are within 2 metres of the site boundary. </w:t>
            </w:r>
          </w:p>
          <w:p w:rsidR="004F1BE1" w:rsidRDefault="004F1BE1" w:rsidP="00987183">
            <w:pPr>
              <w:jc w:val="both"/>
              <w:rPr>
                <w:rFonts w:ascii="Trebuchet MS" w:eastAsia="Times New Roman" w:hAnsi="Trebuchet MS"/>
                <w:color w:val="000000"/>
                <w:sz w:val="24"/>
                <w:szCs w:val="24"/>
              </w:rPr>
            </w:pPr>
            <w:r>
              <w:rPr>
                <w:rFonts w:ascii="Trebuchet MS" w:eastAsia="Times New Roman" w:hAnsi="Trebuchet MS"/>
                <w:color w:val="000000"/>
                <w:sz w:val="24"/>
                <w:szCs w:val="24"/>
              </w:rPr>
              <w:t xml:space="preserve">The application also refers to Part B Alterations to roof but as the application fails against Class A this has been given no further consideration. </w:t>
            </w:r>
          </w:p>
          <w:p w:rsidR="004F1BE1" w:rsidRPr="007A16C8" w:rsidRDefault="004F1BE1" w:rsidP="00987183">
            <w:pPr>
              <w:jc w:val="both"/>
              <w:rPr>
                <w:rFonts w:ascii="Trebuchet MS" w:eastAsia="Times New Roman" w:hAnsi="Trebuchet MS"/>
                <w:b/>
                <w:color w:val="000000"/>
                <w:sz w:val="24"/>
                <w:szCs w:val="24"/>
              </w:rPr>
            </w:pPr>
            <w:r w:rsidRPr="007A16C8">
              <w:rPr>
                <w:rFonts w:ascii="Trebuchet MS" w:eastAsia="Times New Roman" w:hAnsi="Trebuchet MS"/>
                <w:b/>
                <w:color w:val="000000"/>
                <w:sz w:val="24"/>
                <w:szCs w:val="24"/>
              </w:rPr>
              <w:t>RECOMMENDATION</w:t>
            </w:r>
          </w:p>
          <w:p w:rsidR="004F1BE1" w:rsidRDefault="004F1BE1" w:rsidP="004F1BE1">
            <w:pPr>
              <w:ind w:left="168"/>
              <w:jc w:val="both"/>
              <w:rPr>
                <w:rFonts w:ascii="Trebuchet MS" w:eastAsia="Times New Roman" w:hAnsi="Trebuchet MS"/>
                <w:color w:val="000000"/>
                <w:sz w:val="24"/>
                <w:szCs w:val="24"/>
              </w:rPr>
            </w:pPr>
            <w:r>
              <w:rPr>
                <w:rFonts w:ascii="Trebuchet MS" w:eastAsia="Times New Roman" w:hAnsi="Trebuchet MS"/>
                <w:color w:val="000000"/>
                <w:sz w:val="24"/>
                <w:szCs w:val="24"/>
              </w:rPr>
              <w:t xml:space="preserve">Refuse Certificate as fails to be permitted development when </w:t>
            </w:r>
            <w:r>
              <w:rPr>
                <w:rFonts w:ascii="Trebuchet MS" w:hAnsi="Trebuchet MS"/>
                <w:sz w:val="24"/>
                <w:szCs w:val="24"/>
              </w:rPr>
              <w:t xml:space="preserve">assessed against the Town and Country Planning Act 1990 (as amended) and Class A Part 1, Schedule 2 of the Town and Country Planning (General Permitted Development) (England) Order 2015 </w:t>
            </w:r>
            <w:r>
              <w:rPr>
                <w:rFonts w:ascii="Trebuchet MS" w:eastAsia="Times New Roman" w:hAnsi="Trebuchet MS"/>
                <w:color w:val="000000"/>
                <w:sz w:val="24"/>
                <w:szCs w:val="24"/>
              </w:rPr>
              <w:t>due to proximity to rear boundary and height of eaves within 2 metres of the side boundary.</w:t>
            </w:r>
          </w:p>
          <w:p w:rsidR="004F1BE1" w:rsidRDefault="004F1BE1" w:rsidP="00987183">
            <w:pPr>
              <w:jc w:val="both"/>
              <w:rPr>
                <w:rFonts w:ascii="Trebuchet MS" w:eastAsia="Times New Roman" w:hAnsi="Trebuchet MS"/>
                <w:color w:val="000000"/>
                <w:sz w:val="24"/>
                <w:szCs w:val="24"/>
              </w:rPr>
            </w:pPr>
          </w:p>
          <w:p w:rsidR="004F1BE1" w:rsidRDefault="004F1BE1" w:rsidP="00987183">
            <w:pPr>
              <w:jc w:val="both"/>
              <w:rPr>
                <w:rFonts w:ascii="Trebuchet MS" w:eastAsia="Times New Roman" w:hAnsi="Trebuchet MS"/>
                <w:color w:val="000000"/>
                <w:sz w:val="24"/>
                <w:szCs w:val="24"/>
              </w:rPr>
            </w:pPr>
          </w:p>
          <w:p w:rsidR="004F1BE1" w:rsidRDefault="004F1BE1" w:rsidP="00987183">
            <w:pPr>
              <w:jc w:val="both"/>
              <w:rPr>
                <w:rFonts w:ascii="Trebuchet MS" w:eastAsia="Times New Roman" w:hAnsi="Trebuchet MS"/>
                <w:color w:val="000000"/>
                <w:sz w:val="24"/>
                <w:szCs w:val="24"/>
              </w:rPr>
            </w:pPr>
          </w:p>
          <w:p w:rsidR="004F1BE1" w:rsidRDefault="004F1BE1" w:rsidP="00987183">
            <w:pPr>
              <w:jc w:val="both"/>
              <w:rPr>
                <w:rFonts w:ascii="Trebuchet MS" w:eastAsia="Times New Roman" w:hAnsi="Trebuchet MS"/>
                <w:color w:val="000000"/>
                <w:sz w:val="24"/>
                <w:szCs w:val="24"/>
              </w:rPr>
            </w:pPr>
          </w:p>
        </w:tc>
      </w:tr>
    </w:tbl>
    <w:p w:rsidR="004F1BE1" w:rsidRDefault="004F1BE1"/>
    <w:sectPr w:rsidR="004F1B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BE1"/>
    <w:rsid w:val="004F1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34DA3"/>
  <w15:chartTrackingRefBased/>
  <w15:docId w15:val="{A2736B09-9DE9-4C98-9DCB-20BAFE0EF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1BE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1B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rsid w:val="004F1BE1"/>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uiPriority w:val="99"/>
    <w:semiHidden/>
    <w:rsid w:val="004F1BE1"/>
  </w:style>
  <w:style w:type="character" w:customStyle="1" w:styleId="BodyTextChar1">
    <w:name w:val="Body Text Char1"/>
    <w:link w:val="BodyText"/>
    <w:locked/>
    <w:rsid w:val="004F1BE1"/>
    <w:rPr>
      <w:rFonts w:ascii="Times New Roman" w:eastAsia="Times New Roman" w:hAnsi="Times New Roman" w:cs="Times New Roman"/>
      <w:b/>
      <w:sz w:val="24"/>
      <w:szCs w:val="20"/>
    </w:rPr>
  </w:style>
  <w:style w:type="paragraph" w:customStyle="1" w:styleId="Default">
    <w:name w:val="Default"/>
    <w:rsid w:val="004F1BE1"/>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4F1B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B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Julie (Planning)</dc:creator>
  <cp:keywords/>
  <dc:description/>
  <cp:lastModifiedBy>Williams, Julie (Planning)</cp:lastModifiedBy>
  <cp:revision>1</cp:revision>
  <dcterms:created xsi:type="dcterms:W3CDTF">2021-04-09T18:44:00Z</dcterms:created>
  <dcterms:modified xsi:type="dcterms:W3CDTF">2021-04-09T18:45:00Z</dcterms:modified>
</cp:coreProperties>
</file>