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41B" w:rsidRPr="00CD4832"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CD4832">
        <w:rPr>
          <w:rFonts w:ascii="Trebuchet MS" w:hAnsi="Trebuchet MS"/>
          <w:szCs w:val="24"/>
        </w:rPr>
        <w:t>06/07/21 &amp; 25/06/21</w:t>
      </w:r>
    </w:p>
    <w:p w:rsidR="00A0641B" w:rsidRPr="00CD4832" w:rsidRDefault="00A0641B" w:rsidP="00A0641B">
      <w:pPr>
        <w:spacing w:line="240" w:lineRule="auto"/>
        <w:rPr>
          <w:rFonts w:ascii="Trebuchet MS" w:hAnsi="Trebuchet MS"/>
          <w:szCs w:val="24"/>
        </w:rPr>
      </w:pPr>
      <w:r w:rsidRPr="007C55A2">
        <w:rPr>
          <w:rFonts w:ascii="Trebuchet MS" w:hAnsi="Trebuchet MS"/>
          <w:b/>
          <w:szCs w:val="24"/>
        </w:rPr>
        <w:t>Application No:</w:t>
      </w:r>
      <w:r w:rsidR="00390213">
        <w:rPr>
          <w:rFonts w:ascii="Trebuchet MS" w:hAnsi="Trebuchet MS"/>
          <w:b/>
          <w:szCs w:val="24"/>
        </w:rPr>
        <w:t xml:space="preserve"> </w:t>
      </w:r>
      <w:r w:rsidR="00CD4832">
        <w:rPr>
          <w:rFonts w:ascii="Trebuchet MS" w:hAnsi="Trebuchet MS"/>
          <w:szCs w:val="24"/>
        </w:rPr>
        <w:t>210681/FUL &amp; 210682/ADV</w:t>
      </w:r>
    </w:p>
    <w:p w:rsidR="0037116B" w:rsidRPr="00CD4832"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CD4832">
        <w:rPr>
          <w:rFonts w:ascii="Trebuchet MS" w:hAnsi="Trebuchet MS"/>
          <w:szCs w:val="24"/>
        </w:rPr>
        <w:t>1 The Triangle</w:t>
      </w:r>
    </w:p>
    <w:p w:rsidR="00A7635C" w:rsidRPr="00CD4832" w:rsidRDefault="00A0641B" w:rsidP="000242CE">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CD4832" w:rsidRPr="00CD4832">
        <w:rPr>
          <w:rFonts w:ascii="Trebuchet MS" w:hAnsi="Trebuchet MS"/>
          <w:szCs w:val="24"/>
        </w:rPr>
        <w:t>Various external alterations including replacement shop front</w:t>
      </w:r>
      <w:r w:rsidR="00CD4832">
        <w:rPr>
          <w:rFonts w:ascii="Trebuchet MS" w:hAnsi="Trebuchet MS"/>
          <w:szCs w:val="24"/>
        </w:rPr>
        <w:t xml:space="preserve"> (210681/FUL); </w:t>
      </w:r>
      <w:r w:rsidR="00CD4832" w:rsidRPr="00CD4832">
        <w:rPr>
          <w:rFonts w:ascii="Trebuchet MS" w:hAnsi="Trebuchet MS"/>
          <w:szCs w:val="24"/>
        </w:rPr>
        <w:t>Display of internally illuminated fascia and projecting signs</w:t>
      </w:r>
      <w:r w:rsidR="00CD4832">
        <w:rPr>
          <w:rFonts w:ascii="Trebuchet MS" w:hAnsi="Trebuchet MS"/>
          <w:szCs w:val="24"/>
        </w:rPr>
        <w:t xml:space="preserve"> (210682/ADV)</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0242CE" w:rsidRPr="000242CE" w:rsidRDefault="005144B0" w:rsidP="00A0641B">
      <w:pPr>
        <w:spacing w:line="240" w:lineRule="auto"/>
        <w:rPr>
          <w:rFonts w:ascii="Trebuchet MS" w:hAnsi="Trebuchet MS"/>
          <w:szCs w:val="24"/>
        </w:rPr>
      </w:pPr>
      <w:r>
        <w:rPr>
          <w:rFonts w:ascii="Trebuchet MS" w:hAnsi="Trebuchet MS"/>
          <w:szCs w:val="24"/>
        </w:rPr>
        <w:t xml:space="preserve">The application site comprises a </w:t>
      </w:r>
      <w:proofErr w:type="gramStart"/>
      <w:r>
        <w:rPr>
          <w:rFonts w:ascii="Trebuchet MS" w:hAnsi="Trebuchet MS"/>
          <w:szCs w:val="24"/>
        </w:rPr>
        <w:t>two storey</w:t>
      </w:r>
      <w:proofErr w:type="gramEnd"/>
      <w:r>
        <w:rPr>
          <w:rFonts w:ascii="Trebuchet MS" w:hAnsi="Trebuchet MS"/>
          <w:szCs w:val="24"/>
        </w:rPr>
        <w:t xml:space="preserve"> building </w:t>
      </w:r>
      <w:r w:rsidR="005E4AAB">
        <w:rPr>
          <w:rFonts w:ascii="Trebuchet MS" w:hAnsi="Trebuchet MS"/>
          <w:szCs w:val="24"/>
        </w:rPr>
        <w:t xml:space="preserve">located at the end of a shopping parade, within Tilehurst </w:t>
      </w:r>
      <w:r w:rsidR="00F327C3">
        <w:rPr>
          <w:rFonts w:ascii="Trebuchet MS" w:hAnsi="Trebuchet MS"/>
          <w:szCs w:val="24"/>
        </w:rPr>
        <w:t>T</w:t>
      </w:r>
      <w:r w:rsidR="005E4AAB">
        <w:rPr>
          <w:rFonts w:ascii="Trebuchet MS" w:hAnsi="Trebuchet MS"/>
          <w:szCs w:val="24"/>
        </w:rPr>
        <w:t xml:space="preserve">riangle District Centre. </w:t>
      </w:r>
      <w:r w:rsidR="001C3B40">
        <w:rPr>
          <w:rFonts w:ascii="Trebuchet MS" w:hAnsi="Trebuchet MS"/>
          <w:szCs w:val="24"/>
        </w:rPr>
        <w:t xml:space="preserve">The building was vacant at the time of the application, previously in use as a bank.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1C3B40" w:rsidRPr="001C3B40" w:rsidRDefault="001C3B40" w:rsidP="00A0641B">
      <w:pPr>
        <w:spacing w:line="240" w:lineRule="auto"/>
        <w:rPr>
          <w:rFonts w:ascii="Trebuchet MS" w:hAnsi="Trebuchet MS"/>
          <w:szCs w:val="24"/>
        </w:rPr>
      </w:pPr>
      <w:r>
        <w:rPr>
          <w:rFonts w:ascii="Trebuchet MS" w:hAnsi="Trebuchet MS"/>
          <w:szCs w:val="24"/>
        </w:rPr>
        <w:t xml:space="preserve">The proposal is for various external alterations, including the replacement of the shop front, to facilitate the conversion of the ground floor from a former bank to a coffee shop. Both the existing and proposed uses fall within Class E, therefore planning permission is not required for the change of use. </w:t>
      </w:r>
      <w:r w:rsidR="002C3A12">
        <w:rPr>
          <w:rFonts w:ascii="Trebuchet MS" w:hAnsi="Trebuchet MS"/>
          <w:szCs w:val="24"/>
        </w:rPr>
        <w:t>The proposals include a new entrance to the principal elevation, to facilitate access to existing office</w:t>
      </w:r>
      <w:r w:rsidR="007046C2">
        <w:rPr>
          <w:rFonts w:ascii="Trebuchet MS" w:hAnsi="Trebuchet MS"/>
          <w:szCs w:val="24"/>
        </w:rPr>
        <w:t xml:space="preserve">/storage </w:t>
      </w:r>
      <w:r w:rsidR="002C3A12">
        <w:rPr>
          <w:rFonts w:ascii="Trebuchet MS" w:hAnsi="Trebuchet MS"/>
          <w:szCs w:val="24"/>
        </w:rPr>
        <w:t xml:space="preserve">space at the first floor. Application 210682/ADV proposes internally illuminated fascia and projecting signage, in the Costa Coffee corporate image. </w:t>
      </w:r>
    </w:p>
    <w:p w:rsidR="00A0641B"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0B1F1B" w:rsidRDefault="00394FA3" w:rsidP="007312A7">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7046C2">
        <w:rPr>
          <w:rFonts w:ascii="Trebuchet MS" w:hAnsi="Trebuchet MS"/>
          <w:szCs w:val="24"/>
        </w:rPr>
        <w:t>04/05/21:</w:t>
      </w:r>
    </w:p>
    <w:p w:rsidR="007046C2" w:rsidRDefault="007046C2" w:rsidP="007312A7">
      <w:pPr>
        <w:spacing w:line="240" w:lineRule="auto"/>
        <w:rPr>
          <w:rFonts w:ascii="Trebuchet MS" w:hAnsi="Trebuchet MS"/>
          <w:szCs w:val="24"/>
        </w:rPr>
      </w:pPr>
      <w:r>
        <w:rPr>
          <w:rFonts w:ascii="Trebuchet MS" w:hAnsi="Trebuchet MS"/>
          <w:szCs w:val="24"/>
        </w:rPr>
        <w:t>Drawing No: 07.22/02.1 – Site Location and Block Plan</w:t>
      </w:r>
    </w:p>
    <w:p w:rsidR="007046C2" w:rsidRDefault="007046C2" w:rsidP="007312A7">
      <w:pPr>
        <w:spacing w:line="240" w:lineRule="auto"/>
        <w:rPr>
          <w:rFonts w:ascii="Trebuchet MS" w:hAnsi="Trebuchet MS"/>
          <w:szCs w:val="24"/>
        </w:rPr>
      </w:pPr>
      <w:r>
        <w:rPr>
          <w:rFonts w:ascii="Trebuchet MS" w:hAnsi="Trebuchet MS"/>
          <w:szCs w:val="24"/>
        </w:rPr>
        <w:t>Drawing No: 07.22/03.1 – Existing First Floor Plan</w:t>
      </w:r>
    </w:p>
    <w:p w:rsidR="007046C2" w:rsidRDefault="007046C2" w:rsidP="007312A7">
      <w:pPr>
        <w:spacing w:line="240" w:lineRule="auto"/>
        <w:rPr>
          <w:rFonts w:ascii="Trebuchet MS" w:hAnsi="Trebuchet MS"/>
          <w:szCs w:val="24"/>
        </w:rPr>
      </w:pPr>
      <w:r>
        <w:rPr>
          <w:rFonts w:ascii="Trebuchet MS" w:hAnsi="Trebuchet MS"/>
          <w:szCs w:val="24"/>
        </w:rPr>
        <w:t>Drawing No: 07.22/04.1 – Proposed Ground Floor Plan</w:t>
      </w:r>
    </w:p>
    <w:p w:rsidR="007046C2" w:rsidRDefault="007046C2" w:rsidP="007312A7">
      <w:pPr>
        <w:spacing w:line="240" w:lineRule="auto"/>
        <w:rPr>
          <w:rFonts w:ascii="Trebuchet MS" w:hAnsi="Trebuchet MS"/>
          <w:szCs w:val="24"/>
        </w:rPr>
      </w:pPr>
      <w:r>
        <w:rPr>
          <w:rFonts w:ascii="Trebuchet MS" w:hAnsi="Trebuchet MS"/>
          <w:szCs w:val="24"/>
        </w:rPr>
        <w:t>Drawing No: 07.22/04.1 – Proposed First Floor Plan</w:t>
      </w:r>
    </w:p>
    <w:p w:rsidR="007046C2" w:rsidRDefault="007046C2" w:rsidP="007312A7">
      <w:pPr>
        <w:spacing w:line="240" w:lineRule="auto"/>
        <w:rPr>
          <w:rFonts w:ascii="Trebuchet MS" w:hAnsi="Trebuchet MS"/>
          <w:szCs w:val="24"/>
        </w:rPr>
      </w:pPr>
      <w:r>
        <w:rPr>
          <w:rFonts w:ascii="Trebuchet MS" w:hAnsi="Trebuchet MS"/>
          <w:szCs w:val="24"/>
        </w:rPr>
        <w:t>Drawing No: 07.22/03.2 – Existing Elevations</w:t>
      </w:r>
    </w:p>
    <w:p w:rsidR="007046C2" w:rsidRDefault="007046C2" w:rsidP="007312A7">
      <w:pPr>
        <w:spacing w:line="240" w:lineRule="auto"/>
        <w:rPr>
          <w:rFonts w:ascii="Trebuchet MS" w:hAnsi="Trebuchet MS"/>
          <w:szCs w:val="24"/>
        </w:rPr>
      </w:pPr>
      <w:r>
        <w:rPr>
          <w:rFonts w:ascii="Trebuchet MS" w:hAnsi="Trebuchet MS"/>
          <w:szCs w:val="24"/>
        </w:rPr>
        <w:t>Drawing No: 07.22/05.1 – Proposed Elevations</w:t>
      </w:r>
    </w:p>
    <w:p w:rsidR="007046C2" w:rsidRDefault="007046C2" w:rsidP="007312A7">
      <w:pPr>
        <w:spacing w:line="240" w:lineRule="auto"/>
        <w:rPr>
          <w:rFonts w:ascii="Trebuchet MS" w:hAnsi="Trebuchet MS"/>
          <w:szCs w:val="24"/>
        </w:rPr>
      </w:pPr>
      <w:r>
        <w:rPr>
          <w:rFonts w:ascii="Trebuchet MS" w:hAnsi="Trebuchet MS"/>
          <w:szCs w:val="24"/>
        </w:rPr>
        <w:t xml:space="preserve">The original proposal included the conversion of the first floor from office/storage space to a 1x2 bed flat. </w:t>
      </w:r>
    </w:p>
    <w:p w:rsidR="00CD6883" w:rsidRDefault="007046C2" w:rsidP="007312A7">
      <w:pPr>
        <w:spacing w:line="240" w:lineRule="auto"/>
        <w:rPr>
          <w:rFonts w:ascii="Trebuchet MS" w:hAnsi="Trebuchet MS"/>
          <w:szCs w:val="24"/>
        </w:rPr>
      </w:pPr>
      <w:r>
        <w:rPr>
          <w:rFonts w:ascii="Trebuchet MS" w:hAnsi="Trebuchet MS"/>
          <w:szCs w:val="24"/>
        </w:rPr>
        <w:t>Prior to the validation of the application, on 10/05/21 the agent was advised of several outstanding validation requirements, principally relating to the proposed flat. Following discussions, the agent chose to omit the conversion of the first floor from the proposals</w:t>
      </w:r>
      <w:r w:rsidR="00CD6883">
        <w:rPr>
          <w:rFonts w:ascii="Trebuchet MS" w:hAnsi="Trebuchet MS"/>
          <w:szCs w:val="24"/>
        </w:rPr>
        <w:t>, supplying amended forms and documentation as received 11/05/21:</w:t>
      </w:r>
    </w:p>
    <w:p w:rsidR="00CD6883" w:rsidRDefault="00CD6883" w:rsidP="007312A7">
      <w:pPr>
        <w:spacing w:line="240" w:lineRule="auto"/>
        <w:rPr>
          <w:rFonts w:ascii="Trebuchet MS" w:hAnsi="Trebuchet MS"/>
          <w:szCs w:val="24"/>
        </w:rPr>
      </w:pPr>
      <w:r>
        <w:rPr>
          <w:rFonts w:ascii="Trebuchet MS" w:hAnsi="Trebuchet MS"/>
          <w:szCs w:val="24"/>
        </w:rPr>
        <w:t>Planning Statement</w:t>
      </w:r>
    </w:p>
    <w:p w:rsidR="007046C2" w:rsidRPr="007C55A2" w:rsidRDefault="00CD6883" w:rsidP="007312A7">
      <w:pPr>
        <w:spacing w:line="240" w:lineRule="auto"/>
        <w:rPr>
          <w:rFonts w:ascii="Trebuchet MS" w:hAnsi="Trebuchet MS"/>
          <w:szCs w:val="24"/>
        </w:rPr>
      </w:pPr>
      <w:r>
        <w:rPr>
          <w:rFonts w:ascii="Trebuchet MS" w:hAnsi="Trebuchet MS"/>
          <w:szCs w:val="24"/>
        </w:rPr>
        <w:t>Drawing No: 07.22/04.1 Rev. 01 – Proposed First Floor Plan</w:t>
      </w:r>
      <w:r w:rsidR="007046C2">
        <w:rPr>
          <w:rFonts w:ascii="Trebuchet MS" w:hAnsi="Trebuchet MS"/>
          <w:szCs w:val="24"/>
        </w:rPr>
        <w:t xml:space="preserve"> </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A77B2B" w:rsidRDefault="00A77B2B" w:rsidP="00A0641B">
      <w:pPr>
        <w:spacing w:line="240" w:lineRule="auto"/>
        <w:rPr>
          <w:rFonts w:ascii="Trebuchet MS" w:hAnsi="Trebuchet MS"/>
          <w:szCs w:val="24"/>
        </w:rPr>
      </w:pPr>
      <w:r>
        <w:rPr>
          <w:rFonts w:ascii="Trebuchet MS" w:hAnsi="Trebuchet MS"/>
          <w:szCs w:val="24"/>
        </w:rPr>
        <w:t>930416/FUL – Emergency exit door at rear – Permitted 20/01/94</w:t>
      </w:r>
    </w:p>
    <w:p w:rsidR="00A77B2B" w:rsidRDefault="00A36BBB" w:rsidP="00A0641B">
      <w:pPr>
        <w:spacing w:line="240" w:lineRule="auto"/>
        <w:rPr>
          <w:rFonts w:ascii="Trebuchet MS" w:hAnsi="Trebuchet MS"/>
          <w:szCs w:val="24"/>
        </w:rPr>
      </w:pPr>
      <w:r>
        <w:rPr>
          <w:rFonts w:ascii="Trebuchet MS" w:hAnsi="Trebuchet MS"/>
          <w:szCs w:val="24"/>
        </w:rPr>
        <w:lastRenderedPageBreak/>
        <w:t>950295/FUL – Installation of windows and door to side elevation – Permitted 19/09/95</w:t>
      </w:r>
    </w:p>
    <w:p w:rsidR="00A36BBB" w:rsidRDefault="00A36BBB" w:rsidP="00A0641B">
      <w:pPr>
        <w:spacing w:line="240" w:lineRule="auto"/>
        <w:rPr>
          <w:rFonts w:ascii="Trebuchet MS" w:hAnsi="Trebuchet MS"/>
          <w:szCs w:val="24"/>
        </w:rPr>
      </w:pPr>
      <w:r>
        <w:rPr>
          <w:rFonts w:ascii="Trebuchet MS" w:hAnsi="Trebuchet MS"/>
          <w:szCs w:val="24"/>
        </w:rPr>
        <w:t>991092/ADV – Installation of internally illuminated fascia and projecting sign – Permitted 22/11/00</w:t>
      </w:r>
    </w:p>
    <w:p w:rsidR="00A36BBB" w:rsidRDefault="00A36BBB" w:rsidP="00A0641B">
      <w:pPr>
        <w:spacing w:line="240" w:lineRule="auto"/>
        <w:rPr>
          <w:rFonts w:ascii="Trebuchet MS" w:hAnsi="Trebuchet MS"/>
          <w:szCs w:val="24"/>
        </w:rPr>
      </w:pPr>
      <w:r>
        <w:rPr>
          <w:rFonts w:ascii="Trebuchet MS" w:hAnsi="Trebuchet MS"/>
          <w:szCs w:val="24"/>
        </w:rPr>
        <w:t>090106/FUL – Alterations to shop front – Permitted 11/09/09</w:t>
      </w:r>
    </w:p>
    <w:p w:rsidR="00A36BBB" w:rsidRPr="00A77B2B" w:rsidRDefault="00A36BBB" w:rsidP="00A0641B">
      <w:pPr>
        <w:spacing w:line="240" w:lineRule="auto"/>
        <w:rPr>
          <w:rFonts w:ascii="Trebuchet MS" w:hAnsi="Trebuchet MS"/>
          <w:szCs w:val="24"/>
        </w:rPr>
      </w:pPr>
      <w:r>
        <w:rPr>
          <w:rFonts w:ascii="Trebuchet MS" w:hAnsi="Trebuchet MS"/>
          <w:szCs w:val="24"/>
        </w:rPr>
        <w:t>210821/FUL – Partial change of use of ground and lower ground floors from bank (Class E) to high security safety deposit store (Class B8) – to be determined</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7C365B">
        <w:rPr>
          <w:rFonts w:ascii="Trebuchet MS" w:hAnsi="Trebuchet MS"/>
          <w:szCs w:val="24"/>
        </w:rPr>
        <w:t xml:space="preserve">3 The Triangle and 95 School Road </w:t>
      </w:r>
      <w:r w:rsidR="00CD28F1">
        <w:rPr>
          <w:rFonts w:ascii="Trebuchet MS" w:hAnsi="Trebuchet MS"/>
          <w:szCs w:val="24"/>
        </w:rPr>
        <w:t xml:space="preserve">were consulted by letter. </w:t>
      </w:r>
      <w:r w:rsidR="007C365B">
        <w:rPr>
          <w:rFonts w:ascii="Trebuchet MS" w:hAnsi="Trebuchet MS"/>
          <w:szCs w:val="24"/>
        </w:rPr>
        <w:t>Two</w:t>
      </w:r>
      <w:r w:rsidR="000B1F1B">
        <w:rPr>
          <w:rFonts w:ascii="Trebuchet MS" w:hAnsi="Trebuchet MS"/>
          <w:szCs w:val="24"/>
        </w:rPr>
        <w:t xml:space="preserve"> </w:t>
      </w:r>
      <w:r>
        <w:rPr>
          <w:rFonts w:ascii="Trebuchet MS" w:hAnsi="Trebuchet MS"/>
          <w:szCs w:val="24"/>
        </w:rPr>
        <w:t>site notice</w:t>
      </w:r>
      <w:r w:rsidR="00CD28F1">
        <w:rPr>
          <w:rFonts w:ascii="Trebuchet MS" w:hAnsi="Trebuchet MS"/>
          <w:szCs w:val="24"/>
        </w:rPr>
        <w:t>s w</w:t>
      </w:r>
      <w:r w:rsidR="007C365B">
        <w:rPr>
          <w:rFonts w:ascii="Trebuchet MS" w:hAnsi="Trebuchet MS"/>
          <w:szCs w:val="24"/>
        </w:rPr>
        <w:t>ere</w:t>
      </w:r>
      <w:r>
        <w:rPr>
          <w:rFonts w:ascii="Trebuchet MS" w:hAnsi="Trebuchet MS"/>
          <w:szCs w:val="24"/>
        </w:rPr>
        <w:t xml:space="preserve"> displayed. </w:t>
      </w:r>
      <w:r w:rsidR="007C365B">
        <w:rPr>
          <w:rFonts w:ascii="Trebuchet MS" w:hAnsi="Trebuchet MS"/>
          <w:szCs w:val="24"/>
        </w:rPr>
        <w:t>Two</w:t>
      </w:r>
      <w:r w:rsidR="000B1F1B">
        <w:rPr>
          <w:rFonts w:ascii="Trebuchet MS" w:hAnsi="Trebuchet MS"/>
          <w:szCs w:val="24"/>
        </w:rPr>
        <w:t xml:space="preserve"> </w:t>
      </w:r>
      <w:r w:rsidR="00CD28F1">
        <w:rPr>
          <w:rFonts w:ascii="Trebuchet MS" w:hAnsi="Trebuchet MS"/>
          <w:szCs w:val="24"/>
        </w:rPr>
        <w:t>letter</w:t>
      </w:r>
      <w:r w:rsidR="007C365B">
        <w:rPr>
          <w:rFonts w:ascii="Trebuchet MS" w:hAnsi="Trebuchet MS"/>
          <w:szCs w:val="24"/>
        </w:rPr>
        <w:t>s</w:t>
      </w:r>
      <w:r w:rsidR="00CD28F1">
        <w:rPr>
          <w:rFonts w:ascii="Trebuchet MS" w:hAnsi="Trebuchet MS"/>
          <w:szCs w:val="24"/>
        </w:rPr>
        <w:t xml:space="preserve"> of representation w</w:t>
      </w:r>
      <w:r w:rsidR="007C365B">
        <w:rPr>
          <w:rFonts w:ascii="Trebuchet MS" w:hAnsi="Trebuchet MS"/>
          <w:szCs w:val="24"/>
        </w:rPr>
        <w:t>ere</w:t>
      </w:r>
      <w:r w:rsidR="00CD28F1">
        <w:rPr>
          <w:rFonts w:ascii="Trebuchet MS" w:hAnsi="Trebuchet MS"/>
          <w:szCs w:val="24"/>
        </w:rPr>
        <w:t xml:space="preserve"> received</w:t>
      </w:r>
      <w:r w:rsidR="007C365B">
        <w:rPr>
          <w:rFonts w:ascii="Trebuchet MS" w:hAnsi="Trebuchet MS"/>
          <w:szCs w:val="24"/>
        </w:rPr>
        <w:t xml:space="preserve">, </w:t>
      </w:r>
      <w:proofErr w:type="gramStart"/>
      <w:r w:rsidR="007C365B">
        <w:rPr>
          <w:rFonts w:ascii="Trebuchet MS" w:hAnsi="Trebuchet MS"/>
          <w:szCs w:val="24"/>
        </w:rPr>
        <w:t>with regard to</w:t>
      </w:r>
      <w:proofErr w:type="gramEnd"/>
      <w:r w:rsidR="007C365B">
        <w:rPr>
          <w:rFonts w:ascii="Trebuchet MS" w:hAnsi="Trebuchet MS"/>
          <w:szCs w:val="24"/>
        </w:rPr>
        <w:t xml:space="preserve"> the following:</w:t>
      </w:r>
    </w:p>
    <w:p w:rsidR="007C365B" w:rsidRDefault="007C365B" w:rsidP="007C365B">
      <w:pPr>
        <w:pStyle w:val="ListParagraph"/>
        <w:numPr>
          <w:ilvl w:val="0"/>
          <w:numId w:val="8"/>
        </w:numPr>
        <w:spacing w:line="240" w:lineRule="auto"/>
        <w:rPr>
          <w:rFonts w:ascii="Trebuchet MS" w:hAnsi="Trebuchet MS"/>
          <w:szCs w:val="24"/>
        </w:rPr>
      </w:pPr>
      <w:r>
        <w:rPr>
          <w:rFonts w:ascii="Trebuchet MS" w:hAnsi="Trebuchet MS"/>
          <w:szCs w:val="24"/>
        </w:rPr>
        <w:t>In support, the proposals would reverse the trend of vacant units in The Triangle</w:t>
      </w:r>
    </w:p>
    <w:p w:rsidR="007C365B" w:rsidRDefault="007C365B" w:rsidP="007C365B">
      <w:pPr>
        <w:pStyle w:val="ListParagraph"/>
        <w:numPr>
          <w:ilvl w:val="0"/>
          <w:numId w:val="8"/>
        </w:numPr>
        <w:spacing w:line="240" w:lineRule="auto"/>
        <w:rPr>
          <w:rFonts w:ascii="Trebuchet MS" w:hAnsi="Trebuchet MS"/>
          <w:szCs w:val="24"/>
        </w:rPr>
      </w:pPr>
      <w:r>
        <w:rPr>
          <w:rFonts w:ascii="Trebuchet MS" w:hAnsi="Trebuchet MS"/>
          <w:szCs w:val="24"/>
        </w:rPr>
        <w:t>In support, the proposals would likely increase footfall in the area, benefiting other local businesses</w:t>
      </w:r>
    </w:p>
    <w:p w:rsidR="007C365B" w:rsidRDefault="007C365B" w:rsidP="007C365B">
      <w:pPr>
        <w:spacing w:line="240" w:lineRule="auto"/>
        <w:rPr>
          <w:rFonts w:ascii="Trebuchet MS" w:hAnsi="Trebuchet MS"/>
          <w:szCs w:val="24"/>
          <w:u w:val="single"/>
        </w:rPr>
      </w:pPr>
      <w:r>
        <w:rPr>
          <w:rFonts w:ascii="Trebuchet MS" w:hAnsi="Trebuchet MS"/>
          <w:szCs w:val="24"/>
          <w:u w:val="single"/>
        </w:rPr>
        <w:t>Reading Borough Transport Development Control</w:t>
      </w:r>
    </w:p>
    <w:p w:rsidR="007C365B" w:rsidRPr="007C365B" w:rsidRDefault="007C365B" w:rsidP="007C365B">
      <w:pPr>
        <w:spacing w:line="240" w:lineRule="auto"/>
        <w:rPr>
          <w:rFonts w:ascii="Trebuchet MS" w:hAnsi="Trebuchet MS"/>
          <w:szCs w:val="24"/>
        </w:rPr>
      </w:pPr>
      <w:r>
        <w:rPr>
          <w:rFonts w:ascii="Trebuchet MS" w:hAnsi="Trebuchet MS"/>
          <w:szCs w:val="24"/>
        </w:rPr>
        <w:t xml:space="preserve">Raised no objection to proposals, subject to a condition restricting the illumination of the signage.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2344F6">
      <w:pPr>
        <w:spacing w:line="240" w:lineRule="auto"/>
        <w:rPr>
          <w:rFonts w:ascii="Trebuchet MS" w:hAnsi="Trebuchet MS"/>
          <w:szCs w:val="24"/>
          <w:u w:val="single"/>
        </w:rPr>
      </w:pPr>
      <w:r>
        <w:rPr>
          <w:rFonts w:ascii="Trebuchet MS" w:hAnsi="Trebuchet MS"/>
          <w:szCs w:val="24"/>
          <w:u w:val="single"/>
        </w:rPr>
        <w:t xml:space="preserve">Reading Borough Local </w:t>
      </w:r>
      <w:r w:rsidR="002344F6">
        <w:rPr>
          <w:rFonts w:ascii="Trebuchet MS" w:hAnsi="Trebuchet MS"/>
          <w:szCs w:val="24"/>
          <w:u w:val="single"/>
        </w:rPr>
        <w:t>Plan (2019)</w:t>
      </w:r>
    </w:p>
    <w:p w:rsidR="002344F6" w:rsidRDefault="002344F6" w:rsidP="002344F6">
      <w:pPr>
        <w:spacing w:line="240" w:lineRule="auto"/>
        <w:rPr>
          <w:rFonts w:ascii="Trebuchet MS" w:hAnsi="Trebuchet MS"/>
          <w:szCs w:val="24"/>
        </w:rPr>
      </w:pPr>
      <w:r>
        <w:rPr>
          <w:rFonts w:ascii="Trebuchet MS" w:hAnsi="Trebuchet MS"/>
          <w:szCs w:val="24"/>
        </w:rPr>
        <w:t>Policy CC1 – Presumption in Favour of Sustainable Development</w:t>
      </w:r>
    </w:p>
    <w:p w:rsidR="00807D4D" w:rsidRDefault="00807D4D" w:rsidP="002344F6">
      <w:pPr>
        <w:spacing w:line="240" w:lineRule="auto"/>
        <w:rPr>
          <w:rFonts w:ascii="Trebuchet MS" w:hAnsi="Trebuchet MS"/>
          <w:szCs w:val="24"/>
        </w:rPr>
      </w:pPr>
      <w:r>
        <w:rPr>
          <w:rFonts w:ascii="Trebuchet MS" w:hAnsi="Trebuchet MS"/>
          <w:szCs w:val="24"/>
        </w:rPr>
        <w:t>Policy CC2 – Sustainable Design and Construction</w:t>
      </w:r>
    </w:p>
    <w:p w:rsidR="00807D4D" w:rsidRDefault="00807D4D" w:rsidP="002344F6">
      <w:pPr>
        <w:spacing w:line="240" w:lineRule="auto"/>
        <w:rPr>
          <w:rFonts w:ascii="Trebuchet MS" w:hAnsi="Trebuchet MS"/>
          <w:szCs w:val="24"/>
        </w:rPr>
      </w:pPr>
      <w:r>
        <w:rPr>
          <w:rFonts w:ascii="Trebuchet MS" w:hAnsi="Trebuchet MS"/>
          <w:szCs w:val="24"/>
        </w:rPr>
        <w:t>Policy CC3 – Adaption to Climate Change</w:t>
      </w:r>
    </w:p>
    <w:p w:rsidR="00807D4D" w:rsidRDefault="00807D4D" w:rsidP="002344F6">
      <w:pPr>
        <w:spacing w:line="240" w:lineRule="auto"/>
        <w:rPr>
          <w:rFonts w:ascii="Trebuchet MS" w:hAnsi="Trebuchet MS"/>
          <w:szCs w:val="24"/>
        </w:rPr>
      </w:pPr>
      <w:r>
        <w:rPr>
          <w:rFonts w:ascii="Trebuchet MS" w:hAnsi="Trebuchet MS"/>
          <w:szCs w:val="24"/>
        </w:rPr>
        <w:t>Policy CC5 – Waste Minimisation and Storage</w:t>
      </w:r>
    </w:p>
    <w:p w:rsidR="00807D4D" w:rsidRDefault="00807D4D" w:rsidP="002344F6">
      <w:pPr>
        <w:spacing w:line="240" w:lineRule="auto"/>
        <w:rPr>
          <w:rFonts w:ascii="Trebuchet MS" w:hAnsi="Trebuchet MS"/>
          <w:szCs w:val="24"/>
        </w:rPr>
      </w:pPr>
      <w:r>
        <w:rPr>
          <w:rFonts w:ascii="Trebuchet MS" w:hAnsi="Trebuchet MS"/>
          <w:szCs w:val="24"/>
        </w:rPr>
        <w:t>Policy CC6 – Accessibility and the Intensity of Development</w:t>
      </w:r>
    </w:p>
    <w:p w:rsidR="00807D4D" w:rsidRDefault="00807D4D" w:rsidP="002344F6">
      <w:pPr>
        <w:spacing w:line="240" w:lineRule="auto"/>
        <w:rPr>
          <w:rFonts w:ascii="Trebuchet MS" w:hAnsi="Trebuchet MS"/>
          <w:szCs w:val="24"/>
        </w:rPr>
      </w:pPr>
      <w:r>
        <w:rPr>
          <w:rFonts w:ascii="Trebuchet MS" w:hAnsi="Trebuchet MS"/>
          <w:szCs w:val="24"/>
        </w:rPr>
        <w:t>Policy CC7 – Design and the Public Realm</w:t>
      </w:r>
    </w:p>
    <w:p w:rsidR="00807D4D" w:rsidRDefault="00807D4D" w:rsidP="002344F6">
      <w:pPr>
        <w:spacing w:line="240" w:lineRule="auto"/>
        <w:rPr>
          <w:rFonts w:ascii="Trebuchet MS" w:hAnsi="Trebuchet MS"/>
          <w:szCs w:val="24"/>
        </w:rPr>
      </w:pPr>
      <w:r>
        <w:rPr>
          <w:rFonts w:ascii="Trebuchet MS" w:hAnsi="Trebuchet MS"/>
          <w:szCs w:val="24"/>
        </w:rPr>
        <w:t>Policy CC8 – Safeguarding Amenity</w:t>
      </w:r>
    </w:p>
    <w:p w:rsidR="00807D4D" w:rsidRDefault="00807D4D" w:rsidP="002344F6">
      <w:pPr>
        <w:spacing w:line="240" w:lineRule="auto"/>
        <w:rPr>
          <w:rFonts w:ascii="Trebuchet MS" w:hAnsi="Trebuchet MS"/>
          <w:szCs w:val="24"/>
        </w:rPr>
      </w:pPr>
      <w:r>
        <w:rPr>
          <w:rFonts w:ascii="Trebuchet MS" w:hAnsi="Trebuchet MS"/>
          <w:szCs w:val="24"/>
        </w:rPr>
        <w:t>Policy EN12 – Biodiversity and the Green Network</w:t>
      </w:r>
    </w:p>
    <w:p w:rsidR="000B1F1B" w:rsidRDefault="000B1F1B" w:rsidP="002344F6">
      <w:pPr>
        <w:spacing w:line="240" w:lineRule="auto"/>
        <w:rPr>
          <w:rFonts w:ascii="Trebuchet MS" w:hAnsi="Trebuchet MS"/>
          <w:szCs w:val="24"/>
        </w:rPr>
      </w:pPr>
      <w:r>
        <w:rPr>
          <w:rFonts w:ascii="Trebuchet MS" w:hAnsi="Trebuchet MS"/>
          <w:szCs w:val="24"/>
        </w:rPr>
        <w:lastRenderedPageBreak/>
        <w:t>Policy EN18 – Flooding and Drainage</w:t>
      </w:r>
    </w:p>
    <w:p w:rsidR="000B1F1B" w:rsidRDefault="000B1F1B" w:rsidP="002344F6">
      <w:pPr>
        <w:spacing w:line="240" w:lineRule="auto"/>
        <w:rPr>
          <w:rFonts w:ascii="Trebuchet MS" w:hAnsi="Trebuchet MS"/>
          <w:szCs w:val="24"/>
        </w:rPr>
      </w:pPr>
      <w:r>
        <w:rPr>
          <w:rFonts w:ascii="Trebuchet MS" w:hAnsi="Trebuchet MS"/>
          <w:szCs w:val="24"/>
        </w:rPr>
        <w:t>Policy EM1 – Provision of Employment</w:t>
      </w:r>
    </w:p>
    <w:p w:rsidR="000B1F1B" w:rsidRDefault="000B1F1B" w:rsidP="002344F6">
      <w:pPr>
        <w:spacing w:line="240" w:lineRule="auto"/>
        <w:rPr>
          <w:rFonts w:ascii="Trebuchet MS" w:hAnsi="Trebuchet MS"/>
          <w:szCs w:val="24"/>
        </w:rPr>
      </w:pPr>
      <w:r>
        <w:rPr>
          <w:rFonts w:ascii="Trebuchet MS" w:hAnsi="Trebuchet MS"/>
          <w:szCs w:val="24"/>
        </w:rPr>
        <w:t>Policy EM4 – Maintaining a Variety of Premises</w:t>
      </w:r>
    </w:p>
    <w:p w:rsidR="00807D4D" w:rsidRDefault="00807D4D" w:rsidP="002344F6">
      <w:pPr>
        <w:spacing w:line="240" w:lineRule="auto"/>
        <w:rPr>
          <w:rFonts w:ascii="Trebuchet MS" w:hAnsi="Trebuchet MS"/>
          <w:szCs w:val="24"/>
        </w:rPr>
      </w:pPr>
      <w:r>
        <w:rPr>
          <w:rFonts w:ascii="Trebuchet MS" w:hAnsi="Trebuchet MS"/>
          <w:szCs w:val="24"/>
        </w:rPr>
        <w:t>Policy TR3 – Access, Traffic and Highway-Related Matters</w:t>
      </w:r>
    </w:p>
    <w:p w:rsidR="00807D4D" w:rsidRDefault="00807D4D" w:rsidP="002344F6">
      <w:pPr>
        <w:spacing w:line="240" w:lineRule="auto"/>
        <w:rPr>
          <w:rFonts w:ascii="Trebuchet MS" w:hAnsi="Trebuchet MS"/>
          <w:szCs w:val="24"/>
        </w:rPr>
      </w:pPr>
      <w:r>
        <w:rPr>
          <w:rFonts w:ascii="Trebuchet MS" w:hAnsi="Trebuchet MS"/>
          <w:szCs w:val="24"/>
        </w:rPr>
        <w:t>Policy TR5 – Car and Cycle Parking and Electric Vehicle Charging</w:t>
      </w:r>
    </w:p>
    <w:p w:rsidR="001B189C" w:rsidRDefault="001B189C" w:rsidP="002344F6">
      <w:pPr>
        <w:spacing w:line="240" w:lineRule="auto"/>
        <w:rPr>
          <w:rFonts w:ascii="Trebuchet MS" w:hAnsi="Trebuchet MS"/>
          <w:szCs w:val="24"/>
        </w:rPr>
      </w:pPr>
      <w:r>
        <w:rPr>
          <w:rFonts w:ascii="Trebuchet MS" w:hAnsi="Trebuchet MS"/>
          <w:szCs w:val="24"/>
        </w:rPr>
        <w:t>Policy RL1 – Network and Hierarchy of Centres</w:t>
      </w:r>
    </w:p>
    <w:p w:rsidR="001B189C" w:rsidRDefault="001B189C" w:rsidP="002344F6">
      <w:pPr>
        <w:spacing w:line="240" w:lineRule="auto"/>
        <w:rPr>
          <w:rFonts w:ascii="Trebuchet MS" w:hAnsi="Trebuchet MS"/>
          <w:szCs w:val="24"/>
        </w:rPr>
      </w:pPr>
      <w:r>
        <w:rPr>
          <w:rFonts w:ascii="Trebuchet MS" w:hAnsi="Trebuchet MS"/>
          <w:szCs w:val="24"/>
        </w:rPr>
        <w:t>Policy RL3 – Vitality and Viability of Smaller Centres</w:t>
      </w:r>
    </w:p>
    <w:p w:rsidR="000B1F1B" w:rsidRDefault="000B1F1B" w:rsidP="002344F6">
      <w:pPr>
        <w:spacing w:line="240" w:lineRule="auto"/>
        <w:rPr>
          <w:rFonts w:ascii="Trebuchet MS" w:hAnsi="Trebuchet MS"/>
          <w:szCs w:val="24"/>
        </w:rPr>
      </w:pPr>
      <w:r>
        <w:rPr>
          <w:rFonts w:ascii="Trebuchet MS" w:hAnsi="Trebuchet MS"/>
          <w:szCs w:val="24"/>
        </w:rPr>
        <w:t xml:space="preserve">Policy OU4 </w:t>
      </w:r>
      <w:r w:rsidR="007C365B">
        <w:rPr>
          <w:rFonts w:ascii="Trebuchet MS" w:hAnsi="Trebuchet MS"/>
          <w:szCs w:val="24"/>
        </w:rPr>
        <w:t>–</w:t>
      </w:r>
      <w:r>
        <w:rPr>
          <w:rFonts w:ascii="Trebuchet MS" w:hAnsi="Trebuchet MS"/>
          <w:szCs w:val="24"/>
        </w:rPr>
        <w:t xml:space="preserve"> Advertisements</w:t>
      </w:r>
    </w:p>
    <w:p w:rsidR="007C365B" w:rsidRPr="002344F6" w:rsidRDefault="001B189C" w:rsidP="002344F6">
      <w:pPr>
        <w:spacing w:line="240" w:lineRule="auto"/>
        <w:rPr>
          <w:rFonts w:ascii="Trebuchet MS" w:hAnsi="Trebuchet MS"/>
          <w:szCs w:val="24"/>
        </w:rPr>
      </w:pPr>
      <w:r>
        <w:rPr>
          <w:rFonts w:ascii="Trebuchet MS" w:hAnsi="Trebuchet MS"/>
          <w:szCs w:val="24"/>
        </w:rPr>
        <w:t>Policy OU5 – Shopfronts and Cash Machines</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131296" w:rsidRDefault="00131296" w:rsidP="00131296">
      <w:pPr>
        <w:spacing w:line="240" w:lineRule="auto"/>
        <w:rPr>
          <w:rFonts w:ascii="Trebuchet MS" w:hAnsi="Trebuchet MS"/>
          <w:szCs w:val="24"/>
          <w:u w:val="single"/>
        </w:rPr>
      </w:pPr>
      <w:r>
        <w:rPr>
          <w:rFonts w:ascii="Trebuchet MS" w:hAnsi="Trebuchet MS"/>
          <w:szCs w:val="24"/>
          <w:u w:val="single"/>
        </w:rPr>
        <w:t>Principle of development</w:t>
      </w:r>
    </w:p>
    <w:p w:rsidR="00131296" w:rsidRDefault="00131296" w:rsidP="00131296">
      <w:pPr>
        <w:spacing w:line="240" w:lineRule="auto"/>
        <w:rPr>
          <w:rFonts w:ascii="Trebuchet MS" w:hAnsi="Trebuchet MS"/>
          <w:szCs w:val="24"/>
        </w:rPr>
      </w:pPr>
      <w:r>
        <w:rPr>
          <w:rFonts w:ascii="Trebuchet MS" w:hAnsi="Trebuchet MS"/>
          <w:szCs w:val="24"/>
        </w:rPr>
        <w:t>On 21</w:t>
      </w:r>
      <w:r w:rsidRPr="00954CF3">
        <w:rPr>
          <w:rFonts w:ascii="Trebuchet MS" w:hAnsi="Trebuchet MS"/>
          <w:szCs w:val="24"/>
          <w:vertAlign w:val="superscript"/>
        </w:rPr>
        <w:t>st</w:t>
      </w:r>
      <w:r>
        <w:rPr>
          <w:rFonts w:ascii="Trebuchet MS" w:hAnsi="Trebuchet MS"/>
          <w:szCs w:val="24"/>
        </w:rPr>
        <w:t xml:space="preserve"> July 2020 the Government published The Town and Country Planning (Use Classes) (Amendment) (England) Regulations 2020, which came into force on 1</w:t>
      </w:r>
      <w:r w:rsidRPr="00954CF3">
        <w:rPr>
          <w:rFonts w:ascii="Trebuchet MS" w:hAnsi="Trebuchet MS"/>
          <w:szCs w:val="24"/>
          <w:vertAlign w:val="superscript"/>
        </w:rPr>
        <w:t>st</w:t>
      </w:r>
      <w:r>
        <w:rPr>
          <w:rFonts w:ascii="Trebuchet MS" w:hAnsi="Trebuchet MS"/>
          <w:szCs w:val="24"/>
        </w:rPr>
        <w:t xml:space="preserve"> September 2020. Amongst other changes, the former Part A use classes were revoked and a new Class E (Commercial, Business and Service) was introduced. Class E covers the former use classes of A1 (shops), A2 (financial and professional services), A3 (restaurants and cafes) and parts of D1 (non-residential institutions) and D2 (assembly and leisure). </w:t>
      </w:r>
      <w:r>
        <w:rPr>
          <w:rFonts w:ascii="Trebuchet MS" w:hAnsi="Trebuchet MS"/>
          <w:szCs w:val="24"/>
        </w:rPr>
        <w:t xml:space="preserve">Both the existing and proposed uses fall within Class E. </w:t>
      </w:r>
      <w:r>
        <w:rPr>
          <w:rFonts w:ascii="Trebuchet MS" w:hAnsi="Trebuchet MS"/>
          <w:szCs w:val="24"/>
        </w:rPr>
        <w:t xml:space="preserve">  </w:t>
      </w:r>
    </w:p>
    <w:p w:rsidR="00131296" w:rsidRDefault="00131296" w:rsidP="00131296">
      <w:pPr>
        <w:spacing w:line="240" w:lineRule="auto"/>
        <w:rPr>
          <w:rFonts w:ascii="Trebuchet MS" w:hAnsi="Trebuchet MS"/>
          <w:szCs w:val="24"/>
        </w:rPr>
      </w:pPr>
      <w:r>
        <w:rPr>
          <w:rFonts w:ascii="Trebuchet MS" w:hAnsi="Trebuchet MS"/>
          <w:szCs w:val="24"/>
        </w:rPr>
        <w:t>These amendments have severe implications for the application of Policy RL3, which states that within Key Frontages development involving a net loss of A1 retail or A2 financial and professional to other ‘centre uses’ will only be permitted where:</w:t>
      </w:r>
    </w:p>
    <w:p w:rsidR="00131296" w:rsidRDefault="00131296" w:rsidP="00131296">
      <w:pPr>
        <w:pStyle w:val="ListParagraph"/>
        <w:numPr>
          <w:ilvl w:val="0"/>
          <w:numId w:val="9"/>
        </w:numPr>
        <w:spacing w:line="240" w:lineRule="auto"/>
        <w:rPr>
          <w:rFonts w:ascii="Trebuchet MS" w:hAnsi="Trebuchet MS"/>
          <w:szCs w:val="24"/>
        </w:rPr>
      </w:pPr>
      <w:r>
        <w:rPr>
          <w:rFonts w:ascii="Trebuchet MS" w:hAnsi="Trebuchet MS"/>
          <w:szCs w:val="24"/>
        </w:rPr>
        <w:t>There would be no more than 3 consecutive units which are not in A1 or A2 retail use; and</w:t>
      </w:r>
    </w:p>
    <w:p w:rsidR="00131296" w:rsidRDefault="00131296" w:rsidP="00131296">
      <w:pPr>
        <w:pStyle w:val="ListParagraph"/>
        <w:numPr>
          <w:ilvl w:val="0"/>
          <w:numId w:val="9"/>
        </w:numPr>
        <w:spacing w:line="240" w:lineRule="auto"/>
        <w:rPr>
          <w:rFonts w:ascii="Trebuchet MS" w:hAnsi="Trebuchet MS"/>
          <w:szCs w:val="24"/>
        </w:rPr>
      </w:pPr>
      <w:r>
        <w:rPr>
          <w:rFonts w:ascii="Trebuchet MS" w:hAnsi="Trebuchet MS"/>
          <w:szCs w:val="24"/>
        </w:rPr>
        <w:t>The proportion of the total length of the Key Frontage within the centre that is in A1 or A2 use would exceed the relevant proportion (</w:t>
      </w:r>
      <w:r>
        <w:rPr>
          <w:rFonts w:ascii="Trebuchet MS" w:hAnsi="Trebuchet MS"/>
          <w:szCs w:val="24"/>
        </w:rPr>
        <w:t>Tilehurst Triangle District</w:t>
      </w:r>
      <w:r>
        <w:rPr>
          <w:rFonts w:ascii="Trebuchet MS" w:hAnsi="Trebuchet MS"/>
          <w:szCs w:val="24"/>
        </w:rPr>
        <w:t xml:space="preserve"> Centre = 60%)</w:t>
      </w:r>
    </w:p>
    <w:p w:rsidR="00131296" w:rsidRDefault="00131296" w:rsidP="00131296">
      <w:pPr>
        <w:spacing w:line="240" w:lineRule="auto"/>
        <w:rPr>
          <w:rFonts w:ascii="Trebuchet MS" w:hAnsi="Trebuchet MS"/>
          <w:szCs w:val="24"/>
        </w:rPr>
      </w:pPr>
      <w:r>
        <w:rPr>
          <w:rFonts w:ascii="Trebuchet MS" w:hAnsi="Trebuchet MS"/>
          <w:szCs w:val="24"/>
        </w:rPr>
        <w:t xml:space="preserve">As a result of the amendment of the Regulations, this part of Policy RL3 is now redundant and carries nil weight. The unit could change use under permitted development to a wide variety of non-retail uses, without requiring planning permission. </w:t>
      </w:r>
    </w:p>
    <w:p w:rsidR="00131296" w:rsidRDefault="00131296" w:rsidP="00131296">
      <w:pPr>
        <w:spacing w:line="240" w:lineRule="auto"/>
        <w:rPr>
          <w:rFonts w:ascii="Trebuchet MS" w:hAnsi="Trebuchet MS"/>
          <w:szCs w:val="24"/>
        </w:rPr>
      </w:pPr>
      <w:r>
        <w:rPr>
          <w:rFonts w:ascii="Trebuchet MS" w:hAnsi="Trebuchet MS"/>
          <w:szCs w:val="24"/>
        </w:rPr>
        <w:t xml:space="preserve">As Policy RL1 states, the vitality and viability of centres should be maintained and enhanced. The policy cites the importance of a diverse range of facilities within </w:t>
      </w:r>
      <w:proofErr w:type="gramStart"/>
      <w:r>
        <w:rPr>
          <w:rFonts w:ascii="Trebuchet MS" w:hAnsi="Trebuchet MS"/>
          <w:szCs w:val="24"/>
        </w:rPr>
        <w:t>centres, but</w:t>
      </w:r>
      <w:proofErr w:type="gramEnd"/>
      <w:r>
        <w:rPr>
          <w:rFonts w:ascii="Trebuchet MS" w:hAnsi="Trebuchet MS"/>
          <w:szCs w:val="24"/>
        </w:rPr>
        <w:t xml:space="preserve"> seeks to ensure that a strong retail element is retained. Due to the amendment of the Regulations, the LPA’s control on retaining a significant retail element has been weakened. Nonetheless, ensuring the vitality and viability of centres remains is still of primary importance. </w:t>
      </w:r>
    </w:p>
    <w:p w:rsidR="00131296" w:rsidRDefault="00131296" w:rsidP="00131296">
      <w:pPr>
        <w:spacing w:line="240" w:lineRule="auto"/>
        <w:rPr>
          <w:rFonts w:ascii="Trebuchet MS" w:hAnsi="Trebuchet MS"/>
          <w:szCs w:val="24"/>
        </w:rPr>
      </w:pPr>
      <w:r>
        <w:rPr>
          <w:rFonts w:ascii="Trebuchet MS" w:hAnsi="Trebuchet MS"/>
          <w:szCs w:val="24"/>
        </w:rPr>
        <w:t>Bringing a vacant unit back into active use is an optimal way of aiding the vitality of a centre. A vacant unit makes little contribution to the attractiveness of the centre</w:t>
      </w:r>
      <w:r>
        <w:rPr>
          <w:rFonts w:ascii="Trebuchet MS" w:hAnsi="Trebuchet MS"/>
          <w:szCs w:val="24"/>
        </w:rPr>
        <w:t>, though e</w:t>
      </w:r>
      <w:r>
        <w:rPr>
          <w:rFonts w:ascii="Trebuchet MS" w:hAnsi="Trebuchet MS"/>
          <w:szCs w:val="24"/>
        </w:rPr>
        <w:t>mpty units in centres are inevitable, particularly in the current economic climate. While the principle of bring a vacant unit back into active use is acceptable, the resultant imbalance in retail mix is regrettable. However, in the context of the amendments of the Regulations, the propos</w:t>
      </w:r>
      <w:r w:rsidR="00CF6FD6">
        <w:rPr>
          <w:rFonts w:ascii="Trebuchet MS" w:hAnsi="Trebuchet MS"/>
          <w:szCs w:val="24"/>
        </w:rPr>
        <w:t xml:space="preserve">als would </w:t>
      </w:r>
      <w:r>
        <w:rPr>
          <w:rFonts w:ascii="Trebuchet MS" w:hAnsi="Trebuchet MS"/>
          <w:szCs w:val="24"/>
        </w:rPr>
        <w:t xml:space="preserve">not cause significant detrimental harm to the vitality and </w:t>
      </w:r>
      <w:r>
        <w:rPr>
          <w:rFonts w:ascii="Trebuchet MS" w:hAnsi="Trebuchet MS"/>
          <w:szCs w:val="24"/>
        </w:rPr>
        <w:lastRenderedPageBreak/>
        <w:t xml:space="preserve">viability of the Local Centre. Subject to other policy consideration outlined below, the principle of the </w:t>
      </w:r>
      <w:r w:rsidR="00CF6FD6">
        <w:rPr>
          <w:rFonts w:ascii="Trebuchet MS" w:hAnsi="Trebuchet MS"/>
          <w:szCs w:val="24"/>
        </w:rPr>
        <w:t>proposed development</w:t>
      </w:r>
      <w:r>
        <w:rPr>
          <w:rFonts w:ascii="Trebuchet MS" w:hAnsi="Trebuchet MS"/>
          <w:szCs w:val="24"/>
        </w:rPr>
        <w:t xml:space="preserve"> is on balance, acceptable. </w:t>
      </w:r>
    </w:p>
    <w:p w:rsidR="001B189C" w:rsidRDefault="00FB2E7C" w:rsidP="00A0641B">
      <w:pPr>
        <w:spacing w:line="240" w:lineRule="auto"/>
        <w:rPr>
          <w:rFonts w:ascii="Trebuchet MS" w:hAnsi="Trebuchet MS"/>
          <w:szCs w:val="24"/>
          <w:u w:val="single"/>
        </w:rPr>
      </w:pPr>
      <w:r w:rsidRPr="00FB2E7C">
        <w:rPr>
          <w:rFonts w:ascii="Trebuchet MS" w:hAnsi="Trebuchet MS"/>
          <w:szCs w:val="24"/>
          <w:u w:val="single"/>
        </w:rPr>
        <w:t>Design and impact on the character of the surrounding area</w:t>
      </w:r>
    </w:p>
    <w:p w:rsidR="00FB2E7C" w:rsidRDefault="00FB2E7C" w:rsidP="00A0641B">
      <w:pPr>
        <w:spacing w:line="240" w:lineRule="auto"/>
        <w:rPr>
          <w:rFonts w:ascii="Trebuchet MS" w:hAnsi="Trebuchet MS"/>
          <w:szCs w:val="24"/>
        </w:rPr>
      </w:pPr>
      <w:r>
        <w:rPr>
          <w:rFonts w:ascii="Trebuchet MS" w:hAnsi="Trebuchet MS"/>
          <w:szCs w:val="24"/>
        </w:rPr>
        <w:t>As noted above, bringing a vacant unit back into active use will aid the vitality of the centre. The development proposals go further, significantly enhancing the appearance of the existing dated building</w:t>
      </w:r>
      <w:r w:rsidR="00CC08FE">
        <w:rPr>
          <w:rFonts w:ascii="Trebuchet MS" w:hAnsi="Trebuchet MS"/>
          <w:szCs w:val="24"/>
        </w:rPr>
        <w:t>, in accordance with Policy CC7</w:t>
      </w:r>
      <w:r>
        <w:rPr>
          <w:rFonts w:ascii="Trebuchet MS" w:hAnsi="Trebuchet MS"/>
          <w:szCs w:val="24"/>
        </w:rPr>
        <w:t xml:space="preserve">. The proposals include a new shop front and glazing to the principal elevation, to </w:t>
      </w:r>
      <w:r w:rsidR="00CC08FE">
        <w:rPr>
          <w:rFonts w:ascii="Trebuchet MS" w:hAnsi="Trebuchet MS"/>
          <w:szCs w:val="24"/>
        </w:rPr>
        <w:t>align with</w:t>
      </w:r>
      <w:r>
        <w:rPr>
          <w:rFonts w:ascii="Trebuchet MS" w:hAnsi="Trebuchet MS"/>
          <w:szCs w:val="24"/>
        </w:rPr>
        <w:t xml:space="preserve"> the corporate image of Costa Coffee</w:t>
      </w:r>
      <w:r w:rsidR="00CC08FE">
        <w:rPr>
          <w:rFonts w:ascii="Trebuchet MS" w:hAnsi="Trebuchet MS"/>
          <w:szCs w:val="24"/>
        </w:rPr>
        <w:t xml:space="preserve">, suitable for modern use and occupation. </w:t>
      </w:r>
      <w:r w:rsidR="00C1683F">
        <w:rPr>
          <w:rFonts w:ascii="Trebuchet MS" w:hAnsi="Trebuchet MS"/>
          <w:szCs w:val="24"/>
        </w:rPr>
        <w:t xml:space="preserve">The proposed awning would be retractable, and an active frontage to the street </w:t>
      </w:r>
      <w:proofErr w:type="gramStart"/>
      <w:r w:rsidR="00C1683F">
        <w:rPr>
          <w:rFonts w:ascii="Trebuchet MS" w:hAnsi="Trebuchet MS"/>
          <w:szCs w:val="24"/>
        </w:rPr>
        <w:t>would be presented at all times</w:t>
      </w:r>
      <w:proofErr w:type="gramEnd"/>
      <w:r w:rsidR="00C1683F">
        <w:rPr>
          <w:rFonts w:ascii="Trebuchet MS" w:hAnsi="Trebuchet MS"/>
          <w:szCs w:val="24"/>
        </w:rPr>
        <w:t xml:space="preserve">, in accordance with Policy OU5. </w:t>
      </w:r>
      <w:r w:rsidR="00CC08FE">
        <w:rPr>
          <w:rFonts w:ascii="Trebuchet MS" w:hAnsi="Trebuchet MS"/>
          <w:szCs w:val="24"/>
        </w:rPr>
        <w:t xml:space="preserve">No significant harm would be caused to the character and appearance of the surrounding area as a result of the proposed development. </w:t>
      </w:r>
    </w:p>
    <w:p w:rsidR="00CC08FE" w:rsidRDefault="00CC08FE" w:rsidP="00A0641B">
      <w:pPr>
        <w:spacing w:line="240" w:lineRule="auto"/>
        <w:rPr>
          <w:rFonts w:ascii="Trebuchet MS" w:hAnsi="Trebuchet MS"/>
          <w:szCs w:val="24"/>
          <w:u w:val="single"/>
        </w:rPr>
      </w:pPr>
      <w:r>
        <w:rPr>
          <w:rFonts w:ascii="Trebuchet MS" w:hAnsi="Trebuchet MS"/>
          <w:szCs w:val="24"/>
          <w:u w:val="single"/>
        </w:rPr>
        <w:t>Impact on neighbouring amenity</w:t>
      </w:r>
    </w:p>
    <w:p w:rsidR="00CC08FE" w:rsidRDefault="00CC08FE" w:rsidP="00A0641B">
      <w:pPr>
        <w:spacing w:line="240" w:lineRule="auto"/>
        <w:rPr>
          <w:rFonts w:ascii="Trebuchet MS" w:hAnsi="Trebuchet MS"/>
          <w:szCs w:val="24"/>
        </w:rPr>
      </w:pPr>
      <w:r>
        <w:rPr>
          <w:rFonts w:ascii="Trebuchet MS" w:hAnsi="Trebuchet MS"/>
          <w:szCs w:val="24"/>
        </w:rPr>
        <w:t xml:space="preserve">The site is located within an established District Centre, where heavy footfall and regular comings and goings are to be expected. Nonetheless, residential properties are located immediately to the northeast of the site. </w:t>
      </w:r>
      <w:r w:rsidR="00C1683F">
        <w:rPr>
          <w:rFonts w:ascii="Trebuchet MS" w:hAnsi="Trebuchet MS"/>
          <w:szCs w:val="24"/>
        </w:rPr>
        <w:t xml:space="preserve">Subject to conditions restricting hours of use, hours of deliveries and servicing, hours of playing amplified music and a litter strategy, no significant harm is expected to be caused to neighbouring residential amenity. </w:t>
      </w:r>
    </w:p>
    <w:p w:rsidR="00C1683F" w:rsidRDefault="00C1683F" w:rsidP="00A0641B">
      <w:pPr>
        <w:spacing w:line="240" w:lineRule="auto"/>
        <w:rPr>
          <w:rFonts w:ascii="Trebuchet MS" w:hAnsi="Trebuchet MS"/>
          <w:szCs w:val="24"/>
          <w:u w:val="single"/>
        </w:rPr>
      </w:pPr>
      <w:r>
        <w:rPr>
          <w:rFonts w:ascii="Trebuchet MS" w:hAnsi="Trebuchet MS"/>
          <w:szCs w:val="24"/>
          <w:u w:val="single"/>
        </w:rPr>
        <w:t>Advertisement</w:t>
      </w:r>
    </w:p>
    <w:p w:rsidR="00C1683F" w:rsidRPr="00EA5525" w:rsidRDefault="00C1683F" w:rsidP="00C1683F">
      <w:pPr>
        <w:spacing w:line="240" w:lineRule="auto"/>
        <w:rPr>
          <w:rFonts w:ascii="Trebuchet MS" w:hAnsi="Trebuchet MS"/>
        </w:rPr>
      </w:pPr>
      <w:r>
        <w:rPr>
          <w:rFonts w:ascii="Trebuchet MS" w:hAnsi="Trebuchet MS"/>
        </w:rPr>
        <w:t xml:space="preserve">Policy OU4 states that advertisements will respect the building or structure on which they are located and/or their surroundings and setting in terms of size, location, design, materials, colour, noise, lettering, amount and type of text, illumination and luminance. The proposed signage would </w:t>
      </w:r>
      <w:proofErr w:type="gramStart"/>
      <w:r>
        <w:rPr>
          <w:rFonts w:ascii="Trebuchet MS" w:hAnsi="Trebuchet MS"/>
        </w:rPr>
        <w:t>be located</w:t>
      </w:r>
      <w:r>
        <w:rPr>
          <w:rFonts w:ascii="Trebuchet MS" w:hAnsi="Trebuchet MS"/>
        </w:rPr>
        <w:t xml:space="preserve"> in</w:t>
      </w:r>
      <w:proofErr w:type="gramEnd"/>
      <w:r>
        <w:rPr>
          <w:rFonts w:ascii="Trebuchet MS" w:hAnsi="Trebuchet MS"/>
        </w:rPr>
        <w:t xml:space="preserve"> the same location as prior shop front signage</w:t>
      </w:r>
      <w:r>
        <w:rPr>
          <w:rFonts w:ascii="Trebuchet MS" w:hAnsi="Trebuchet MS"/>
        </w:rPr>
        <w:t xml:space="preserve">. It is considered that in this location and in the form proposed, no significant harmful design impacts, nor impact on the host building or character of the surrounding area, would result. The proposal is therefore in accordance with Policy OU4. </w:t>
      </w:r>
    </w:p>
    <w:p w:rsidR="00C1683F" w:rsidRPr="00EA5525" w:rsidRDefault="00C1683F" w:rsidP="00C1683F">
      <w:pPr>
        <w:spacing w:line="240" w:lineRule="auto"/>
        <w:rPr>
          <w:rFonts w:ascii="Trebuchet MS" w:hAnsi="Trebuchet MS"/>
        </w:rPr>
      </w:pPr>
      <w:r>
        <w:rPr>
          <w:rFonts w:ascii="Trebuchet MS" w:hAnsi="Trebuchet MS"/>
        </w:rPr>
        <w:t xml:space="preserve">The proposed signage would </w:t>
      </w:r>
      <w:proofErr w:type="gramStart"/>
      <w:r>
        <w:rPr>
          <w:rFonts w:ascii="Trebuchet MS" w:hAnsi="Trebuchet MS"/>
        </w:rPr>
        <w:t>be located in</w:t>
      </w:r>
      <w:proofErr w:type="gramEnd"/>
      <w:r>
        <w:rPr>
          <w:rFonts w:ascii="Trebuchet MS" w:hAnsi="Trebuchet MS"/>
        </w:rPr>
        <w:t xml:space="preserve"> a position that would not cause a physical obstruction to members of the public using the highway. The </w:t>
      </w:r>
      <w:r>
        <w:rPr>
          <w:rFonts w:ascii="Trebuchet MS" w:hAnsi="Trebuchet MS"/>
        </w:rPr>
        <w:t xml:space="preserve">illumination of the </w:t>
      </w:r>
      <w:r>
        <w:rPr>
          <w:rFonts w:ascii="Trebuchet MS" w:hAnsi="Trebuchet MS"/>
        </w:rPr>
        <w:t xml:space="preserve">signage would </w:t>
      </w:r>
      <w:r>
        <w:rPr>
          <w:rFonts w:ascii="Trebuchet MS" w:hAnsi="Trebuchet MS"/>
        </w:rPr>
        <w:t>be restricted by condition,</w:t>
      </w:r>
      <w:r>
        <w:rPr>
          <w:rFonts w:ascii="Trebuchet MS" w:hAnsi="Trebuchet MS"/>
        </w:rPr>
        <w:t xml:space="preserve"> and as such is unlikely to cause a distraction to users of the highway. The proposal is therefore considered acceptable in public safety terms in accordance with Policy TR3.  </w:t>
      </w:r>
    </w:p>
    <w:p w:rsidR="00C1683F" w:rsidRDefault="00C1683F" w:rsidP="00A0641B">
      <w:pPr>
        <w:spacing w:line="240" w:lineRule="auto"/>
        <w:rPr>
          <w:rFonts w:ascii="Trebuchet MS" w:hAnsi="Trebuchet MS"/>
          <w:szCs w:val="24"/>
          <w:u w:val="single"/>
        </w:rPr>
      </w:pPr>
      <w:bookmarkStart w:id="0" w:name="_GoBack"/>
      <w:bookmarkEnd w:id="0"/>
      <w:r w:rsidRPr="00C1683F">
        <w:rPr>
          <w:rFonts w:ascii="Trebuchet MS" w:hAnsi="Trebuchet MS"/>
          <w:szCs w:val="24"/>
          <w:u w:val="single"/>
        </w:rPr>
        <w:t>Other matters</w:t>
      </w:r>
    </w:p>
    <w:p w:rsidR="00C1683F" w:rsidRPr="00C1683F" w:rsidRDefault="00C1683F" w:rsidP="00A0641B">
      <w:pPr>
        <w:spacing w:line="240" w:lineRule="auto"/>
        <w:rPr>
          <w:rFonts w:ascii="Trebuchet MS" w:hAnsi="Trebuchet MS"/>
          <w:szCs w:val="24"/>
        </w:rPr>
      </w:pPr>
      <w:r w:rsidRPr="00C1683F">
        <w:rPr>
          <w:rFonts w:ascii="Trebuchet MS" w:hAnsi="Trebuchet MS"/>
          <w:szCs w:val="24"/>
        </w:rPr>
        <w:t xml:space="preserve">The site </w:t>
      </w:r>
      <w:r>
        <w:rPr>
          <w:rFonts w:ascii="Trebuchet MS" w:hAnsi="Trebuchet MS"/>
          <w:szCs w:val="24"/>
        </w:rPr>
        <w:t xml:space="preserve">is located within an identified Green Link. The proposed development includes significant works to the exterior of the building. The development affords the opportunity for biodiversity enhancement to be included within the works. A condition is applied, requiring details of biodiversity enhancement to be agreed prior to the commencement of the use.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03B146C"/>
    <w:multiLevelType w:val="hybridMultilevel"/>
    <w:tmpl w:val="463E1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0558DE"/>
    <w:multiLevelType w:val="hybridMultilevel"/>
    <w:tmpl w:val="0002B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7"/>
  </w:num>
  <w:num w:numId="3">
    <w:abstractNumId w:val="0"/>
  </w:num>
  <w:num w:numId="4">
    <w:abstractNumId w:val="3"/>
  </w:num>
  <w:num w:numId="5">
    <w:abstractNumId w:val="8"/>
  </w:num>
  <w:num w:numId="6">
    <w:abstractNumId w:val="4"/>
  </w:num>
  <w:num w:numId="7">
    <w:abstractNumId w:val="5"/>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1B"/>
    <w:rsid w:val="000242CE"/>
    <w:rsid w:val="0003197F"/>
    <w:rsid w:val="00063E65"/>
    <w:rsid w:val="000B1F1B"/>
    <w:rsid w:val="00131296"/>
    <w:rsid w:val="00136CBE"/>
    <w:rsid w:val="001462B1"/>
    <w:rsid w:val="00153F67"/>
    <w:rsid w:val="001724C3"/>
    <w:rsid w:val="001A59D1"/>
    <w:rsid w:val="001B1192"/>
    <w:rsid w:val="001B130B"/>
    <w:rsid w:val="001B189C"/>
    <w:rsid w:val="001C3B40"/>
    <w:rsid w:val="001D229A"/>
    <w:rsid w:val="001E0908"/>
    <w:rsid w:val="00203FEC"/>
    <w:rsid w:val="002344F6"/>
    <w:rsid w:val="0025023D"/>
    <w:rsid w:val="00271E64"/>
    <w:rsid w:val="002C3A12"/>
    <w:rsid w:val="002F7727"/>
    <w:rsid w:val="0037116B"/>
    <w:rsid w:val="00390213"/>
    <w:rsid w:val="00394FA3"/>
    <w:rsid w:val="003C3AC5"/>
    <w:rsid w:val="003C7F80"/>
    <w:rsid w:val="003F5779"/>
    <w:rsid w:val="0041134C"/>
    <w:rsid w:val="00435A3F"/>
    <w:rsid w:val="00471B8C"/>
    <w:rsid w:val="00493FCB"/>
    <w:rsid w:val="004B46CD"/>
    <w:rsid w:val="00503777"/>
    <w:rsid w:val="005144B0"/>
    <w:rsid w:val="00531F4B"/>
    <w:rsid w:val="00536A14"/>
    <w:rsid w:val="005C3E8D"/>
    <w:rsid w:val="005E4AAB"/>
    <w:rsid w:val="006207E9"/>
    <w:rsid w:val="006520C0"/>
    <w:rsid w:val="00656759"/>
    <w:rsid w:val="00661FA5"/>
    <w:rsid w:val="0068081B"/>
    <w:rsid w:val="00683BBD"/>
    <w:rsid w:val="006A11BD"/>
    <w:rsid w:val="007046C2"/>
    <w:rsid w:val="007312A7"/>
    <w:rsid w:val="00742F35"/>
    <w:rsid w:val="007941DC"/>
    <w:rsid w:val="007A1C70"/>
    <w:rsid w:val="007A4C9A"/>
    <w:rsid w:val="007B6972"/>
    <w:rsid w:val="007C365B"/>
    <w:rsid w:val="007C55A2"/>
    <w:rsid w:val="00807D4D"/>
    <w:rsid w:val="0081229E"/>
    <w:rsid w:val="008942E3"/>
    <w:rsid w:val="008D520B"/>
    <w:rsid w:val="00935AC7"/>
    <w:rsid w:val="00941904"/>
    <w:rsid w:val="009A0C0E"/>
    <w:rsid w:val="00A0641B"/>
    <w:rsid w:val="00A07CBB"/>
    <w:rsid w:val="00A10BFC"/>
    <w:rsid w:val="00A36BBB"/>
    <w:rsid w:val="00A474B3"/>
    <w:rsid w:val="00A7635C"/>
    <w:rsid w:val="00A77B2B"/>
    <w:rsid w:val="00A91268"/>
    <w:rsid w:val="00A95E82"/>
    <w:rsid w:val="00AD3648"/>
    <w:rsid w:val="00B95948"/>
    <w:rsid w:val="00BA0347"/>
    <w:rsid w:val="00BC3D09"/>
    <w:rsid w:val="00BE318D"/>
    <w:rsid w:val="00C0147F"/>
    <w:rsid w:val="00C1683F"/>
    <w:rsid w:val="00C2070A"/>
    <w:rsid w:val="00C2377B"/>
    <w:rsid w:val="00C26EFF"/>
    <w:rsid w:val="00C90292"/>
    <w:rsid w:val="00C93C4B"/>
    <w:rsid w:val="00CB0684"/>
    <w:rsid w:val="00CC08FE"/>
    <w:rsid w:val="00CC3590"/>
    <w:rsid w:val="00CD28F1"/>
    <w:rsid w:val="00CD4832"/>
    <w:rsid w:val="00CD6883"/>
    <w:rsid w:val="00CF6FD6"/>
    <w:rsid w:val="00D721C4"/>
    <w:rsid w:val="00DE7F38"/>
    <w:rsid w:val="00E01528"/>
    <w:rsid w:val="00EA0B41"/>
    <w:rsid w:val="00EC327C"/>
    <w:rsid w:val="00ED3E57"/>
    <w:rsid w:val="00F327C3"/>
    <w:rsid w:val="00F55A4D"/>
    <w:rsid w:val="00F653C1"/>
    <w:rsid w:val="00FB2E7C"/>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69845"/>
  <w15:docId w15:val="{7CD09C43-8F68-4CCA-8B53-80E9DA12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4</Pages>
  <Words>1480</Words>
  <Characters>8438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2021-06-07T12:44:00Z</dcterms:created>
  <dcterms:modified xsi:type="dcterms:W3CDTF">2021-06-07T13:46:00Z</dcterms:modified>
</cp:coreProperties>
</file>